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仿宋" w:hAnsi="仿宋" w:eastAsia="仿宋" w:cs="仿宋"/>
          <w:sz w:val="24"/>
          <w:szCs w:val="24"/>
          <w:highlight w:val="none"/>
        </w:rPr>
        <w:t>环境卫生管理方案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295A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2026-07-10T08:03:25Z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