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版本号：HSGJ2026-15720260804001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电焊机“加芯赋码”安全监管建设二期项目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HSGJ2026-157</w:t>
      </w:r>
      <w:r>
        <w:br/>
      </w:r>
      <w:r>
        <w:br/>
      </w:r>
      <w:r>
        <w:br/>
      </w:r>
    </w:p>
    <w:p>
      <w:pPr>
        <w:pStyle w:val="null3"/>
        <w:jc w:val="center"/>
        <w:outlineLvl w:val="2"/>
      </w:pPr>
      <w:r>
        <w:rPr>
          <w:rFonts w:ascii="仿宋_GB2312" w:hAnsi="仿宋_GB2312" w:cs="仿宋_GB2312" w:eastAsia="仿宋_GB2312"/>
          <w:sz w:val="28"/>
          <w:b/>
        </w:rPr>
        <w:t>陕西省应急管理厅</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电焊机“加芯赋码”安全监管建设二期项目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电焊机“加芯赋码”安全监管建设二期项目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电焊机“加芯赋码”安全监管建设二期项目，具体内容详见第三章。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采购包1（电焊机“加芯赋码”安全监管建设二期项目）：属于专门面向中小企业采购。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2、财务状况报告：提供2025年度的财务审计报告（报告需在注册会计师行业统一监管平台备案赋码）或开标前六个月内其基本存款账户开户银行出具的资信证明（附开户许可证或开户备案证明或基本账户信息）；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3、税收缴纳证明：提供2026年01月01日至今已缴存的至少一个月的纳税证明或完税证明，依法免税的单位应提供相关证明材料；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4、社会保障资金缴纳证明：提供2026年01月01日至今已缴存的至少一个月的社会保障资金缴存单据或社保机构开具的社会保险参保缴费情况证明，依法不需要缴纳社会保障资金的单位应提供相关证明材料；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委托授权书\身份证明：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029-61166718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说明：在签订合同后10日内，乙方向甲方支付或提供合同总价款的5%作为履约保证金（履约保证金提交的方式为银行或金融机构出具的独立保函）。</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转账事由：HSGJ2026-157项目代理服务费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陕西省应急管理厅</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详见招标文件及合同。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电焊机“加芯赋码”安全监管建设二期项目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电焊机“加芯赋码”安全监管建设二期项目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标的名称：电焊机“加芯赋码”安全监管建设二期项目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color w:val="000000"/>
              </w:rPr>
              <w:t>一、服务内容</w:t>
            </w:r>
          </w:p>
          <w:p>
            <w:pPr>
              <w:pStyle w:val="null3"/>
              <w:jc w:val="left"/>
            </w:pPr>
            <w:r>
              <w:rPr>
                <w:rFonts w:ascii="仿宋_GB2312" w:hAnsi="仿宋_GB2312" w:cs="仿宋_GB2312" w:eastAsia="仿宋_GB2312"/>
                <w:sz w:val="20"/>
                <w:color w:val="000000"/>
              </w:rPr>
              <w:t>针对陕西省全域地市共计</w:t>
            </w:r>
            <w:r>
              <w:rPr>
                <w:rFonts w:ascii="仿宋_GB2312" w:hAnsi="仿宋_GB2312" w:cs="仿宋_GB2312" w:eastAsia="仿宋_GB2312"/>
                <w:sz w:val="20"/>
                <w:color w:val="000000"/>
              </w:rPr>
              <w:t>20000台电焊设备，提供智能物联芯片全流程一体化服务，完整覆盖芯片采购供货、标准化调试、省级平台对接、全周期运维保障、全域客服支撑、分级专项培训、故障应急处置、质保维修兜底等全部工作内容，具体如下：</w:t>
            </w:r>
          </w:p>
          <w:p>
            <w:pPr>
              <w:pStyle w:val="null3"/>
              <w:jc w:val="left"/>
            </w:pPr>
            <w:r>
              <w:rPr>
                <w:rFonts w:ascii="仿宋_GB2312" w:hAnsi="仿宋_GB2312" w:cs="仿宋_GB2312" w:eastAsia="仿宋_GB2312"/>
                <w:sz w:val="20"/>
                <w:color w:val="000000"/>
              </w:rPr>
              <w:t>1.芯片采购与供货服务：负责项目所需智能物联芯片的采购、备货、仓储、物流配送、现场交付，配套提供产品合格证、使用说明书、维修手册等全套技术资料及附属配件、工具，保障芯片货源合规、资质齐全、批量供货稳定。</w:t>
            </w:r>
          </w:p>
          <w:p>
            <w:pPr>
              <w:pStyle w:val="null3"/>
              <w:jc w:val="left"/>
            </w:pPr>
            <w:r>
              <w:rPr>
                <w:rFonts w:ascii="仿宋_GB2312" w:hAnsi="仿宋_GB2312" w:cs="仿宋_GB2312" w:eastAsia="仿宋_GB2312"/>
                <w:sz w:val="20"/>
                <w:color w:val="000000"/>
              </w:rPr>
              <w:t>2.设备加芯赋码安装调试服务：完成全省各地市电焊设备智能物联芯片加装、调试工作，规范完成设备改造、功能测试，实现设备智能化升级改造。</w:t>
            </w:r>
          </w:p>
          <w:p>
            <w:pPr>
              <w:pStyle w:val="null3"/>
              <w:jc w:val="left"/>
            </w:pPr>
            <w:r>
              <w:rPr>
                <w:rFonts w:ascii="仿宋_GB2312" w:hAnsi="仿宋_GB2312" w:cs="仿宋_GB2312" w:eastAsia="仿宋_GB2312"/>
                <w:sz w:val="20"/>
                <w:color w:val="000000"/>
              </w:rPr>
              <w:t>3.省级平台对接服务：完成智能物联芯片与陕西省“三秦焊匠”监管平台的接口适配、联调对接、数据接入，实现焊机设备扫码开机、开关数据记录、坐标定位采集等核心功能。</w:t>
            </w:r>
          </w:p>
          <w:p>
            <w:pPr>
              <w:pStyle w:val="null3"/>
              <w:jc w:val="left"/>
            </w:pPr>
            <w:r>
              <w:rPr>
                <w:rFonts w:ascii="仿宋_GB2312" w:hAnsi="仿宋_GB2312" w:cs="仿宋_GB2312" w:eastAsia="仿宋_GB2312"/>
                <w:sz w:val="20"/>
                <w:color w:val="000000"/>
              </w:rPr>
              <w:t>4.全周期运维服务：自项目最终验收合格起，提供三年免费运维服务、五年芯片原厂质保服务，包含故障排查修复、芯片维修更换、远程迭代升级、问题闭环处置等服务。</w:t>
            </w:r>
          </w:p>
          <w:p>
            <w:pPr>
              <w:pStyle w:val="null3"/>
              <w:jc w:val="left"/>
            </w:pPr>
            <w:r>
              <w:rPr>
                <w:rFonts w:ascii="仿宋_GB2312" w:hAnsi="仿宋_GB2312" w:cs="仿宋_GB2312" w:eastAsia="仿宋_GB2312"/>
                <w:sz w:val="20"/>
                <w:color w:val="000000"/>
              </w:rPr>
              <w:t>5.全域客服支撑服务：搭建全省统一客服服务体系，开通7*24小时服务热线，通过电话、线上社群等多渠道，提供业务咨询、技术答疑、故障报修受理、进度同步、售后对接等全流程客服服务。</w:t>
            </w:r>
          </w:p>
          <w:p>
            <w:pPr>
              <w:pStyle w:val="null3"/>
              <w:jc w:val="left"/>
            </w:pPr>
            <w:r>
              <w:rPr>
                <w:rFonts w:ascii="仿宋_GB2312" w:hAnsi="仿宋_GB2312" w:cs="仿宋_GB2312" w:eastAsia="仿宋_GB2312"/>
                <w:sz w:val="20"/>
                <w:color w:val="000000"/>
              </w:rPr>
              <w:t>6.分级专项培训服务：针对全省各地市企业、一线焊工，开展线上线下结合的专项培训，覆盖设备原理、操作使用、日常维保、故障排查等核心内容，配套提供教学课件。</w:t>
            </w:r>
          </w:p>
          <w:p>
            <w:pPr>
              <w:pStyle w:val="null3"/>
              <w:jc w:val="left"/>
            </w:pPr>
            <w:r>
              <w:rPr>
                <w:rFonts w:ascii="仿宋_GB2312" w:hAnsi="仿宋_GB2312" w:cs="仿宋_GB2312" w:eastAsia="仿宋_GB2312"/>
                <w:sz w:val="20"/>
                <w:color w:val="000000"/>
              </w:rPr>
              <w:t>7.故障应急与质保服务：质保期内，针对芯片因质量问题导致的硬件故障、设备适配异常等问题，提供免费维修、免费更换兜底服务，建立备品备件储备机制，保障故障快速恢复，质保期满后提供成本价维修服务。</w:t>
            </w:r>
          </w:p>
          <w:p>
            <w:pPr>
              <w:pStyle w:val="null3"/>
              <w:jc w:val="left"/>
            </w:pPr>
            <w:r>
              <w:rPr>
                <w:rFonts w:ascii="仿宋_GB2312" w:hAnsi="仿宋_GB2312" w:cs="仿宋_GB2312" w:eastAsia="仿宋_GB2312"/>
                <w:sz w:val="20"/>
                <w:color w:val="000000"/>
              </w:rPr>
              <w:t>8.资料归档与验收配套服务：全程整理项目实施资料、运维台账、服务记录、验收文档。</w:t>
            </w:r>
          </w:p>
          <w:p>
            <w:pPr>
              <w:pStyle w:val="null3"/>
              <w:jc w:val="left"/>
            </w:pPr>
            <w:r>
              <w:rPr>
                <w:rFonts w:ascii="仿宋_GB2312" w:hAnsi="仿宋_GB2312" w:cs="仿宋_GB2312" w:eastAsia="仿宋_GB2312"/>
                <w:sz w:val="20"/>
                <w:b/>
                <w:color w:val="000000"/>
              </w:rPr>
              <w:t>二、服务范围</w:t>
            </w:r>
          </w:p>
          <w:p>
            <w:pPr>
              <w:pStyle w:val="null3"/>
              <w:jc w:val="left"/>
            </w:pPr>
            <w:r>
              <w:rPr>
                <w:rFonts w:ascii="仿宋_GB2312" w:hAnsi="仿宋_GB2312" w:cs="仿宋_GB2312" w:eastAsia="仿宋_GB2312"/>
                <w:sz w:val="20"/>
                <w:color w:val="000000"/>
              </w:rPr>
              <w:t>1.地域服务范围：覆盖陕西省全部地市，根据各地市上报焊机数量清单，编制安装运维服务方案，明确每个地市的安装服务点位数量、地点、工作内容、工作时间、工作要求，采用安装工上门安装或集中点位安装的方式，在规定时间内完成“加芯赋码”数字化改造。</w:t>
            </w:r>
          </w:p>
          <w:p>
            <w:pPr>
              <w:pStyle w:val="null3"/>
              <w:jc w:val="left"/>
            </w:pPr>
            <w:r>
              <w:rPr>
                <w:rFonts w:ascii="仿宋_GB2312" w:hAnsi="仿宋_GB2312" w:cs="仿宋_GB2312" w:eastAsia="仿宋_GB2312"/>
                <w:sz w:val="20"/>
                <w:color w:val="000000"/>
              </w:rPr>
              <w:t>2.服务对象范围：分布在全省各地市的涉焊企业、一线焊工及设备使用管理人员。</w:t>
            </w:r>
          </w:p>
          <w:p>
            <w:pPr>
              <w:pStyle w:val="null3"/>
              <w:jc w:val="left"/>
            </w:pPr>
            <w:r>
              <w:rPr>
                <w:rFonts w:ascii="仿宋_GB2312" w:hAnsi="仿宋_GB2312" w:cs="仿宋_GB2312" w:eastAsia="仿宋_GB2312"/>
                <w:sz w:val="20"/>
                <w:color w:val="000000"/>
              </w:rPr>
              <w:t>3.服务作业范围：根据设备分布情况，灵活采用集中点位批安装、上门安装两种模式，完成全省20000台电焊设备的芯片加装、调试、改造。</w:t>
            </w:r>
          </w:p>
          <w:p>
            <w:pPr>
              <w:pStyle w:val="null3"/>
              <w:jc w:val="left"/>
            </w:pPr>
            <w:r>
              <w:rPr>
                <w:rFonts w:ascii="仿宋_GB2312" w:hAnsi="仿宋_GB2312" w:cs="仿宋_GB2312" w:eastAsia="仿宋_GB2312"/>
                <w:sz w:val="20"/>
                <w:color w:val="000000"/>
              </w:rPr>
              <w:t>4.平台服务范围：提供芯片与省级“三秦焊匠”监管平台的全量对接服务，包含接口适配、联调测试、数据接入、后期适配优化，确保平台各项管控功能正常使用。</w:t>
            </w:r>
          </w:p>
          <w:p>
            <w:pPr>
              <w:pStyle w:val="null3"/>
              <w:jc w:val="left"/>
            </w:pPr>
            <w:r>
              <w:rPr>
                <w:rFonts w:ascii="仿宋_GB2312" w:hAnsi="仿宋_GB2312" w:cs="仿宋_GB2312" w:eastAsia="仿宋_GB2312"/>
                <w:sz w:val="20"/>
                <w:color w:val="000000"/>
              </w:rPr>
              <w:t>5.配套服务范围：覆盖项目全周期的供货运输、安装施工、调试对接、培训宣讲、客服答疑、巡检运维、故障抢修、质保维修、资料归档、验收配合等全部配套服务。</w:t>
            </w:r>
          </w:p>
          <w:p>
            <w:pPr>
              <w:pStyle w:val="null3"/>
              <w:jc w:val="left"/>
            </w:pPr>
            <w:r>
              <w:rPr>
                <w:rFonts w:ascii="仿宋_GB2312" w:hAnsi="仿宋_GB2312" w:cs="仿宋_GB2312" w:eastAsia="仿宋_GB2312"/>
                <w:sz w:val="20"/>
                <w:b/>
                <w:color w:val="000000"/>
              </w:rPr>
              <w:t>三、服务要求</w:t>
            </w:r>
          </w:p>
          <w:p>
            <w:pPr>
              <w:pStyle w:val="null3"/>
              <w:jc w:val="left"/>
            </w:pPr>
            <w:r>
              <w:rPr>
                <w:rFonts w:ascii="仿宋_GB2312" w:hAnsi="仿宋_GB2312" w:cs="仿宋_GB2312" w:eastAsia="仿宋_GB2312"/>
                <w:sz w:val="20"/>
                <w:color w:val="000000"/>
              </w:rPr>
              <w:t>1.服务进度要求：合同签订后20个日历日内，完成全部智能物联芯片供货及交付工作；芯片供货完成后90个日历日内，完成全省所有电焊设备加芯赋码改造、安装调试及平台对接工作，确保项目按期竣工交付。</w:t>
            </w:r>
          </w:p>
          <w:p>
            <w:pPr>
              <w:pStyle w:val="null3"/>
              <w:jc w:val="left"/>
            </w:pPr>
            <w:r>
              <w:rPr>
                <w:rFonts w:ascii="仿宋_GB2312" w:hAnsi="仿宋_GB2312" w:cs="仿宋_GB2312" w:eastAsia="仿宋_GB2312"/>
                <w:sz w:val="20"/>
                <w:color w:val="000000"/>
              </w:rPr>
              <w:t>2.服务质量要求：要求相关产品列出详细的配置清单（包括各主要零部件的厂家或品牌、型号和规格、数量等），要求原厂新品保障，通过第三方检测机构测试。</w:t>
            </w:r>
          </w:p>
          <w:p>
            <w:pPr>
              <w:pStyle w:val="null3"/>
              <w:jc w:val="left"/>
            </w:pPr>
            <w:r>
              <w:rPr>
                <w:rFonts w:ascii="仿宋_GB2312" w:hAnsi="仿宋_GB2312" w:cs="仿宋_GB2312" w:eastAsia="仿宋_GB2312"/>
                <w:sz w:val="20"/>
                <w:color w:val="000000"/>
              </w:rPr>
              <w:t>3.产品服务运输包装要求：芯片产品包装符合国家及行业专业标准，具备可靠的安全防护、防震防损措施，配套齐全的附件、说明书、合格证等资料；免费运输至指定地点。</w:t>
            </w:r>
          </w:p>
          <w:p>
            <w:pPr>
              <w:pStyle w:val="null3"/>
              <w:jc w:val="left"/>
            </w:pPr>
            <w:r>
              <w:rPr>
                <w:rFonts w:ascii="仿宋_GB2312" w:hAnsi="仿宋_GB2312" w:cs="仿宋_GB2312" w:eastAsia="仿宋_GB2312"/>
                <w:sz w:val="20"/>
                <w:color w:val="000000"/>
              </w:rPr>
              <w:t>4.运维服务要求：项目最终验收合格并签署《验收确认书》之日起，提供三年免费全维度运维服务、五年芯片原厂质保服务。运维服务包含现场技术支持、故障紧急恢复、后台技术支撑、常态化故障修复、定期巡检、邮件服务、例行工作会议、多渠道技术咨询等；</w:t>
            </w:r>
          </w:p>
          <w:p>
            <w:pPr>
              <w:pStyle w:val="null3"/>
              <w:jc w:val="left"/>
            </w:pPr>
            <w:r>
              <w:rPr>
                <w:rFonts w:ascii="仿宋_GB2312" w:hAnsi="仿宋_GB2312" w:cs="仿宋_GB2312" w:eastAsia="仿宋_GB2312"/>
                <w:sz w:val="20"/>
                <w:color w:val="000000"/>
              </w:rPr>
              <w:t>5.质保服务要求：五年原厂质保期内，芯片硬件质量问题实行免费维修、免费更换，保障设备持续稳定运行；</w:t>
            </w:r>
          </w:p>
          <w:p>
            <w:pPr>
              <w:pStyle w:val="null3"/>
              <w:jc w:val="left"/>
            </w:pPr>
            <w:r>
              <w:rPr>
                <w:rFonts w:ascii="仿宋_GB2312" w:hAnsi="仿宋_GB2312" w:cs="仿宋_GB2312" w:eastAsia="仿宋_GB2312"/>
                <w:sz w:val="20"/>
                <w:color w:val="000000"/>
              </w:rPr>
              <w:t>6.技术服务实施要求：全程严格执行国家最新行业规范及技术标准，所有安装服务、对接、运维工作贴合项目实际需求。</w:t>
            </w:r>
          </w:p>
          <w:p>
            <w:pPr>
              <w:pStyle w:val="null3"/>
              <w:jc w:val="left"/>
            </w:pPr>
            <w:r>
              <w:rPr>
                <w:rFonts w:ascii="仿宋_GB2312" w:hAnsi="仿宋_GB2312" w:cs="仿宋_GB2312" w:eastAsia="仿宋_GB2312"/>
                <w:sz w:val="20"/>
                <w:b/>
                <w:color w:val="000000"/>
              </w:rPr>
              <w:t>四、服务标准</w:t>
            </w:r>
          </w:p>
          <w:p>
            <w:pPr>
              <w:pStyle w:val="null3"/>
              <w:jc w:val="left"/>
            </w:pPr>
            <w:r>
              <w:rPr>
                <w:rFonts w:ascii="仿宋_GB2312" w:hAnsi="仿宋_GB2312" w:cs="仿宋_GB2312" w:eastAsia="仿宋_GB2312"/>
                <w:sz w:val="20"/>
                <w:color w:val="000000"/>
              </w:rPr>
              <w:t>1.技术功能标准：芯片与“三秦焊匠”平台对接稳定可靠，实现焊机设备扫码开机、运行开关信息采集、坐标定位采集全功能落地，满足省级平台监管管控要求。</w:t>
            </w:r>
          </w:p>
          <w:p>
            <w:pPr>
              <w:pStyle w:val="null3"/>
              <w:jc w:val="left"/>
            </w:pPr>
            <w:r>
              <w:rPr>
                <w:rFonts w:ascii="仿宋_GB2312" w:hAnsi="仿宋_GB2312" w:cs="仿宋_GB2312" w:eastAsia="仿宋_GB2312"/>
                <w:sz w:val="20"/>
                <w:color w:val="000000"/>
              </w:rPr>
              <w:t>2.项目验收标准：严格按照多级验收标准执行，初步验收需完成10000台设备安装改造、信息接入、功能测试，各项功能正常可用；全部安装完成试运行1个月后各项指标达标、资料齐全，完成项目最终验收；技术指标、文档资料、运维服务、培训效果全部达标，方可通过整体验收；质保期满需提交完整的质保期服务运行报告。</w:t>
            </w:r>
          </w:p>
          <w:p>
            <w:pPr>
              <w:pStyle w:val="null3"/>
              <w:jc w:val="left"/>
            </w:pPr>
            <w:r>
              <w:rPr>
                <w:rFonts w:ascii="仿宋_GB2312" w:hAnsi="仿宋_GB2312" w:cs="仿宋_GB2312" w:eastAsia="仿宋_GB2312"/>
                <w:sz w:val="20"/>
                <w:color w:val="000000"/>
              </w:rPr>
              <w:t>3.服务时效标准：全年7*24小时热线值守、线上咨询即时响应；故障报修、业务咨询快速处置；现场服务72小时内抵达现场；质保期内故障快速修复、芯片质量问题即时免费更换调试，保障服务闭环无拖延。</w:t>
            </w:r>
          </w:p>
          <w:p>
            <w:pPr>
              <w:pStyle w:val="null3"/>
              <w:jc w:val="left"/>
            </w:pPr>
            <w:r>
              <w:rPr>
                <w:rFonts w:ascii="仿宋_GB2312" w:hAnsi="仿宋_GB2312" w:cs="仿宋_GB2312" w:eastAsia="仿宋_GB2312"/>
                <w:sz w:val="20"/>
                <w:color w:val="000000"/>
              </w:rPr>
              <w:t>4.质量合规标准：所有芯片产品符合国家及行业质量标准，包装、运输、施工、运维全流程合规；项目实施全过程无质量隐患、无违规施工、无数据异常、无服务缺位。</w:t>
            </w:r>
          </w:p>
          <w:p>
            <w:pPr>
              <w:pStyle w:val="null3"/>
              <w:jc w:val="left"/>
            </w:pPr>
            <w:r>
              <w:rPr>
                <w:rFonts w:ascii="仿宋_GB2312" w:hAnsi="仿宋_GB2312" w:cs="仿宋_GB2312" w:eastAsia="仿宋_GB2312"/>
                <w:sz w:val="20"/>
                <w:color w:val="000000"/>
              </w:rPr>
              <w:t>5.服务成果标准：全面完成20000台设备加芯赋码改造及平台对接，设备运行稳定、数据精准同步；培训全覆盖、人员实操能力达标；运维服务常态化、故障处置闭环化、客服服务标准化，全面保障项目长期稳定运行。</w:t>
            </w:r>
          </w:p>
          <w:p>
            <w:pPr>
              <w:pStyle w:val="null3"/>
              <w:jc w:val="left"/>
            </w:pPr>
            <w:r>
              <w:rPr>
                <w:rFonts w:ascii="仿宋_GB2312" w:hAnsi="仿宋_GB2312" w:cs="仿宋_GB2312" w:eastAsia="仿宋_GB2312"/>
                <w:sz w:val="20"/>
                <w:b/>
                <w:color w:val="000000"/>
              </w:rPr>
              <w:t>五、智能物联芯片</w:t>
            </w:r>
          </w:p>
          <w:tbl>
            <w:tblPr>
              <w:tblInd w:type="dxa" w:w="135"/>
              <w:tblBorders>
                <w:top w:val="none" w:color="000000" w:sz="4"/>
                <w:left w:val="none" w:color="000000" w:sz="4"/>
                <w:bottom w:val="none" w:color="000000" w:sz="4"/>
                <w:right w:val="none" w:color="000000" w:sz="4"/>
                <w:insideH w:val="none"/>
                <w:insideV w:val="none"/>
              </w:tblBorders>
            </w:tblPr>
            <w:tblGrid>
              <w:gridCol w:w="283"/>
              <w:gridCol w:w="203"/>
              <w:gridCol w:w="1574"/>
              <w:gridCol w:w="272"/>
              <w:gridCol w:w="22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（一）智能物联芯片</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5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硬件参数</w:t>
                  </w:r>
                </w:p>
              </w:tc>
              <w:tc>
                <w:tcPr>
                  <w:tcW w:type="dxa" w:w="2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智能物联芯片</w:t>
                  </w:r>
                </w:p>
              </w:tc>
              <w:tc>
                <w:tcPr>
                  <w:tcW w:type="dxa" w:w="15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1.★智能物联芯片需以4G为主要通信模式，且4G通信支持中国移动、联通、电信、广电的4G网络频段，使用不同运营商网络的设备在运营商网络覆盖区域均能实现联网通信。</w:t>
                  </w:r>
                </w:p>
                <w:p>
                  <w:pPr>
                    <w:pStyle w:val="null3"/>
                  </w:pPr>
                  <w:r>
                    <w:rPr>
                      <w:rFonts w:ascii="仿宋_GB2312" w:hAnsi="仿宋_GB2312" w:cs="仿宋_GB2312" w:eastAsia="仿宋_GB2312"/>
                      <w:sz w:val="20"/>
                    </w:rPr>
                    <w:t>2.智能物联芯片需提供3年免费4G流量。</w:t>
                  </w:r>
                </w:p>
                <w:p>
                  <w:pPr>
                    <w:pStyle w:val="null3"/>
                  </w:pPr>
                  <w:r>
                    <w:rPr>
                      <w:rFonts w:ascii="仿宋_GB2312" w:hAnsi="仿宋_GB2312" w:cs="仿宋_GB2312" w:eastAsia="仿宋_GB2312"/>
                      <w:sz w:val="20"/>
                    </w:rPr>
                    <w:t>3.智能物联芯片需支持MQTT协议、HTTP协议、TCP/UDP协议。</w:t>
                  </w:r>
                </w:p>
                <w:p>
                  <w:pPr>
                    <w:pStyle w:val="null3"/>
                  </w:pPr>
                  <w:r>
                    <w:rPr>
                      <w:rFonts w:ascii="仿宋_GB2312" w:hAnsi="仿宋_GB2312" w:cs="仿宋_GB2312" w:eastAsia="仿宋_GB2312"/>
                      <w:sz w:val="20"/>
                    </w:rPr>
                    <w:t>▲4.智能物联芯片需支持4G基站定位能力或GPS/BDS（北斗）定位能力，在设备通电状态下，可实时获取设备定位坐标、上报指定系统，并支持在系统侧查看设备经纬度坐标。</w:t>
                  </w:r>
                </w:p>
                <w:p>
                  <w:pPr>
                    <w:pStyle w:val="null3"/>
                  </w:pPr>
                  <w:r>
                    <w:rPr>
                      <w:rFonts w:ascii="仿宋_GB2312" w:hAnsi="仿宋_GB2312" w:cs="仿宋_GB2312" w:eastAsia="仿宋_GB2312"/>
                      <w:sz w:val="20"/>
                    </w:rPr>
                    <w:t>▲5.智能物联芯片需支持AC110V-AC380V供电，能适配AC110V、AC220V、AC380电压范围，在该范围下芯片能正常启动并稳定工作。</w:t>
                  </w:r>
                </w:p>
                <w:p>
                  <w:pPr>
                    <w:pStyle w:val="null3"/>
                  </w:pPr>
                  <w:r>
                    <w:rPr>
                      <w:rFonts w:ascii="仿宋_GB2312" w:hAnsi="仿宋_GB2312" w:cs="仿宋_GB2312" w:eastAsia="仿宋_GB2312"/>
                      <w:sz w:val="20"/>
                    </w:rPr>
                    <w:t>6.为保障智能物联芯片安装适配性，需支持焊机低压控制板、电源线、交流接触器等多种改造方式，以满足市场不同时期、类型的焊机改造要求。</w:t>
                  </w:r>
                </w:p>
                <w:p>
                  <w:pPr>
                    <w:pStyle w:val="null3"/>
                  </w:pPr>
                  <w:r>
                    <w:rPr>
                      <w:rFonts w:ascii="仿宋_GB2312" w:hAnsi="仿宋_GB2312" w:cs="仿宋_GB2312" w:eastAsia="仿宋_GB2312"/>
                      <w:sz w:val="20"/>
                    </w:rPr>
                    <w:t>▲7.智能物联芯片至少应支持在-40℃的低温环境下工作4h以上。</w:t>
                  </w:r>
                </w:p>
                <w:p>
                  <w:pPr>
                    <w:pStyle w:val="null3"/>
                  </w:pPr>
                  <w:r>
                    <w:rPr>
                      <w:rFonts w:ascii="仿宋_GB2312" w:hAnsi="仿宋_GB2312" w:cs="仿宋_GB2312" w:eastAsia="仿宋_GB2312"/>
                      <w:sz w:val="20"/>
                    </w:rPr>
                    <w:t>▲8.智能物联芯片应至少满足在85℃的高温环境下工作4h以上。</w:t>
                  </w:r>
                </w:p>
                <w:p>
                  <w:pPr>
                    <w:pStyle w:val="null3"/>
                  </w:pPr>
                  <w:r>
                    <w:rPr>
                      <w:rFonts w:ascii="仿宋_GB2312" w:hAnsi="仿宋_GB2312" w:cs="仿宋_GB2312" w:eastAsia="仿宋_GB2312"/>
                      <w:sz w:val="20"/>
                    </w:rPr>
                    <w:t>9.智能物联芯片应支持在≤95%RH的湿度环境下运行稳定。</w:t>
                  </w:r>
                </w:p>
                <w:p>
                  <w:pPr>
                    <w:pStyle w:val="null3"/>
                  </w:pPr>
                  <w:r>
                    <w:rPr>
                      <w:rFonts w:ascii="仿宋_GB2312" w:hAnsi="仿宋_GB2312" w:cs="仿宋_GB2312" w:eastAsia="仿宋_GB2312"/>
                      <w:sz w:val="20"/>
                    </w:rPr>
                    <w:t>10.智能物联芯片应具备浪涌（冲击）抗扰能力，浪涌抗扰度至少应满足≥±4KV，以适配不同企业的电网环境，保障芯片不被击毁。</w:t>
                  </w:r>
                </w:p>
                <w:p>
                  <w:pPr>
                    <w:pStyle w:val="null3"/>
                  </w:pPr>
                  <w:r>
                    <w:rPr>
                      <w:rFonts w:ascii="仿宋_GB2312" w:hAnsi="仿宋_GB2312" w:cs="仿宋_GB2312" w:eastAsia="仿宋_GB2312"/>
                      <w:sz w:val="20"/>
                    </w:rPr>
                    <w:t>▲11.固件升级：智能物联芯片应支持远程升级固件，保障后续芯片能力的扩展与升级。</w:t>
                  </w:r>
                </w:p>
                <w:p>
                  <w:pPr>
                    <w:pStyle w:val="null3"/>
                  </w:pPr>
                  <w:r>
                    <w:rPr>
                      <w:rFonts w:ascii="仿宋_GB2312" w:hAnsi="仿宋_GB2312" w:cs="仿宋_GB2312" w:eastAsia="仿宋_GB2312"/>
                      <w:sz w:val="20"/>
                    </w:rPr>
                    <w:t>▲12.智能物联芯片出现因不可抗力因素导致的设备无法正常通信的时，系统可放开对焊机控制，实现焊机通电即可进行焊接工作，恢复芯片控制焊机开关机的功能。</w:t>
                  </w:r>
                </w:p>
                <w:p>
                  <w:pPr>
                    <w:pStyle w:val="null3"/>
                  </w:pPr>
                  <w:r>
                    <w:rPr>
                      <w:rFonts w:ascii="仿宋_GB2312" w:hAnsi="仿宋_GB2312" w:cs="仿宋_GB2312" w:eastAsia="仿宋_GB2312"/>
                      <w:sz w:val="20"/>
                    </w:rPr>
                    <w:t>13.智能物联芯片外观应清洁，不应有明显划痕、损伤、变形和污损等明显缺陷。金属零部件不应有锈蚀及其他机械损伤，电镀层应均匀光亮，不应有剥落和露底现象。所有手触的外表面均应平整光滑，不得有锋棱、毛刺、尖角及刮手等。</w:t>
                  </w:r>
                </w:p>
                <w:p>
                  <w:pPr>
                    <w:pStyle w:val="null3"/>
                  </w:pPr>
                  <w:r>
                    <w:rPr>
                      <w:rFonts w:ascii="仿宋_GB2312" w:hAnsi="仿宋_GB2312" w:cs="仿宋_GB2312" w:eastAsia="仿宋_GB2312"/>
                      <w:sz w:val="20"/>
                    </w:rPr>
                    <w:t>14.智能物联芯片须具备直观的指示灯交互，显示继电器、4G网络、平台连接等状态。</w:t>
                  </w:r>
                </w:p>
                <w:p>
                  <w:pPr>
                    <w:pStyle w:val="null3"/>
                  </w:pPr>
                  <w:r>
                    <w:rPr>
                      <w:rFonts w:ascii="仿宋_GB2312" w:hAnsi="仿宋_GB2312" w:cs="仿宋_GB2312" w:eastAsia="仿宋_GB2312"/>
                      <w:sz w:val="20"/>
                    </w:rPr>
                    <w:t>15.智能物联芯片数据支持接入“三秦焊匠”，实现系统直接控制设备启停，微信小程序扫码开机等功能。</w:t>
                  </w:r>
                </w:p>
                <w:p>
                  <w:pPr>
                    <w:pStyle w:val="null3"/>
                  </w:pPr>
                  <w:r>
                    <w:rPr>
                      <w:rFonts w:ascii="仿宋_GB2312" w:hAnsi="仿宋_GB2312" w:cs="仿宋_GB2312" w:eastAsia="仿宋_GB2312"/>
                      <w:sz w:val="20"/>
                    </w:rPr>
                    <w:t>16.供应商须保证所提供的智能物联芯片不侵犯第三方知识产权，并出具有效书面承诺函，承诺因专利侵权引发的法律纠纷及赔偿责任全部由供应商自行承担。</w:t>
                  </w:r>
                </w:p>
              </w:tc>
              <w:tc>
                <w:tcPr>
                  <w:tcW w:type="dxa" w:w="2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20000</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台</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以上参数要求中带</w:t>
                  </w:r>
                  <w:r>
                    <w:rPr>
                      <w:rFonts w:ascii="仿宋_GB2312" w:hAnsi="仿宋_GB2312" w:cs="仿宋_GB2312" w:eastAsia="仿宋_GB2312"/>
                      <w:sz w:val="20"/>
                      <w:b/>
                      <w:color w:val="000000"/>
                    </w:rPr>
                    <w:t>★号条款为实质性必须满足条款</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需提供佐证材料，不限于产品检测报告</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产品彩页</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产品说明书</w:t>
                  </w:r>
                  <w:r>
                    <w:rPr>
                      <w:rFonts w:ascii="仿宋_GB2312" w:hAnsi="仿宋_GB2312" w:cs="仿宋_GB2312" w:eastAsia="仿宋_GB2312"/>
                      <w:sz w:val="20"/>
                      <w:b/>
                      <w:color w:val="000000"/>
                    </w:rPr>
                    <w:t>或</w:t>
                  </w:r>
                  <w:r>
                    <w:rPr>
                      <w:rFonts w:ascii="仿宋_GB2312" w:hAnsi="仿宋_GB2312" w:cs="仿宋_GB2312" w:eastAsia="仿宋_GB2312"/>
                      <w:sz w:val="20"/>
                      <w:b/>
                      <w:color w:val="000000"/>
                    </w:rPr>
                    <w:t>官网和功能截图等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不得出现负偏离，出现负偏离视为不响应招标文件实质性要求。</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合同签订后20个日历日内，完成全部智能物联芯片供货及交付工作；芯片供货完成后90个日历日内，完成全省所有电焊设备加芯赋码改造、安装调试及平台对接工作，确保项目按期竣工交付。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需完成全部设备安装改造、信息接入、功能测试，各项功能正常可用；技术指标、文档资料、运维服务、培训效果全部达标；详见招标文件及合同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进度款，甲方在收到乙方履约保证金后，达到付款条件起20个工作日内，支付合同总金额的60.0%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进度款，项目经甲方验收合格并出具项目验收单后，达到付款条件起30个工作日内，支付合同总金额的40.0%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（1）服务范围：电焊机“加芯赋码”安全监管建设二期项目；（2）服务要求：满足采购需求及采购文件要求 ；（3）服务标准：符合国家和省、市有关行业标准及采购人的有关规定。（4）对本国产品给予价格评审优惠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提供2025年度的财务审计报告（报告需在注册会计师行业统一监管平台备案赋码）或开标前六个月内其基本存款账户开户银行出具的资信证明（附开户许可证或开户备案证明或基本账户信息）；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4资质证明文件.docx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1分项报价表.docx 4资质证明文件.docx 6供应商拒绝政府采购领域商业贿赂承诺书.docx 投标函 标的清单 投标文件封面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完全理解并接受法律法规和招标文件对投标人合法经营的各类规约和责任义务要求，未出现法律、法规或招标文件规定的其他无效情形的。</w:t>
            </w:r>
          </w:p>
        </w:tc>
        <w:tc>
          <w:tcPr>
            <w:tcW w:type="dxa" w:w="1661"/>
          </w:tcPr>
          <w:p>
            <w:pPr>
              <w:pStyle w:val="null3"/>
            </w:pPr>
            <w:r>
              <w:rPr>
                <w:rFonts w:ascii="仿宋_GB2312" w:hAnsi="仿宋_GB2312" w:cs="仿宋_GB2312" w:eastAsia="仿宋_GB2312"/>
              </w:rPr>
              <w:t>开标一览表 8关于符合本国产品标准的声明函.docx 1分项报价表.docx 中小企业声明函 3商务响应表.docx 9关于符合本国产品标准的声明函补充.docx 4资质证明文件.docx 6供应商拒绝政府采购领域商业贿赂承诺书.docx 投标函 残疾人福利性单位声明函 标的清单 投标文件封面 监狱企业的证明文件 2服务要求响应表.docx 5技术方案.docx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1分项报价表.docx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供应商针对本项目提供实施方案，包括①项目实施内容的理解；②项目组织机构建设；③项目工作程序及步骤 二、评审标准 1.完整性：方案必须全面，对评审内容中的各项要求有详细描述； 2.准确性：方案描述准确，没有实质性错误或明显的描述及逻辑错误； 3.可实施性：切合本项目实际情况，提出步骤清晰、合理的方案； 4.针对性：方案能够紧扣项目实际情况，内容科学合理。 三、赋分标准 ①项目实施内容的理解：完全满足每个评审标准得 1分，有瑕疵得0.5分，有缺项漏项得 0 分。满分4分。 ②项目组织机构建设：完全满足每个评审标准得 1分，有瑕疵得0.5分，有缺项漏项得 0 分。满分4分。 ③项目工作程序及步骤：完全满足每个评审标准得 1分，有瑕疵得0.5分，有缺项漏项得0分。满分4分。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进度质量保障措施</w:t>
            </w:r>
          </w:p>
        </w:tc>
        <w:tc>
          <w:tcPr>
            <w:tcW w:type="dxa" w:w="2492"/>
          </w:tcPr>
          <w:p>
            <w:pPr>
              <w:pStyle w:val="null3"/>
            </w:pPr>
            <w:r>
              <w:rPr>
                <w:rFonts w:ascii="仿宋_GB2312" w:hAnsi="仿宋_GB2312" w:cs="仿宋_GB2312" w:eastAsia="仿宋_GB2312"/>
              </w:rPr>
              <w:t>一、评审内容 针对本项目提供进度、质量保障措施，包括①进度保障措施；②质量保障措施。 二、评审标准 1.完整性：方案必须全面，对评审内容中的各项要求有详细描述； 2.准确性：方案描述准确，没有实质性错误或明显的描述及逻辑错误； 3.可实施性：切合本项目实际情况，提出步骤清晰、合理的方案。 三、赋分标准 ①进度保障措施：完全满足每个评审标准得 1分，有瑕疵得0.5分，有缺项漏项得 0 分。满分3分。 ②质量保障措施：完全满足每个评审标准得 1分，有瑕疵得0.5分，有缺项漏项得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芯片供货、安装及运维方案</w:t>
            </w:r>
          </w:p>
        </w:tc>
        <w:tc>
          <w:tcPr>
            <w:tcW w:type="dxa" w:w="2492"/>
          </w:tcPr>
          <w:p>
            <w:pPr>
              <w:pStyle w:val="null3"/>
            </w:pPr>
            <w:r>
              <w:rPr>
                <w:rFonts w:ascii="仿宋_GB2312" w:hAnsi="仿宋_GB2312" w:cs="仿宋_GB2312" w:eastAsia="仿宋_GB2312"/>
              </w:rPr>
              <w:t>一、评审内容 针对本项目提供芯片供货、安装及运维方案，包括①芯片供货方案；②芯片安装方案。③芯片运维服务内容 二、评审标准 1.完整性：方案必须全面，对评审内容中的各项要求有详细描述； 2.可实施性：切合本项目实际情况，提出步骤清晰、合理的方案。 三、赋分标准 ①芯片供货方案：完全满足每个评审标准得 1分，有瑕疵得0.5分，有缺项漏项得0分。满分2分。 ②芯片安装方案：完全满足每个评审标准得 1分，有瑕疵得0.5分，有缺项漏项得0分。满分2分。 ③芯片运维服务内容：完全满足每个评审标准得1分，有瑕疵得0.5分，有缺项漏项得0分。满分2分。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客服服务方案</w:t>
            </w:r>
          </w:p>
        </w:tc>
        <w:tc>
          <w:tcPr>
            <w:tcW w:type="dxa" w:w="2492"/>
          </w:tcPr>
          <w:p>
            <w:pPr>
              <w:pStyle w:val="null3"/>
            </w:pPr>
            <w:r>
              <w:rPr>
                <w:rFonts w:ascii="仿宋_GB2312" w:hAnsi="仿宋_GB2312" w:cs="仿宋_GB2312" w:eastAsia="仿宋_GB2312"/>
              </w:rPr>
              <w:t>一、评审内容 针对本项目提供客服服务方案，包括①客服服务组织架构；②客服服务内容 二、评审标准 1.完整性：方案必须全面，对评审内容中的各项要求有详细描述； 2.可实施性：切合本项目实际情况，提出步骤清晰、合理的方案。 三、赋分标准 ①客服服务组织架构：完全满足每个评审标准得 1分，有瑕疵得0.5分，有缺项漏项得 0 分。满分2分。 ②客服服务内容：完全满足每个评审标准得 1分，有瑕疵得0.5分，有缺项漏项得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针对本项目提供培训方案，包括①技术培训方案；②培训内容及方式。 二、评审标准 1.完整性：方案必须全面，对评审内容中的各项要求有详细描述； 2.准确性：方案描述准确，没有实质性错误或明显的描述及逻辑错误； 3.可实施性：切合本项目实际情况，提出步骤清晰、合理的方案。 三、赋分标准 ①技术培训方案：完全满足每个评审标准得 1分，有瑕疵得0.5分，有缺项漏项得0分。满分3分。 ②培训内容及方式：完全满足每个评审标准得 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一、评审内容及标准 供应商针对本项目提出售后服务，包含：①售后服务方案②产品发生故障后的补救措施（包括配件及易损件） 二、评审标准 1.完整性：方案必须全面，对评审内容中的各项要求有详细描述； 2.准确性：方案描述准确，没有实质性错误或明显的描述及逻辑错误； 3.可实施性：切合本项目实际情况，提出步骤清晰、合理的方案。 三、赋分标准 ①售后服务方案：完全满足每个评审标准得 1分，有瑕疵得0.5分，有缺项漏项得0分。满分3分。 ②产品发生故障后的补救措施（包括配件及易损件）：完全满足每个评审标准得 1分，有瑕疵得0.5分，有缺项漏项得0分。满分3分。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硬件参数</w:t>
            </w:r>
          </w:p>
        </w:tc>
        <w:tc>
          <w:tcPr>
            <w:tcW w:type="dxa" w:w="2492"/>
          </w:tcPr>
          <w:p>
            <w:pPr>
              <w:pStyle w:val="null3"/>
            </w:pPr>
            <w:r>
              <w:rPr>
                <w:rFonts w:ascii="仿宋_GB2312" w:hAnsi="仿宋_GB2312" w:cs="仿宋_GB2312" w:eastAsia="仿宋_GB2312"/>
              </w:rPr>
              <w:t>一、评审内容 根据供应商各项硬件参数的响应情况，由评委进行评审。硬件参数完全满足招标文件要求得21分，带“▲”为重要参数，每负偏离1项扣2分，非“▲”参数，每负偏离1项扣1分。 二、评审依据 带“★”及“▲”号参数需提供佐证材料，不限于产品检测报告或产品彩页或产品说明书或官网和功能截图等，非“▲”参数以服务要求响应表为依据。</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2服务要求响应表.docx</w:t>
            </w:r>
          </w:p>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1.接受采购人对服务的考核、监督及管理，并对服务质量加以改进，确保服务工作的优质高效，得2分。无承诺不得分。（需提供承诺函） 2.团队人员因事、病不能及时上岗时，请调其他服务人员补充，确保各项服务工作正常进行，得2分。无承诺不得分。（需提供承诺函）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一、评审内容及标准 根据本项目实际需求及特点，提供保密承诺，包括①保密信息范围；②保密义务核心承诺；③保密期限 二、赋分标准 保密承诺每提供上述1条得2分，满分6分。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现场服务响应时效</w:t>
            </w:r>
          </w:p>
        </w:tc>
        <w:tc>
          <w:tcPr>
            <w:tcW w:type="dxa" w:w="2492"/>
          </w:tcPr>
          <w:p>
            <w:pPr>
              <w:pStyle w:val="null3"/>
            </w:pPr>
            <w:r>
              <w:rPr>
                <w:rFonts w:ascii="仿宋_GB2312" w:hAnsi="仿宋_GB2312" w:cs="仿宋_GB2312" w:eastAsia="仿宋_GB2312"/>
              </w:rPr>
              <w:t>如需进行现场服务，供应商承诺24小时内到达现场得6分；供应商承诺36小时内到达现场得4分；供应商承诺48小时内到达现场得2分。（注：供应商需提供承诺函）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一、评审内容及标准 提供所投产品来源渠道合法的证明材料（不限于销售协议或代理协议或原厂授权等证明材料）。 二、赋分标准 提供产品来源渠道合法的证明材料得3分。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提供2023年1月1日（以合同签订时间为准）至今类似项目业绩合同（投标人需同时提供合同复印件并加盖公章）每提供1份得2分，满分10分。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投标报价得分=（评标基准价/投标报价） ×10 注：依据《国务院办公厅关于在政府采购中实施本国产品标准及相关政策的通知》，货物部分对满足政策要求的本国产品报价给予20%的价格扣除，用扣除后的价格+服务部分的价格参与价格评审。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8关于符合本国产品标准的声明函.docx</w:t>
            </w:r>
          </w:p>
          <w:p>
            <w:pPr>
              <w:pStyle w:val="null3"/>
            </w:pPr>
            <w:r>
              <w:rPr>
                <w:rFonts w:ascii="仿宋_GB2312" w:hAnsi="仿宋_GB2312" w:cs="仿宋_GB2312" w:eastAsia="仿宋_GB2312"/>
              </w:rPr>
              <w:t>9关于符合本国产品标准的声明函补充.docx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详见附件：4资质证明文件.docx</w:t>
      </w:r>
    </w:p>
    <w:p>
      <w:pPr>
        <w:pStyle w:val="null3"/>
        <w:ind w:firstLine="960"/>
      </w:pPr>
      <w:r>
        <w:rPr>
          <w:rFonts w:ascii="仿宋_GB2312" w:hAnsi="仿宋_GB2312" w:cs="仿宋_GB2312" w:eastAsia="仿宋_GB2312"/>
        </w:rPr>
        <w:t>详见附件：5技术方案.docx</w:t>
      </w:r>
    </w:p>
    <w:p>
      <w:pPr>
        <w:pStyle w:val="null3"/>
        <w:ind w:firstLine="960"/>
      </w:pPr>
      <w:r>
        <w:rPr>
          <w:rFonts w:ascii="仿宋_GB2312" w:hAnsi="仿宋_GB2312" w:cs="仿宋_GB2312" w:eastAsia="仿宋_GB2312"/>
        </w:rPr>
        <w:t>详见附件：6供应商拒绝政府采购领域商业贿赂承诺书.docx</w:t>
      </w:r>
    </w:p>
    <w:p>
      <w:pPr>
        <w:pStyle w:val="null3"/>
        <w:ind w:firstLine="960"/>
      </w:pPr>
      <w:r>
        <w:rPr>
          <w:rFonts w:ascii="仿宋_GB2312" w:hAnsi="仿宋_GB2312" w:cs="仿宋_GB2312" w:eastAsia="仿宋_GB2312"/>
        </w:rPr>
        <w:t>详见附件：8关于符合本国产品标准的声明函.docx</w:t>
      </w:r>
    </w:p>
    <w:p>
      <w:pPr>
        <w:pStyle w:val="null3"/>
        <w:ind w:firstLine="960"/>
      </w:pPr>
      <w:r>
        <w:rPr>
          <w:rFonts w:ascii="仿宋_GB2312" w:hAnsi="仿宋_GB2312" w:cs="仿宋_GB2312" w:eastAsia="仿宋_GB2312"/>
        </w:rPr>
        <w:t>详见附件：9关于符合本国产品标准的声明函补充.docx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详见附件：7采购合同.docx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