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2F269">
      <w:pPr>
        <w:spacing w:line="360" w:lineRule="auto"/>
        <w:ind w:firstLine="6354" w:firstLineChars="2637"/>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合同编号：</w:t>
      </w:r>
    </w:p>
    <w:p w14:paraId="45EF0D30">
      <w:pPr>
        <w:rPr>
          <w:rFonts w:hint="eastAsia" w:ascii="宋体" w:hAnsi="宋体" w:eastAsia="宋体" w:cs="宋体"/>
          <w:highlight w:val="none"/>
          <w:lang w:eastAsia="zh-CN"/>
        </w:rPr>
      </w:pPr>
    </w:p>
    <w:p w14:paraId="72102397">
      <w:pPr>
        <w:rPr>
          <w:rFonts w:hint="eastAsia" w:ascii="宋体" w:hAnsi="宋体" w:eastAsia="宋体" w:cs="宋体"/>
          <w:highlight w:val="none"/>
          <w:lang w:eastAsia="zh-CN"/>
        </w:rPr>
      </w:pPr>
    </w:p>
    <w:p w14:paraId="40EB1ECD">
      <w:pPr>
        <w:jc w:val="center"/>
        <w:rPr>
          <w:rFonts w:hint="eastAsia" w:ascii="宋体" w:hAnsi="宋体" w:eastAsia="宋体" w:cs="宋体"/>
          <w:b/>
          <w:bCs/>
          <w:sz w:val="52"/>
          <w:szCs w:val="52"/>
          <w:highlight w:val="none"/>
          <w:lang w:eastAsia="zh-CN"/>
        </w:rPr>
      </w:pPr>
    </w:p>
    <w:p w14:paraId="7DFE83AC">
      <w:pPr>
        <w:jc w:val="center"/>
        <w:rPr>
          <w:rFonts w:hint="eastAsia" w:ascii="宋体" w:hAnsi="宋体" w:eastAsia="宋体" w:cs="宋体"/>
          <w:b/>
          <w:bCs/>
          <w:sz w:val="52"/>
          <w:szCs w:val="52"/>
          <w:highlight w:val="none"/>
          <w:lang w:eastAsia="zh-CN"/>
        </w:rPr>
      </w:pPr>
    </w:p>
    <w:p w14:paraId="6B167169">
      <w:pPr>
        <w:jc w:val="center"/>
        <w:rPr>
          <w:rFonts w:hint="eastAsia" w:ascii="宋体" w:hAnsi="宋体" w:eastAsia="宋体" w:cs="宋体"/>
          <w:b/>
          <w:bCs/>
          <w:sz w:val="52"/>
          <w:szCs w:val="52"/>
          <w:highlight w:val="none"/>
          <w:lang w:eastAsia="zh-CN"/>
        </w:rPr>
      </w:pPr>
    </w:p>
    <w:p w14:paraId="3EDA1FF8">
      <w:pPr>
        <w:jc w:val="center"/>
        <w:rPr>
          <w:rFonts w:hint="eastAsia" w:ascii="宋体" w:hAnsi="宋体" w:eastAsia="宋体" w:cs="宋体"/>
          <w:b/>
          <w:bCs/>
          <w:sz w:val="52"/>
          <w:szCs w:val="52"/>
          <w:highlight w:val="none"/>
          <w:lang w:eastAsia="zh-CN"/>
        </w:rPr>
      </w:pPr>
      <w:bookmarkStart w:id="0" w:name="OLE_LINK4"/>
      <w:r>
        <w:rPr>
          <w:rFonts w:hint="eastAsia" w:ascii="宋体" w:hAnsi="宋体" w:eastAsia="宋体" w:cs="宋体"/>
          <w:b/>
          <w:bCs/>
          <w:sz w:val="52"/>
          <w:szCs w:val="52"/>
          <w:highlight w:val="none"/>
          <w:lang w:eastAsia="zh-CN"/>
        </w:rPr>
        <w:t>电焊机“加芯赋码”安全监管建设二期项目</w:t>
      </w:r>
    </w:p>
    <w:p w14:paraId="24221CAB">
      <w:pPr>
        <w:jc w:val="center"/>
        <w:rPr>
          <w:rFonts w:hint="eastAsia" w:ascii="宋体" w:hAnsi="宋体" w:eastAsia="宋体" w:cs="宋体"/>
          <w:b/>
          <w:bCs/>
          <w:sz w:val="52"/>
          <w:szCs w:val="52"/>
          <w:highlight w:val="none"/>
          <w:lang w:eastAsia="zh-CN"/>
        </w:rPr>
      </w:pPr>
    </w:p>
    <w:bookmarkEnd w:id="0"/>
    <w:p w14:paraId="42C83DB3">
      <w:pPr>
        <w:jc w:val="both"/>
        <w:rPr>
          <w:rFonts w:hint="eastAsia" w:ascii="宋体" w:hAnsi="宋体" w:eastAsia="宋体" w:cs="宋体"/>
          <w:b/>
          <w:sz w:val="52"/>
          <w:szCs w:val="52"/>
          <w:highlight w:val="none"/>
        </w:rPr>
      </w:pPr>
    </w:p>
    <w:p w14:paraId="3D107D50">
      <w:pPr>
        <w:jc w:val="center"/>
        <w:rPr>
          <w:rFonts w:hint="eastAsia" w:ascii="宋体" w:hAnsi="宋体" w:eastAsia="宋体" w:cs="宋体"/>
          <w:b/>
          <w:sz w:val="52"/>
          <w:szCs w:val="52"/>
          <w:highlight w:val="none"/>
        </w:rPr>
      </w:pPr>
    </w:p>
    <w:p w14:paraId="5705492E">
      <w:pPr>
        <w:jc w:val="center"/>
        <w:rPr>
          <w:rFonts w:hint="eastAsia" w:ascii="宋体" w:hAnsi="宋体" w:eastAsia="宋体" w:cs="宋体"/>
          <w:b/>
          <w:sz w:val="52"/>
          <w:szCs w:val="52"/>
          <w:highlight w:val="none"/>
        </w:rPr>
      </w:pPr>
    </w:p>
    <w:p w14:paraId="29BCD38B">
      <w:pPr>
        <w:jc w:val="center"/>
        <w:rPr>
          <w:rFonts w:hint="eastAsia" w:ascii="宋体" w:hAnsi="宋体" w:eastAsia="宋体" w:cs="宋体"/>
          <w:highlight w:val="none"/>
        </w:rPr>
      </w:pPr>
      <w:r>
        <w:rPr>
          <w:rFonts w:hint="eastAsia" w:ascii="宋体" w:hAnsi="宋体" w:eastAsia="宋体" w:cs="宋体"/>
          <w:b/>
          <w:sz w:val="52"/>
          <w:szCs w:val="52"/>
          <w:highlight w:val="none"/>
        </w:rPr>
        <w:t>合同书</w:t>
      </w:r>
    </w:p>
    <w:p w14:paraId="737CC340">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4E37FEC2">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2968EF2B">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6A14FB1D">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6DCB4A0A">
      <w:pPr>
        <w:spacing w:line="360" w:lineRule="auto"/>
        <w:ind w:left="1342" w:leftChars="639" w:firstLine="0" w:firstLineChars="0"/>
        <w:jc w:val="both"/>
        <w:rPr>
          <w:rFonts w:hint="eastAsia" w:ascii="宋体" w:hAnsi="宋体" w:eastAsia="宋体" w:cs="宋体"/>
          <w:b/>
          <w:color w:val="auto"/>
          <w:spacing w:val="23"/>
          <w:sz w:val="32"/>
          <w:szCs w:val="32"/>
          <w:highlight w:val="none"/>
          <w:lang w:val="en-US" w:eastAsia="zh-CN"/>
        </w:rPr>
      </w:pPr>
      <w:r>
        <w:rPr>
          <w:rFonts w:hint="eastAsia" w:ascii="宋体" w:hAnsi="宋体" w:eastAsia="宋体" w:cs="宋体"/>
          <w:b/>
          <w:color w:val="auto"/>
          <w:spacing w:val="23"/>
          <w:sz w:val="32"/>
          <w:szCs w:val="32"/>
          <w:highlight w:val="none"/>
        </w:rPr>
        <w:t>甲方(采购人)：</w:t>
      </w:r>
      <w:r>
        <w:rPr>
          <w:rFonts w:hint="eastAsia" w:ascii="宋体" w:hAnsi="宋体" w:eastAsia="宋体" w:cs="宋体"/>
          <w:b/>
          <w:color w:val="auto"/>
          <w:spacing w:val="23"/>
          <w:sz w:val="32"/>
          <w:szCs w:val="32"/>
          <w:highlight w:val="none"/>
          <w:u w:val="single"/>
          <w:lang w:val="en-US" w:eastAsia="zh-CN"/>
        </w:rPr>
        <w:t xml:space="preserve">             </w:t>
      </w:r>
    </w:p>
    <w:p w14:paraId="7ABA1525">
      <w:pPr>
        <w:spacing w:line="360" w:lineRule="auto"/>
        <w:ind w:left="1342" w:leftChars="639" w:firstLine="0" w:firstLineChars="0"/>
        <w:jc w:val="both"/>
        <w:rPr>
          <w:rFonts w:hint="eastAsia" w:ascii="宋体" w:hAnsi="宋体" w:eastAsia="宋体" w:cs="宋体"/>
          <w:color w:val="auto"/>
          <w:spacing w:val="23"/>
          <w:sz w:val="28"/>
          <w:szCs w:val="28"/>
          <w:highlight w:val="none"/>
          <w:u w:val="single"/>
          <w:lang w:val="en-US" w:eastAsia="zh-CN"/>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(供应商)：</w:t>
      </w:r>
      <w:r>
        <w:rPr>
          <w:rFonts w:hint="eastAsia" w:ascii="宋体" w:hAnsi="宋体" w:eastAsia="宋体" w:cs="宋体"/>
          <w:color w:val="auto"/>
          <w:spacing w:val="23"/>
          <w:sz w:val="28"/>
          <w:szCs w:val="28"/>
          <w:highlight w:val="none"/>
          <w:u w:val="single"/>
          <w:lang w:val="en-US" w:eastAsia="zh-CN"/>
        </w:rPr>
        <w:t xml:space="preserve">               </w:t>
      </w:r>
    </w:p>
    <w:p w14:paraId="4374175C">
      <w:pPr>
        <w:spacing w:line="360" w:lineRule="auto"/>
        <w:ind w:left="1342" w:leftChars="639" w:firstLine="0" w:firstLineChars="0"/>
        <w:jc w:val="both"/>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年</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月</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日</w:t>
      </w:r>
    </w:p>
    <w:p w14:paraId="59A74191">
      <w:pPr>
        <w:spacing w:line="360" w:lineRule="auto"/>
        <w:jc w:val="both"/>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br w:type="page"/>
      </w:r>
    </w:p>
    <w:p w14:paraId="6E6458F7">
      <w:pPr>
        <w:spacing w:line="360" w:lineRule="auto"/>
        <w:jc w:val="center"/>
        <w:rPr>
          <w:rFonts w:hint="eastAsia" w:ascii="宋体" w:hAnsi="宋体" w:eastAsia="宋体" w:cs="宋体"/>
          <w:b/>
          <w:color w:val="auto"/>
          <w:spacing w:val="23"/>
          <w:sz w:val="32"/>
          <w:szCs w:val="32"/>
          <w:highlight w:val="red"/>
        </w:rPr>
      </w:pPr>
      <w:r>
        <w:rPr>
          <w:rFonts w:hint="eastAsia" w:ascii="宋体" w:hAnsi="宋体" w:eastAsia="宋体" w:cs="宋体"/>
          <w:b/>
          <w:bCs/>
          <w:color w:val="000000"/>
          <w:sz w:val="32"/>
          <w:szCs w:val="32"/>
          <w:highlight w:val="none"/>
        </w:rPr>
        <w:t>采</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购</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合</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同</w:t>
      </w:r>
    </w:p>
    <w:p w14:paraId="3B425BF8">
      <w:pPr>
        <w:keepNext w:val="0"/>
        <w:keepLines w:val="0"/>
        <w:pageBreakBefore w:val="0"/>
        <w:widowControl/>
        <w:kinsoku/>
        <w:wordWrap/>
        <w:overflowPunct/>
        <w:topLinePunct w:val="0"/>
        <w:autoSpaceDE/>
        <w:autoSpaceDN/>
        <w:bidi w:val="0"/>
        <w:adjustRightInd/>
        <w:snapToGrid w:val="0"/>
        <w:spacing w:line="4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甲方(采购人)：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46B7A9E3">
      <w:pPr>
        <w:keepNext w:val="0"/>
        <w:keepLines w:val="0"/>
        <w:pageBreakBefore w:val="0"/>
        <w:widowControl/>
        <w:kinsoku/>
        <w:wordWrap/>
        <w:overflowPunct/>
        <w:topLinePunct w:val="0"/>
        <w:autoSpaceDE/>
        <w:autoSpaceDN/>
        <w:bidi w:val="0"/>
        <w:adjustRightInd/>
        <w:snapToGrid w:val="0"/>
        <w:spacing w:line="4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乙方</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3CCC0C56">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按照招标采购程序组织公开招标，确定乙方为</w:t>
      </w:r>
      <w:r>
        <w:rPr>
          <w:rFonts w:hint="eastAsia" w:ascii="宋体" w:hAnsi="宋体" w:eastAsia="宋体" w:cs="宋体"/>
          <w:bCs/>
          <w:sz w:val="24"/>
          <w:szCs w:val="24"/>
          <w:lang w:eastAsia="zh-CN"/>
        </w:rPr>
        <w:t>中标</w:t>
      </w:r>
      <w:r>
        <w:rPr>
          <w:rFonts w:hint="eastAsia" w:ascii="宋体" w:hAnsi="宋体" w:eastAsia="宋体" w:cs="宋体"/>
          <w:bCs/>
          <w:sz w:val="24"/>
          <w:szCs w:val="24"/>
        </w:rPr>
        <w:t>供应商。依据《中华人民共和国政府采购法》、《中华人民共和国民法典》以及招标文件、</w:t>
      </w:r>
      <w:r>
        <w:rPr>
          <w:rFonts w:hint="eastAsia" w:ascii="宋体" w:hAnsi="宋体" w:eastAsia="宋体" w:cs="宋体"/>
          <w:bCs/>
          <w:sz w:val="24"/>
          <w:szCs w:val="24"/>
          <w:lang w:eastAsia="zh-CN"/>
        </w:rPr>
        <w:t>中标</w:t>
      </w:r>
      <w:r>
        <w:rPr>
          <w:rFonts w:hint="eastAsia" w:ascii="宋体" w:hAnsi="宋体" w:eastAsia="宋体" w:cs="宋体"/>
          <w:bCs/>
          <w:sz w:val="24"/>
          <w:szCs w:val="24"/>
        </w:rPr>
        <w:t>供应商投标文件正本和澄清表（函）</w:t>
      </w:r>
      <w:r>
        <w:rPr>
          <w:rFonts w:hint="eastAsia" w:ascii="宋体" w:hAnsi="宋体" w:eastAsia="宋体" w:cs="宋体"/>
          <w:bCs/>
          <w:sz w:val="24"/>
          <w:szCs w:val="24"/>
          <w:lang w:eastAsia="zh-CN"/>
        </w:rPr>
        <w:t>、中标</w:t>
      </w:r>
      <w:r>
        <w:rPr>
          <w:rFonts w:hint="eastAsia" w:ascii="宋体" w:hAnsi="宋体" w:eastAsia="宋体" w:cs="宋体"/>
          <w:bCs/>
          <w:sz w:val="24"/>
          <w:szCs w:val="24"/>
        </w:rPr>
        <w:t>通知书，经甲、乙双方协商确认，达成如下条款。</w:t>
      </w:r>
    </w:p>
    <w:p w14:paraId="16B14791">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72" w:firstLineChars="196"/>
        <w:textAlignment w:val="auto"/>
        <w:rPr>
          <w:rFonts w:hint="eastAsia" w:ascii="宋体" w:hAnsi="宋体" w:eastAsia="宋体" w:cs="宋体"/>
          <w:b/>
          <w:sz w:val="24"/>
          <w:szCs w:val="24"/>
        </w:rPr>
      </w:pPr>
      <w:r>
        <w:rPr>
          <w:rFonts w:hint="eastAsia" w:ascii="宋体" w:hAnsi="宋体" w:eastAsia="宋体" w:cs="宋体"/>
          <w:b/>
          <w:sz w:val="24"/>
          <w:szCs w:val="24"/>
          <w:highlight w:val="none"/>
        </w:rPr>
        <w:t>一</w:t>
      </w:r>
      <w:r>
        <w:rPr>
          <w:rFonts w:hint="eastAsia" w:ascii="宋体" w:hAnsi="宋体" w:eastAsia="宋体" w:cs="宋体"/>
          <w:b/>
          <w:sz w:val="24"/>
          <w:szCs w:val="24"/>
        </w:rPr>
        <w:t>、合同价款</w:t>
      </w:r>
    </w:p>
    <w:p w14:paraId="4165E806">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（一）合同总价款为人民币（大写）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元整（￥</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807160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付款方式：</w:t>
      </w:r>
    </w:p>
    <w:p w14:paraId="7837A31A">
      <w:pPr>
        <w:keepNext w:val="0"/>
        <w:keepLines w:val="0"/>
        <w:pageBreakBefore w:val="0"/>
        <w:widowControl/>
        <w:wordWrap/>
        <w:overflowPunct/>
        <w:topLinePunct w:val="0"/>
        <w:bidi w:val="0"/>
        <w:snapToGrid w:val="0"/>
        <w:spacing w:after="0"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1.在签订合同后10日内，乙方向甲方支付或提供合同总价款的5%作为履约保证金（履约保证金提交的方式为银行或金融机构出具的独立保函）</w:t>
      </w:r>
    </w:p>
    <w:p w14:paraId="11A9FAD7">
      <w:pPr>
        <w:keepNext w:val="0"/>
        <w:keepLines w:val="0"/>
        <w:pageBreakBefore w:val="0"/>
        <w:widowControl/>
        <w:wordWrap/>
        <w:overflowPunct/>
        <w:topLinePunct w:val="0"/>
        <w:bidi w:val="0"/>
        <w:snapToGrid w:val="0"/>
        <w:spacing w:after="0"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2.甲方在收</w:t>
      </w:r>
      <w:bookmarkStart w:id="1" w:name="_GoBack"/>
      <w:bookmarkEnd w:id="1"/>
      <w:r>
        <w:rPr>
          <w:rFonts w:hint="eastAsia" w:ascii="宋体" w:hAnsi="宋体" w:eastAsia="宋体" w:cs="宋体"/>
          <w:sz w:val="24"/>
          <w:szCs w:val="24"/>
          <w:highlight w:val="none"/>
          <w:lang w:val="en-US" w:eastAsia="zh-CN"/>
        </w:rPr>
        <w:t xml:space="preserve">到乙方履约保证金后，达到付款条件起20个工作日内，支付合同总金额的60.00%。                     </w:t>
      </w:r>
    </w:p>
    <w:p w14:paraId="4C717FE8">
      <w:pPr>
        <w:keepNext w:val="0"/>
        <w:keepLines w:val="0"/>
        <w:pageBreakBefore w:val="0"/>
        <w:widowControl/>
        <w:wordWrap/>
        <w:overflowPunct/>
        <w:topLinePunct w:val="0"/>
        <w:bidi w:val="0"/>
        <w:snapToGrid w:val="0"/>
        <w:spacing w:after="0"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3.项目经甲方验收合格并出具项目验收单后，达到付款条件起30个工作日内，支付合同总金额的40.00% 。</w:t>
      </w:r>
    </w:p>
    <w:p w14:paraId="399438B4">
      <w:pPr>
        <w:keepNext w:val="0"/>
        <w:keepLines w:val="0"/>
        <w:pageBreakBefore w:val="0"/>
        <w:widowControl/>
        <w:wordWrap/>
        <w:overflowPunct/>
        <w:topLinePunct w:val="0"/>
        <w:bidi w:val="0"/>
        <w:snapToGrid w:val="0"/>
        <w:spacing w:after="0" w:line="48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4.项目履约完成并验收合格后10个工作日内退还履约保证金。</w:t>
      </w:r>
    </w:p>
    <w:p w14:paraId="219A8903">
      <w:pPr>
        <w:keepNext w:val="0"/>
        <w:keepLines w:val="0"/>
        <w:pageBreakBefore w:val="0"/>
        <w:widowControl/>
        <w:wordWrap/>
        <w:overflowPunct/>
        <w:topLinePunct w:val="0"/>
        <w:bidi w:val="0"/>
        <w:snapToGrid w:val="0"/>
        <w:spacing w:after="0"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乙方确认以下信息为收款信息：</w:t>
      </w:r>
    </w:p>
    <w:p w14:paraId="2919CC8D">
      <w:pPr>
        <w:keepNext w:val="0"/>
        <w:keepLines w:val="0"/>
        <w:pageBreakBefore w:val="0"/>
        <w:widowControl/>
        <w:wordWrap/>
        <w:overflowPunct/>
        <w:topLinePunct w:val="0"/>
        <w:bidi w:val="0"/>
        <w:snapToGrid w:val="0"/>
        <w:spacing w:after="0"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w:t>
      </w:r>
    </w:p>
    <w:p w14:paraId="31434745">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开户行：</w:t>
      </w:r>
    </w:p>
    <w:p w14:paraId="7A68FE72">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账号：</w:t>
      </w:r>
    </w:p>
    <w:p w14:paraId="219CC064">
      <w:pPr>
        <w:keepNext w:val="0"/>
        <w:keepLines w:val="0"/>
        <w:pageBreakBefore w:val="0"/>
        <w:widowControl/>
        <w:wordWrap/>
        <w:overflowPunct/>
        <w:topLinePunct w:val="0"/>
        <w:bidi w:val="0"/>
        <w:snapToGrid w:val="0"/>
        <w:spacing w:after="0"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付款依据：满足付款条件的情况下，乙方应向甲方出具书面付款通知（注明开户行及账户信息）以及符合国家财税规定的增值税发票，及经采购人确认的送货清单，否则甲方有权延迟履行付款义务。如因乙方缘故（如开具增值税发票延误等）导致甲方无法按时付款，甲方不承担违约责任。</w:t>
      </w:r>
    </w:p>
    <w:p w14:paraId="34C8816B">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、双方的权利和义务</w:t>
      </w:r>
    </w:p>
    <w:p w14:paraId="23C66561">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（一）甲方的权利和义务</w:t>
      </w:r>
    </w:p>
    <w:p w14:paraId="464AD6C8">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甲方权利：组织使用单位严格按照招标文件及投标文件要求和标准验收货物。</w:t>
      </w:r>
    </w:p>
    <w:p w14:paraId="79DE1602">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甲方义务：积极配合乙方开展验收、安装、调试等工作。</w:t>
      </w:r>
    </w:p>
    <w:p w14:paraId="1534D7C4">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（二）乙方的权利和义务</w:t>
      </w:r>
    </w:p>
    <w:p w14:paraId="6D5D97D6">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乙方权利：按照合同约定要求甲方及时付款。</w:t>
      </w:r>
    </w:p>
    <w:p w14:paraId="5F74C7C4">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乙方义务：按照合同约定时间，按甲方指定地点提供货物，配合验收工作，并负责安装、调试、提供现场技术培训，保证使用人员正常操作设备的各种功能。</w:t>
      </w:r>
    </w:p>
    <w:p w14:paraId="0C9DDA5C">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w:t>
      </w:r>
      <w:r>
        <w:rPr>
          <w:rFonts w:hint="eastAsia" w:ascii="宋体" w:hAnsi="宋体" w:eastAsia="宋体" w:cs="宋体"/>
          <w:b/>
          <w:bCs/>
          <w:sz w:val="24"/>
          <w:szCs w:val="24"/>
          <w:lang w:eastAsia="zh-CN"/>
        </w:rPr>
        <w:t>交付条件</w:t>
      </w:r>
    </w:p>
    <w:p w14:paraId="2CE36C9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（一）交</w:t>
      </w:r>
      <w:r>
        <w:rPr>
          <w:rFonts w:hint="eastAsia" w:hAnsi="宋体" w:eastAsia="宋体" w:cs="宋体"/>
          <w:sz w:val="24"/>
          <w:szCs w:val="24"/>
          <w:lang w:eastAsia="zh-CN"/>
        </w:rPr>
        <w:t>货</w:t>
      </w:r>
      <w:r>
        <w:rPr>
          <w:rFonts w:hint="eastAsia" w:ascii="宋体" w:hAnsi="宋体" w:eastAsia="宋体" w:cs="宋体"/>
          <w:sz w:val="24"/>
          <w:szCs w:val="24"/>
        </w:rPr>
        <w:t>地点：甲方指定地点。</w:t>
      </w:r>
    </w:p>
    <w:p w14:paraId="6C7F3DEF">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eastAsia="zh-CN"/>
        </w:rPr>
        <w:t>交付期</w:t>
      </w:r>
      <w:r>
        <w:rPr>
          <w:rFonts w:hint="eastAsia" w:ascii="宋体" w:hAnsi="宋体" w:eastAsia="宋体" w:cs="宋体"/>
          <w:sz w:val="24"/>
          <w:szCs w:val="24"/>
        </w:rPr>
        <w:t>：</w:t>
      </w:r>
      <w:r>
        <w:rPr>
          <w:rFonts w:hint="eastAsia" w:ascii="宋体" w:hAnsi="宋体" w:eastAsia="宋体" w:cs="宋体"/>
          <w:sz w:val="24"/>
          <w:szCs w:val="24"/>
          <w:lang w:eastAsia="zh-CN"/>
        </w:rPr>
        <w:t>智能物联芯片供货需在合同签订后20个日历日内完成；完成供货后，90个日历日内完成“加芯赋码”数字化改造的安装调试对接工作。</w:t>
      </w:r>
    </w:p>
    <w:p w14:paraId="4888B2E0">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、运输</w:t>
      </w:r>
    </w:p>
    <w:p w14:paraId="5CD3CCC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（一）运输由乙方负责，运杂费已包含在合同总价内，包括从货物供应地点所含的运</w:t>
      </w:r>
      <w:r>
        <w:rPr>
          <w:rFonts w:hint="eastAsia" w:ascii="宋体" w:hAnsi="宋体" w:eastAsia="宋体" w:cs="宋体"/>
          <w:sz w:val="24"/>
          <w:szCs w:val="24"/>
          <w:lang w:eastAsia="zh-CN"/>
        </w:rPr>
        <w:t>杂</w:t>
      </w:r>
      <w:r>
        <w:rPr>
          <w:rFonts w:hint="eastAsia" w:ascii="宋体" w:hAnsi="宋体" w:eastAsia="宋体" w:cs="宋体"/>
          <w:sz w:val="24"/>
          <w:szCs w:val="24"/>
        </w:rPr>
        <w:t>费</w:t>
      </w:r>
      <w:r>
        <w:rPr>
          <w:rFonts w:hint="eastAsia" w:ascii="宋体" w:hAnsi="宋体" w:eastAsia="宋体" w:cs="宋体"/>
          <w:sz w:val="24"/>
          <w:szCs w:val="24"/>
          <w:lang w:eastAsia="zh-CN"/>
        </w:rPr>
        <w:t>（含</w:t>
      </w:r>
      <w:r>
        <w:rPr>
          <w:rFonts w:hint="eastAsia" w:ascii="宋体" w:hAnsi="宋体" w:eastAsia="宋体" w:cs="宋体"/>
          <w:sz w:val="24"/>
          <w:szCs w:val="24"/>
        </w:rPr>
        <w:t>仓储费、装卸费、保险费</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48BC6C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（二）运输方式由乙方自行选择，但必须保证按期</w:t>
      </w:r>
      <w:r>
        <w:rPr>
          <w:rFonts w:hint="eastAsia" w:ascii="宋体" w:hAnsi="宋体" w:eastAsia="宋体" w:cs="宋体"/>
          <w:sz w:val="24"/>
          <w:szCs w:val="24"/>
          <w:lang w:eastAsia="zh-CN"/>
        </w:rPr>
        <w:t>交付</w:t>
      </w:r>
      <w:r>
        <w:rPr>
          <w:rFonts w:hint="eastAsia" w:ascii="宋体" w:hAnsi="宋体" w:eastAsia="宋体" w:cs="宋体"/>
          <w:sz w:val="24"/>
          <w:szCs w:val="24"/>
        </w:rPr>
        <w:t>。</w:t>
      </w:r>
    </w:p>
    <w:p w14:paraId="0EBD74D6">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（三）因运输产生的一切风险及质量问题均由乙方承担。</w:t>
      </w:r>
    </w:p>
    <w:p w14:paraId="0E013ED6">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Hans"/>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）芯片产品包装符合国家及行业专业标准，具备可靠的安全防护、防震防损措施，配套齐全的附件、说明书、合格证等资料</w:t>
      </w:r>
      <w:r>
        <w:rPr>
          <w:rFonts w:hint="eastAsia" w:ascii="宋体" w:hAnsi="宋体" w:eastAsia="宋体" w:cs="宋体"/>
          <w:sz w:val="24"/>
          <w:szCs w:val="24"/>
          <w:highlight w:val="none"/>
          <w:lang w:eastAsia="zh-Hans"/>
        </w:rPr>
        <w:t>。</w:t>
      </w:r>
    </w:p>
    <w:p w14:paraId="22DEAE49">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五</w:t>
      </w:r>
      <w:r>
        <w:rPr>
          <w:rFonts w:hint="eastAsia" w:ascii="宋体" w:hAnsi="宋体" w:eastAsia="宋体" w:cs="宋体"/>
          <w:sz w:val="24"/>
          <w:szCs w:val="24"/>
          <w:lang w:eastAsia="zh-CN"/>
        </w:rPr>
        <w:t>）</w:t>
      </w:r>
      <w:r>
        <w:rPr>
          <w:rFonts w:hint="eastAsia" w:ascii="宋体" w:hAnsi="宋体" w:eastAsia="宋体" w:cs="宋体"/>
          <w:sz w:val="24"/>
          <w:szCs w:val="24"/>
          <w:lang w:eastAsia="zh-Hans"/>
        </w:rPr>
        <w:t>由</w:t>
      </w:r>
      <w:r>
        <w:rPr>
          <w:rFonts w:hint="eastAsia" w:ascii="宋体" w:hAnsi="宋体" w:eastAsia="宋体" w:cs="宋体"/>
          <w:sz w:val="24"/>
          <w:szCs w:val="24"/>
          <w:lang w:val="en-US" w:eastAsia="zh-CN"/>
        </w:rPr>
        <w:t>乙方</w:t>
      </w:r>
      <w:r>
        <w:rPr>
          <w:rFonts w:hint="eastAsia" w:ascii="宋体" w:hAnsi="宋体" w:eastAsia="宋体" w:cs="宋体"/>
          <w:sz w:val="24"/>
          <w:szCs w:val="24"/>
          <w:lang w:eastAsia="zh-Hans"/>
        </w:rPr>
        <w:t>将设备直接免费送至</w:t>
      </w:r>
      <w:r>
        <w:rPr>
          <w:rFonts w:hint="eastAsia" w:ascii="宋体" w:hAnsi="宋体" w:eastAsia="宋体" w:cs="宋体"/>
          <w:sz w:val="24"/>
          <w:szCs w:val="24"/>
          <w:lang w:val="en-US" w:eastAsia="zh-CN"/>
        </w:rPr>
        <w:t>甲方</w:t>
      </w:r>
      <w:r>
        <w:rPr>
          <w:rFonts w:hint="eastAsia" w:ascii="宋体" w:hAnsi="宋体" w:eastAsia="宋体" w:cs="宋体"/>
          <w:sz w:val="24"/>
          <w:szCs w:val="24"/>
          <w:lang w:eastAsia="zh-Hans"/>
        </w:rPr>
        <w:t>指定的位置。如在运输、搬运、安装过程中造成设备损坏，</w:t>
      </w:r>
      <w:r>
        <w:rPr>
          <w:rFonts w:hint="eastAsia" w:ascii="宋体" w:hAnsi="宋体" w:eastAsia="宋体" w:cs="宋体"/>
          <w:sz w:val="24"/>
          <w:szCs w:val="24"/>
          <w:lang w:val="en-US" w:eastAsia="zh-CN"/>
        </w:rPr>
        <w:t>甲方</w:t>
      </w:r>
      <w:r>
        <w:rPr>
          <w:rFonts w:hint="eastAsia" w:ascii="宋体" w:hAnsi="宋体" w:eastAsia="宋体" w:cs="宋体"/>
          <w:sz w:val="24"/>
          <w:szCs w:val="24"/>
          <w:lang w:eastAsia="zh-Hans"/>
        </w:rPr>
        <w:t>有权不签收并由</w:t>
      </w:r>
      <w:r>
        <w:rPr>
          <w:rFonts w:hint="eastAsia" w:ascii="宋体" w:hAnsi="宋体" w:eastAsia="宋体" w:cs="宋体"/>
          <w:sz w:val="24"/>
          <w:szCs w:val="24"/>
          <w:lang w:val="en-US" w:eastAsia="zh-CN"/>
        </w:rPr>
        <w:t>乙方</w:t>
      </w:r>
      <w:r>
        <w:rPr>
          <w:rFonts w:hint="eastAsia" w:ascii="宋体" w:hAnsi="宋体" w:eastAsia="宋体" w:cs="宋体"/>
          <w:sz w:val="24"/>
          <w:szCs w:val="24"/>
          <w:lang w:eastAsia="zh-Hans"/>
        </w:rPr>
        <w:t>承担相应经济损失。</w:t>
      </w:r>
    </w:p>
    <w:p w14:paraId="5276FBDA">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六</w:t>
      </w:r>
      <w:r>
        <w:rPr>
          <w:rFonts w:hint="eastAsia" w:ascii="宋体" w:hAnsi="宋体" w:eastAsia="宋体" w:cs="宋体"/>
          <w:b/>
          <w:bCs/>
          <w:sz w:val="24"/>
          <w:szCs w:val="24"/>
        </w:rPr>
        <w:t>、质量保证</w:t>
      </w:r>
    </w:p>
    <w:p w14:paraId="7FDFCB05">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乙方所供货物必须执行下列条款：</w:t>
      </w:r>
    </w:p>
    <w:p w14:paraId="36436B58">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（一）保证技术指标先进、质量性能可靠、进货渠道正常，配置合理，全面满足</w:t>
      </w:r>
      <w:r>
        <w:rPr>
          <w:rFonts w:hint="eastAsia" w:ascii="宋体" w:hAnsi="宋体" w:eastAsia="宋体" w:cs="宋体"/>
          <w:sz w:val="24"/>
          <w:szCs w:val="24"/>
          <w:lang w:eastAsia="zh-CN"/>
        </w:rPr>
        <w:t>采购</w:t>
      </w:r>
      <w:r>
        <w:rPr>
          <w:rFonts w:hint="eastAsia" w:ascii="宋体" w:hAnsi="宋体" w:eastAsia="宋体" w:cs="宋体"/>
          <w:sz w:val="24"/>
          <w:szCs w:val="24"/>
        </w:rPr>
        <w:t>要求。</w:t>
      </w:r>
    </w:p>
    <w:p w14:paraId="1765C5FF">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（二）符合国家有关规范要求，确保达到最佳运行状态。</w:t>
      </w:r>
    </w:p>
    <w:p w14:paraId="1F318257">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（三）具有良好的外观，适合安装场所的使用。</w:t>
      </w:r>
    </w:p>
    <w:p w14:paraId="2ECE6290">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highlight w:val="none"/>
        </w:rPr>
        <w:t>（四）</w:t>
      </w:r>
      <w:r>
        <w:rPr>
          <w:rFonts w:hint="eastAsia" w:ascii="宋体" w:hAnsi="宋体" w:eastAsia="宋体" w:cs="宋体"/>
          <w:sz w:val="24"/>
          <w:szCs w:val="24"/>
          <w:lang w:eastAsia="zh-Hans"/>
        </w:rPr>
        <w:t>所有芯片产品符合国家及行业质量标准，包装、运输、施工、运维全流程合规；项目实施全过程无质量隐患、无违规施工、无数据异常、无服务缺位</w:t>
      </w:r>
      <w:r>
        <w:rPr>
          <w:rFonts w:hint="eastAsia" w:ascii="宋体" w:hAnsi="宋体" w:eastAsia="宋体" w:cs="宋体"/>
          <w:sz w:val="24"/>
          <w:szCs w:val="24"/>
          <w:lang w:eastAsia="zh-CN"/>
        </w:rPr>
        <w:t>。</w:t>
      </w:r>
    </w:p>
    <w:p w14:paraId="08F0F6A8">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rPr>
        <w:t>五</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验收合格</w:t>
      </w:r>
      <w:r>
        <w:rPr>
          <w:rFonts w:hint="eastAsia" w:ascii="宋体" w:hAnsi="宋体" w:eastAsia="宋体" w:cs="宋体"/>
          <w:sz w:val="24"/>
          <w:szCs w:val="24"/>
          <w:highlight w:val="none"/>
          <w:lang w:eastAsia="zh-CN"/>
        </w:rPr>
        <w:t>之日起</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年质保。</w:t>
      </w:r>
    </w:p>
    <w:p w14:paraId="635E624C">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highlight w:val="none"/>
        </w:rPr>
        <w:t>六</w:t>
      </w:r>
      <w:r>
        <w:rPr>
          <w:rFonts w:hint="eastAsia" w:ascii="宋体" w:hAnsi="宋体" w:eastAsia="宋体" w:cs="宋体"/>
          <w:sz w:val="24"/>
          <w:szCs w:val="24"/>
        </w:rPr>
        <w:t>）设备保修期内因产品质量或设计缺陷等问题，而发生的纠纷由乙方及生产厂商负全部责任。由此给甲方造成损失的，乙方应负责全额赔偿。</w:t>
      </w:r>
    </w:p>
    <w:p w14:paraId="4C8E33F5">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）保证设备后期可与甲方各类信息化网络系统免费无缝链接。</w:t>
      </w:r>
    </w:p>
    <w:p w14:paraId="0A6B77C7">
      <w:pPr>
        <w:pStyle w:val="3"/>
        <w:keepNext w:val="0"/>
        <w:keepLines w:val="0"/>
        <w:pageBreakBefore w:val="0"/>
        <w:widowControl/>
        <w:wordWrap/>
        <w:overflowPunct/>
        <w:topLinePunct w:val="0"/>
        <w:bidi w:val="0"/>
        <w:snapToGrid w:val="0"/>
        <w:spacing w:line="48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cs="宋体"/>
          <w:sz w:val="24"/>
          <w:szCs w:val="24"/>
          <w:highlight w:val="none"/>
          <w:lang w:val="en-US" w:eastAsia="zh-CN"/>
        </w:rPr>
        <w:t>八</w:t>
      </w:r>
      <w:r>
        <w:rPr>
          <w:rFonts w:hint="eastAsia" w:ascii="宋体" w:hAnsi="宋体" w:eastAsia="宋体" w:cs="宋体"/>
          <w:sz w:val="24"/>
          <w:szCs w:val="24"/>
          <w:highlight w:val="none"/>
          <w:lang w:eastAsia="zh-CN"/>
        </w:rPr>
        <w:t>）质保期满后：由中标方提交质保期服务运行报告。质保期满后的各项服务双方协商另行约定</w:t>
      </w:r>
    </w:p>
    <w:p w14:paraId="774D87F9">
      <w:pPr>
        <w:pStyle w:val="3"/>
        <w:keepNext w:val="0"/>
        <w:keepLines w:val="0"/>
        <w:pageBreakBefore w:val="0"/>
        <w:widowControl/>
        <w:wordWrap/>
        <w:overflowPunct/>
        <w:topLinePunct w:val="0"/>
        <w:bidi w:val="0"/>
        <w:snapToGrid w:val="0"/>
        <w:spacing w:line="480" w:lineRule="exact"/>
        <w:ind w:firstLine="480" w:firstLineChars="200"/>
        <w:rPr>
          <w:rFonts w:hint="eastAsia" w:ascii="宋体" w:hAnsi="宋体" w:eastAsia="宋体" w:cs="宋体"/>
          <w:b/>
          <w:bCs/>
          <w:sz w:val="24"/>
          <w:szCs w:val="24"/>
        </w:rPr>
      </w:pPr>
      <w:r>
        <w:rPr>
          <w:rFonts w:hint="eastAsia" w:cs="宋体"/>
          <w:b/>
          <w:bCs/>
          <w:sz w:val="24"/>
          <w:szCs w:val="24"/>
          <w:lang w:val="en-US" w:eastAsia="zh-CN"/>
        </w:rPr>
        <w:t>七</w:t>
      </w:r>
      <w:r>
        <w:rPr>
          <w:rFonts w:hint="eastAsia" w:ascii="宋体" w:hAnsi="宋体" w:eastAsia="宋体" w:cs="宋体"/>
          <w:b/>
          <w:bCs/>
          <w:sz w:val="24"/>
          <w:szCs w:val="24"/>
        </w:rPr>
        <w:t>、售后服务</w:t>
      </w:r>
    </w:p>
    <w:p w14:paraId="436118DB">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720" w:firstLineChars="3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乙方所供货物提供以下售后服务：</w:t>
      </w:r>
    </w:p>
    <w:p w14:paraId="3AC2F564">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Hans"/>
        </w:rPr>
        <w:t>全周期运维服务：自项目最终验收合格起，提供三年免费运维服务、五年芯片原厂质保服务，包含故障排查修复、芯片维修更换、远程迭代升级、问题闭环处置等服务</w:t>
      </w:r>
      <w:r>
        <w:rPr>
          <w:rFonts w:hint="eastAsia" w:ascii="宋体" w:hAnsi="宋体" w:eastAsia="宋体" w:cs="宋体"/>
          <w:sz w:val="24"/>
          <w:szCs w:val="24"/>
          <w:highlight w:val="none"/>
          <w:lang w:eastAsia="zh-CN"/>
        </w:rPr>
        <w:t>。</w:t>
      </w:r>
    </w:p>
    <w:p w14:paraId="432E6E21">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highlight w:val="none"/>
          <w:lang w:eastAsia="zh-CN"/>
        </w:rPr>
        <w:t>）故障应急与质保服务：质保期内，针对芯片因质量问题导致的硬件故障、设备适配异常等问题，提供免费维修、免费更换兜底服务，建立备品备件储备机制，保障故障快速恢复，质保期满后提供成本价维修服务。</w:t>
      </w:r>
    </w:p>
    <w:p w14:paraId="2B67E988">
      <w:pPr>
        <w:pStyle w:val="3"/>
        <w:keepNext w:val="0"/>
        <w:keepLines w:val="0"/>
        <w:pageBreakBefore w:val="0"/>
        <w:widowControl/>
        <w:wordWrap/>
        <w:overflowPunct/>
        <w:topLinePunct w:val="0"/>
        <w:bidi w:val="0"/>
        <w:snapToGrid w:val="0"/>
        <w:spacing w:line="480" w:lineRule="exact"/>
        <w:ind w:firstLine="480" w:firstLineChars="200"/>
        <w:rPr>
          <w:rFonts w:hint="eastAsia" w:ascii="宋体" w:hAnsi="宋体" w:eastAsia="宋体" w:cs="宋体"/>
          <w:snapToGrid w:val="0"/>
          <w:color w:val="000000"/>
          <w:kern w:val="0"/>
          <w:sz w:val="24"/>
          <w:szCs w:val="24"/>
          <w:lang w:val="en-US" w:eastAsia="zh-CN" w:bidi="ar-SA"/>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w:t>
      </w:r>
      <w:r>
        <w:rPr>
          <w:rFonts w:hint="eastAsia" w:ascii="宋体" w:hAnsi="宋体" w:eastAsia="宋体" w:cs="宋体"/>
          <w:sz w:val="24"/>
          <w:szCs w:val="24"/>
          <w:lang w:eastAsia="zh-Hans"/>
        </w:rPr>
        <w:t>五年原厂质保期内，芯片硬件质量问题实行免费维修、免费更换，保障设备持续稳定运行</w:t>
      </w:r>
      <w:r>
        <w:rPr>
          <w:rFonts w:hint="eastAsia" w:cs="宋体"/>
          <w:sz w:val="24"/>
          <w:szCs w:val="24"/>
          <w:lang w:eastAsia="zh-CN"/>
        </w:rPr>
        <w:t>。</w:t>
      </w:r>
    </w:p>
    <w:p w14:paraId="7AF08561">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、技术与服务</w:t>
      </w:r>
    </w:p>
    <w:p w14:paraId="258F947A">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（一）技术资料：</w:t>
      </w:r>
    </w:p>
    <w:p w14:paraId="6E43B501">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货物合格证；</w:t>
      </w:r>
    </w:p>
    <w:p w14:paraId="7ADD940B">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货物使用说明书（中文）；</w:t>
      </w:r>
    </w:p>
    <w:p w14:paraId="45EEBC93">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eastAsia="zh-CN"/>
        </w:rPr>
        <w:t>交付</w:t>
      </w:r>
      <w:r>
        <w:rPr>
          <w:rFonts w:hint="eastAsia" w:ascii="宋体" w:hAnsi="宋体" w:eastAsia="宋体" w:cs="宋体"/>
          <w:sz w:val="24"/>
          <w:szCs w:val="24"/>
          <w:highlight w:val="none"/>
        </w:rPr>
        <w:t>资料、检验测试报告；</w:t>
      </w:r>
    </w:p>
    <w:p w14:paraId="32AB0040">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其它资料</w:t>
      </w:r>
      <w:r>
        <w:rPr>
          <w:rFonts w:hint="eastAsia" w:ascii="宋体" w:hAnsi="宋体" w:eastAsia="宋体" w:cs="宋体"/>
          <w:sz w:val="24"/>
          <w:szCs w:val="24"/>
        </w:rPr>
        <w:t>。</w:t>
      </w:r>
    </w:p>
    <w:p w14:paraId="099E9E05">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（二）服务承诺：以投标文件、澄清表（函）、合同和随货物的相关文件为准。</w:t>
      </w:r>
    </w:p>
    <w:p w14:paraId="730781CF">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（三）培训：乙方须在设备安装调试完成后对操作人员进行完整使用、保养等培训，是否完成培训视为货物验收必备条件之一。</w:t>
      </w:r>
    </w:p>
    <w:p w14:paraId="14FAD1CD">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、验收</w:t>
      </w:r>
    </w:p>
    <w:p w14:paraId="4439C1D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）验收方式：采购方确认中标方的自检内容后（必要时请有关专家）进行系统验收，采购方委派的验收小组将根据行业相关标准及招标文件、投标文件相应技术要求对</w:t>
      </w:r>
      <w:r>
        <w:rPr>
          <w:rFonts w:hint="eastAsia" w:ascii="宋体" w:hAnsi="宋体" w:eastAsia="宋体" w:cs="宋体"/>
          <w:sz w:val="24"/>
          <w:szCs w:val="24"/>
          <w:lang w:val="en-US" w:eastAsia="zh-CN"/>
        </w:rPr>
        <w:t>乙方</w:t>
      </w:r>
      <w:r>
        <w:rPr>
          <w:rFonts w:hint="eastAsia" w:ascii="宋体" w:hAnsi="宋体" w:eastAsia="宋体" w:cs="宋体"/>
          <w:sz w:val="24"/>
          <w:szCs w:val="24"/>
          <w:lang w:eastAsia="zh-CN"/>
        </w:rPr>
        <w:t>的每一项技术、服务、安全标准等履约情况进行确认直至验收合格</w:t>
      </w:r>
    </w:p>
    <w:p w14:paraId="604FFD1C">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二</w:t>
      </w:r>
      <w:r>
        <w:rPr>
          <w:rFonts w:hint="eastAsia" w:ascii="宋体" w:hAnsi="宋体" w:eastAsia="宋体" w:cs="宋体"/>
          <w:sz w:val="24"/>
          <w:szCs w:val="24"/>
        </w:rPr>
        <w:t>）验收标准：</w:t>
      </w:r>
    </w:p>
    <w:p w14:paraId="66367C80">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Hans"/>
        </w:rPr>
        <w:t>严格按照多级验收标准执行，初步验收需完成</w:t>
      </w:r>
      <w:r>
        <w:rPr>
          <w:rFonts w:hint="eastAsia" w:ascii="宋体" w:hAnsi="宋体" w:eastAsia="宋体" w:cs="宋体"/>
          <w:sz w:val="24"/>
          <w:szCs w:val="24"/>
          <w:lang w:val="en-US" w:eastAsia="zh-CN"/>
        </w:rPr>
        <w:t>10000台</w:t>
      </w:r>
      <w:r>
        <w:rPr>
          <w:rFonts w:hint="eastAsia" w:ascii="宋体" w:hAnsi="宋体" w:eastAsia="宋体" w:cs="宋体"/>
          <w:sz w:val="24"/>
          <w:szCs w:val="24"/>
          <w:lang w:eastAsia="zh-Hans"/>
        </w:rPr>
        <w:t>设备安装改造、信息接入、功能测试，各项功能正常可用；</w:t>
      </w:r>
      <w:r>
        <w:rPr>
          <w:rFonts w:hint="eastAsia" w:ascii="宋体" w:hAnsi="宋体" w:eastAsia="宋体" w:cs="宋体"/>
          <w:sz w:val="24"/>
          <w:szCs w:val="24"/>
          <w:lang w:val="en-US" w:eastAsia="zh-CN"/>
        </w:rPr>
        <w:t>全部安装完成</w:t>
      </w:r>
      <w:r>
        <w:rPr>
          <w:rFonts w:hint="eastAsia" w:ascii="宋体" w:hAnsi="宋体" w:eastAsia="宋体" w:cs="宋体"/>
          <w:sz w:val="24"/>
          <w:szCs w:val="24"/>
          <w:lang w:eastAsia="zh-Hans"/>
        </w:rPr>
        <w:t>试运行1个月后各项指标达标、资料齐全，完成项目最终验收；技术指标、文档资料、运维服务、培训效果全部达标，方可通过整体验收；质保期满需提交完整的质保期服务运行报告</w:t>
      </w:r>
      <w:r>
        <w:rPr>
          <w:rFonts w:hint="eastAsia" w:ascii="宋体" w:hAnsi="宋体" w:eastAsia="宋体" w:cs="宋体"/>
          <w:sz w:val="24"/>
          <w:szCs w:val="24"/>
        </w:rPr>
        <w:t>；</w:t>
      </w:r>
    </w:p>
    <w:p w14:paraId="0E6022F4">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验收时如发现所交付的货物有缺项、次品、损坏或其它不符合标准及本合同约定之情形者，甲方应做出详尽的现场记录，记录形式包括摄像、拍照、乙方证明人的说明，并由甲乙双方签署备忘录，此现场记录或备忘录可用作补充缺失和更换损坏部件和更换符合要求的整机之有效证据，由此产生的时间延误与相关费用由乙方承担，验收期限相应顺延；</w:t>
      </w:r>
    </w:p>
    <w:p w14:paraId="6009D88B">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合同签订后，甲方有权随机抽取产品送检，检测费用由乙方承担，若检测结果与投标文件不符，视为违约并追究相应责任。</w:t>
      </w:r>
    </w:p>
    <w:p w14:paraId="759DA07B">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五</w:t>
      </w:r>
      <w:r>
        <w:rPr>
          <w:rFonts w:hint="eastAsia" w:ascii="宋体" w:hAnsi="宋体" w:eastAsia="宋体" w:cs="宋体"/>
          <w:sz w:val="24"/>
          <w:szCs w:val="24"/>
        </w:rPr>
        <w:t>）乙方向甲方提交货物实施过程中的所有资料以便甲方日后管理和维护。</w:t>
      </w:r>
    </w:p>
    <w:p w14:paraId="3ED2483D">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w:t>
      </w:r>
      <w:r>
        <w:rPr>
          <w:rFonts w:hint="eastAsia" w:ascii="宋体" w:hAnsi="宋体" w:eastAsia="宋体" w:cs="宋体"/>
          <w:sz w:val="24"/>
          <w:szCs w:val="24"/>
        </w:rPr>
        <w:t>甲方确认乙方的自检内容后，组织乙方（必要时请有关专家）进行系统验收，验收合格后，填写项目验收单（一式叁份）作为对货物的最终认可。</w:t>
      </w:r>
    </w:p>
    <w:p w14:paraId="5F2BB7B1">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lang w:eastAsia="zh-CN"/>
        </w:rPr>
        <w:t>方</w:t>
      </w:r>
      <w:r>
        <w:rPr>
          <w:rFonts w:hint="eastAsia" w:ascii="宋体" w:hAnsi="宋体" w:eastAsia="宋体" w:cs="宋体"/>
          <w:sz w:val="24"/>
          <w:szCs w:val="24"/>
          <w:highlight w:val="none"/>
          <w:lang w:eastAsia="zh-Hans"/>
        </w:rPr>
        <w:t>提供的产品和系统须具备兼容性，不得形成技术垄断或者不同品牌之间对接壁垒，</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lang w:eastAsia="zh-CN"/>
        </w:rPr>
        <w:t>方</w:t>
      </w:r>
      <w:r>
        <w:rPr>
          <w:rFonts w:hint="eastAsia" w:ascii="宋体" w:hAnsi="宋体" w:eastAsia="宋体" w:cs="宋体"/>
          <w:sz w:val="24"/>
          <w:szCs w:val="24"/>
          <w:highlight w:val="none"/>
          <w:lang w:eastAsia="zh-Hans"/>
        </w:rPr>
        <w:t>应协助</w:t>
      </w:r>
      <w:r>
        <w:rPr>
          <w:rFonts w:hint="eastAsia" w:ascii="宋体" w:hAnsi="宋体" w:eastAsia="宋体" w:cs="宋体"/>
          <w:sz w:val="24"/>
          <w:szCs w:val="24"/>
          <w:highlight w:val="none"/>
          <w:lang w:eastAsia="zh-CN"/>
        </w:rPr>
        <w:t>采购方</w:t>
      </w:r>
      <w:r>
        <w:rPr>
          <w:rFonts w:hint="eastAsia" w:ascii="宋体" w:hAnsi="宋体" w:eastAsia="宋体" w:cs="宋体"/>
          <w:sz w:val="24"/>
          <w:szCs w:val="24"/>
          <w:highlight w:val="none"/>
          <w:lang w:eastAsia="zh-Hans"/>
        </w:rPr>
        <w:t>编制接入标准。</w:t>
      </w:r>
      <w:r>
        <w:rPr>
          <w:rFonts w:hint="eastAsia" w:ascii="宋体" w:hAnsi="宋体" w:eastAsia="宋体" w:cs="宋体"/>
          <w:sz w:val="24"/>
          <w:szCs w:val="24"/>
          <w:highlight w:val="none"/>
          <w:lang w:val="en-US" w:eastAsia="zh-CN"/>
        </w:rPr>
        <w:t>乙</w:t>
      </w:r>
      <w:r>
        <w:rPr>
          <w:rFonts w:hint="eastAsia" w:ascii="宋体" w:hAnsi="宋体" w:eastAsia="宋体" w:cs="宋体"/>
          <w:sz w:val="24"/>
          <w:szCs w:val="24"/>
          <w:highlight w:val="none"/>
          <w:lang w:eastAsia="zh-CN"/>
        </w:rPr>
        <w:t>方在</w:t>
      </w:r>
      <w:r>
        <w:rPr>
          <w:rFonts w:hint="eastAsia" w:ascii="宋体" w:hAnsi="宋体" w:eastAsia="宋体" w:cs="宋体"/>
          <w:sz w:val="24"/>
          <w:szCs w:val="24"/>
          <w:highlight w:val="none"/>
          <w:lang w:eastAsia="zh-Hans"/>
        </w:rPr>
        <w:t>交货前应对产品作出全面检查，对验收文件进行整理，并列出清单，作为项目收货验收和使用的技术条件依据。</w:t>
      </w:r>
    </w:p>
    <w:p w14:paraId="2B7FDAC8">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八</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验收依据：</w:t>
      </w:r>
    </w:p>
    <w:p w14:paraId="1426B967">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合同文本、合同附件、招标文件、投标文件、乙</w:t>
      </w:r>
      <w:r>
        <w:rPr>
          <w:rFonts w:hint="eastAsia" w:ascii="宋体" w:hAnsi="宋体" w:eastAsia="宋体" w:cs="宋体"/>
          <w:sz w:val="24"/>
          <w:szCs w:val="24"/>
          <w:highlight w:val="none"/>
          <w:lang w:eastAsia="zh-CN"/>
        </w:rPr>
        <w:t>方</w:t>
      </w:r>
      <w:r>
        <w:rPr>
          <w:rFonts w:hint="eastAsia" w:ascii="宋体" w:hAnsi="宋体" w:eastAsia="宋体" w:cs="宋体"/>
          <w:sz w:val="24"/>
          <w:szCs w:val="24"/>
          <w:highlight w:val="none"/>
          <w:lang w:val="en-US" w:eastAsia="zh-CN"/>
        </w:rPr>
        <w:t>自有专利发明相关材料；国内相应的标准、规范。</w:t>
      </w:r>
    </w:p>
    <w:p w14:paraId="7FE0FAB8">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十、违约责任</w:t>
      </w:r>
    </w:p>
    <w:p w14:paraId="30E84973">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（一）双方按《中华人民共和国政府采购法》、《中华人民共和国民法典》中的相关条款执行。</w:t>
      </w:r>
    </w:p>
    <w:p w14:paraId="41C89C8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（二）未按合同要求提供货物或质量不能满足</w:t>
      </w:r>
      <w:r>
        <w:rPr>
          <w:rFonts w:hint="eastAsia" w:ascii="宋体" w:hAnsi="宋体" w:eastAsia="宋体" w:cs="宋体"/>
          <w:sz w:val="24"/>
          <w:szCs w:val="24"/>
          <w:lang w:eastAsia="zh-CN"/>
        </w:rPr>
        <w:t>采购</w:t>
      </w:r>
      <w:r>
        <w:rPr>
          <w:rFonts w:hint="eastAsia" w:ascii="宋体" w:hAnsi="宋体" w:eastAsia="宋体" w:cs="宋体"/>
          <w:sz w:val="24"/>
          <w:szCs w:val="24"/>
        </w:rPr>
        <w:t>技术要求，乙方必须无条件更换，提高技术，完善质量，否则，甲方有权终止合同，合同自书面解除通知到达乙方之日起解除，甲方有权按照以下两种方式同时追究乙方违约责任</w:t>
      </w: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乙方赔偿甲方解除合同的全部损失（包括但不限于重新采购产生的费用、合同未履行导致设备不能按规划交付使用可能产生的租赁费用及其他由此造成的甲方对第三方的违约损失）；2</w:t>
      </w:r>
      <w:r>
        <w:rPr>
          <w:rFonts w:hint="eastAsia" w:ascii="宋体" w:hAnsi="宋体" w:eastAsia="宋体" w:cs="宋体"/>
          <w:sz w:val="24"/>
          <w:szCs w:val="24"/>
          <w:lang w:val="en-US" w:eastAsia="zh-CN"/>
        </w:rPr>
        <w:t>.</w:t>
      </w:r>
      <w:r>
        <w:rPr>
          <w:rFonts w:hint="eastAsia" w:ascii="宋体" w:hAnsi="宋体" w:eastAsia="宋体" w:cs="宋体"/>
          <w:sz w:val="24"/>
          <w:szCs w:val="24"/>
        </w:rPr>
        <w:t>乙方支付甲方违约金，违约金计算方法：以合同总价为基数，支付甲方合同总额的30%违约金。同时甲方有权对乙方的违约行为报监管机构进行相应的处罚。</w:t>
      </w:r>
    </w:p>
    <w:p w14:paraId="782D12BC">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交付的货物质量不符合合同约定的，乙方应向甲方支付合同总价的30%的违约金，同时须在合同约定的交货时间内更换合格的货物给甲方，否则，视作乙方不能交付货物而违约，按本条本款第“（二）”款约定由乙方承担违约责任。</w:t>
      </w:r>
    </w:p>
    <w:p w14:paraId="5B76A50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乙方不能交付货物或逾期交付货物而违约的，除应及时交足货物外，同时向甲方偿付逾期交货部分货款总额的千分之二/天的违约金；逾期交货超过10天，甲方有权解除合同，合同自书面解除通知到达乙方之日起解除，乙方赔偿甲方解除合同的全部损失（包括但不限于重新采购产生的费用、合同未履行导致设备不能按规划交付使用可能产生的租赁费用及其他由此造成的甲方对第三方的违约损失），乙方则应按合同总价的30%向甲方支付违约金，并须全额退还甲方已经付给乙方的货款及其利息，同时甲方有权将乙方违约事宜上报至财政监督管理部门备案。</w:t>
      </w:r>
    </w:p>
    <w:p w14:paraId="71AD02E7">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十</w:t>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知识产权</w:t>
      </w:r>
    </w:p>
    <w:p w14:paraId="275C421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保证在本项目中使用的任何技术、产品和服务（包括部分使用），不会产生因第三方提出侵犯其专利权、商标权或其它知识产权而引起的法律和经济纠纷，如因专利权、商标权或其它知识产权而引起法律和经济纠纷，由</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承担所有相关责任。</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享有本项目实施过程中产生的知识成果及知识产权。</w:t>
      </w:r>
    </w:p>
    <w:p w14:paraId="6BCFE1A9">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二、</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将在采购项目实施过程中采用自有或者第三方知识成果的，使用该知识成果后，</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需提供开发接口和开发手册等技术资料，并承诺提供无限期支持，</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享有使用权（含</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委托第三方在该项目后续开发的使用权）。</w:t>
      </w:r>
    </w:p>
    <w:p w14:paraId="5D3F0510">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三、如采用</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所不拥有的知识产权，投标报价中必须包括合法使用该知识产权的相关费用。</w:t>
      </w:r>
    </w:p>
    <w:p w14:paraId="434CB92C">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、合同争议解决的方式</w:t>
      </w:r>
    </w:p>
    <w:p w14:paraId="715E2F31">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7A4CE482">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、合同生效</w:t>
      </w:r>
    </w:p>
    <w:p w14:paraId="1547B7AC">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本合同一式</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份，甲方</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份，乙方</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份，均具有同等法律效力。本合同经甲、乙各方签字盖章后生效，合同执行完毕后，自动失效（合同的服务承诺则长期有效）。</w:t>
      </w:r>
    </w:p>
    <w:p w14:paraId="07E7AF1E">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、其他事项</w:t>
      </w:r>
    </w:p>
    <w:p w14:paraId="0D3183C3">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一</w:t>
      </w:r>
      <w:r>
        <w:rPr>
          <w:rFonts w:hint="eastAsia" w:ascii="宋体" w:hAnsi="宋体" w:eastAsia="宋体" w:cs="宋体"/>
          <w:sz w:val="24"/>
          <w:szCs w:val="24"/>
        </w:rPr>
        <w:t>）</w:t>
      </w:r>
      <w:r>
        <w:rPr>
          <w:rFonts w:hint="eastAsia" w:ascii="宋体" w:hAnsi="宋体" w:eastAsia="宋体" w:cs="宋体"/>
          <w:sz w:val="24"/>
          <w:szCs w:val="24"/>
          <w:lang w:val="en-US" w:eastAsia="zh-CN"/>
        </w:rPr>
        <w:t>政府采购管理部门</w:t>
      </w:r>
      <w:r>
        <w:rPr>
          <w:rFonts w:hint="eastAsia" w:ascii="宋体" w:hAnsi="宋体" w:eastAsia="宋体" w:cs="宋体"/>
          <w:sz w:val="24"/>
          <w:szCs w:val="24"/>
        </w:rPr>
        <w:t>在合同的履行期间以及履行期后，可以随时检查项目的执行情况，对采购内容、标准进行调查核实，并对发现的问题进行处理。</w:t>
      </w:r>
    </w:p>
    <w:p w14:paraId="2790E643">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二</w:t>
      </w:r>
      <w:r>
        <w:rPr>
          <w:rFonts w:hint="eastAsia" w:ascii="宋体" w:hAnsi="宋体" w:eastAsia="宋体" w:cs="宋体"/>
          <w:sz w:val="24"/>
          <w:szCs w:val="24"/>
        </w:rPr>
        <w:t>）招标文件、投标文件、澄清表（函）、中标通知书、合同附件均成为合同不可分割的部分，与本合同具有同等法律效力。</w:t>
      </w:r>
    </w:p>
    <w:p w14:paraId="457EA75F">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hAnsi="宋体" w:eastAsia="宋体" w:cs="宋体"/>
          <w:sz w:val="24"/>
          <w:szCs w:val="24"/>
          <w:highlight w:val="none"/>
          <w:lang w:eastAsia="zh-CN"/>
        </w:rPr>
        <w:t>三</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F3366C2">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四</w:t>
      </w:r>
      <w:r>
        <w:rPr>
          <w:rFonts w:hint="eastAsia" w:ascii="宋体" w:hAnsi="宋体" w:eastAsia="宋体" w:cs="宋体"/>
          <w:sz w:val="24"/>
          <w:szCs w:val="24"/>
        </w:rPr>
        <w:t>）合同未尽事宜，由甲、乙双方协商，确认后签订补充协议，作为合同补充，补充协议与原合同具有同等法律效力。补充协议与原合同约定不一致的，以补充协议为准。</w:t>
      </w:r>
    </w:p>
    <w:p w14:paraId="54364B55">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hAnsi="宋体" w:eastAsia="宋体" w:cs="宋体"/>
          <w:sz w:val="24"/>
          <w:szCs w:val="24"/>
          <w:lang w:eastAsia="zh-CN"/>
        </w:rPr>
        <w:t>五</w:t>
      </w:r>
      <w:r>
        <w:rPr>
          <w:rFonts w:hint="eastAsia" w:ascii="宋体" w:hAnsi="宋体" w:eastAsia="宋体" w:cs="宋体"/>
          <w:sz w:val="24"/>
          <w:szCs w:val="24"/>
        </w:rPr>
        <w:t>）合同一经签订，不得擅自变更、解除或终止合同。对确需变更、解除、终止合同的，应按规定履行相应的手续。</w:t>
      </w:r>
    </w:p>
    <w:p w14:paraId="129FE45D">
      <w:pPr>
        <w:keepNext w:val="0"/>
        <w:keepLines w:val="0"/>
        <w:pageBreakBefore w:val="0"/>
        <w:widowControl/>
        <w:tabs>
          <w:tab w:val="left" w:pos="480"/>
        </w:tabs>
        <w:kinsoku/>
        <w:wordWrap/>
        <w:overflowPunct/>
        <w:topLinePunct w:val="0"/>
        <w:autoSpaceDE/>
        <w:autoSpaceDN/>
        <w:bidi w:val="0"/>
        <w:adjustRightInd/>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（六）</w:t>
      </w:r>
      <w:r>
        <w:rPr>
          <w:rFonts w:hint="eastAsia" w:ascii="宋体" w:hAnsi="宋体" w:eastAsia="宋体" w:cs="宋体"/>
          <w:sz w:val="24"/>
          <w:szCs w:val="24"/>
        </w:rPr>
        <w:t>本合同按照中华人民共和国的现行法律进行解释。</w:t>
      </w:r>
    </w:p>
    <w:tbl>
      <w:tblPr>
        <w:tblStyle w:val="5"/>
        <w:tblpPr w:leftFromText="180" w:rightFromText="180" w:vertAnchor="text" w:horzAnchor="page" w:tblpXSpec="center" w:tblpY="1176"/>
        <w:tblOverlap w:val="never"/>
        <w:tblW w:w="0" w:type="auto"/>
        <w:jc w:val="center"/>
        <w:tblLayout w:type="fixed"/>
        <w:tblCellMar>
          <w:top w:w="0" w:type="dxa"/>
          <w:left w:w="108" w:type="dxa"/>
          <w:bottom w:w="0" w:type="dxa"/>
          <w:right w:w="108" w:type="dxa"/>
        </w:tblCellMar>
      </w:tblPr>
      <w:tblGrid>
        <w:gridCol w:w="4201"/>
        <w:gridCol w:w="4202"/>
      </w:tblGrid>
      <w:tr w14:paraId="3AB8ABEF">
        <w:tblPrEx>
          <w:tblCellMar>
            <w:top w:w="0" w:type="dxa"/>
            <w:left w:w="108" w:type="dxa"/>
            <w:bottom w:w="0" w:type="dxa"/>
            <w:right w:w="108" w:type="dxa"/>
          </w:tblCellMar>
        </w:tblPrEx>
        <w:trPr>
          <w:trHeight w:val="484" w:hRule="exact"/>
          <w:jc w:val="center"/>
        </w:trPr>
        <w:tc>
          <w:tcPr>
            <w:tcW w:w="4201" w:type="dxa"/>
            <w:noWrap w:val="0"/>
            <w:vAlign w:val="center"/>
          </w:tcPr>
          <w:p w14:paraId="4DFB8B9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甲方</w:t>
            </w:r>
          </w:p>
        </w:tc>
        <w:tc>
          <w:tcPr>
            <w:tcW w:w="4202" w:type="dxa"/>
            <w:noWrap w:val="0"/>
            <w:vAlign w:val="center"/>
          </w:tcPr>
          <w:p w14:paraId="7624E732">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乙方</w:t>
            </w:r>
          </w:p>
        </w:tc>
      </w:tr>
      <w:tr w14:paraId="0FF64160">
        <w:tblPrEx>
          <w:tblCellMar>
            <w:top w:w="0" w:type="dxa"/>
            <w:left w:w="108" w:type="dxa"/>
            <w:bottom w:w="0" w:type="dxa"/>
            <w:right w:w="108" w:type="dxa"/>
          </w:tblCellMar>
        </w:tblPrEx>
        <w:trPr>
          <w:trHeight w:val="467" w:hRule="exact"/>
          <w:jc w:val="center"/>
        </w:trPr>
        <w:tc>
          <w:tcPr>
            <w:tcW w:w="4201" w:type="dxa"/>
            <w:noWrap w:val="0"/>
            <w:vAlign w:val="center"/>
          </w:tcPr>
          <w:p w14:paraId="7303D7B1">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c>
          <w:tcPr>
            <w:tcW w:w="4202" w:type="dxa"/>
            <w:noWrap w:val="0"/>
            <w:vAlign w:val="center"/>
          </w:tcPr>
          <w:p w14:paraId="0A7AD9D1">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（盖章）</w:t>
            </w:r>
          </w:p>
        </w:tc>
      </w:tr>
      <w:tr w14:paraId="38AEAC9F">
        <w:tblPrEx>
          <w:tblCellMar>
            <w:top w:w="0" w:type="dxa"/>
            <w:left w:w="108" w:type="dxa"/>
            <w:bottom w:w="0" w:type="dxa"/>
            <w:right w:w="108" w:type="dxa"/>
          </w:tblCellMar>
        </w:tblPrEx>
        <w:trPr>
          <w:trHeight w:val="501" w:hRule="exact"/>
          <w:jc w:val="center"/>
        </w:trPr>
        <w:tc>
          <w:tcPr>
            <w:tcW w:w="4201" w:type="dxa"/>
            <w:noWrap w:val="0"/>
            <w:vAlign w:val="center"/>
          </w:tcPr>
          <w:p w14:paraId="08AF2730">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地址：</w:t>
            </w:r>
          </w:p>
        </w:tc>
        <w:tc>
          <w:tcPr>
            <w:tcW w:w="4202" w:type="dxa"/>
            <w:noWrap w:val="0"/>
            <w:vAlign w:val="center"/>
          </w:tcPr>
          <w:p w14:paraId="083D24EF">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地址：</w:t>
            </w:r>
          </w:p>
        </w:tc>
      </w:tr>
      <w:tr w14:paraId="41994066">
        <w:tblPrEx>
          <w:tblCellMar>
            <w:top w:w="0" w:type="dxa"/>
            <w:left w:w="108" w:type="dxa"/>
            <w:bottom w:w="0" w:type="dxa"/>
            <w:right w:w="108" w:type="dxa"/>
          </w:tblCellMar>
        </w:tblPrEx>
        <w:trPr>
          <w:trHeight w:val="450" w:hRule="exact"/>
          <w:jc w:val="center"/>
        </w:trPr>
        <w:tc>
          <w:tcPr>
            <w:tcW w:w="4201" w:type="dxa"/>
            <w:noWrap w:val="0"/>
            <w:vAlign w:val="center"/>
          </w:tcPr>
          <w:p w14:paraId="6A973E63">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c>
          <w:tcPr>
            <w:tcW w:w="4202" w:type="dxa"/>
            <w:noWrap w:val="0"/>
            <w:vAlign w:val="center"/>
          </w:tcPr>
          <w:p w14:paraId="227BDC53">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邮编：</w:t>
            </w:r>
          </w:p>
        </w:tc>
      </w:tr>
      <w:tr w14:paraId="59E2A1A5">
        <w:tblPrEx>
          <w:tblCellMar>
            <w:top w:w="0" w:type="dxa"/>
            <w:left w:w="108" w:type="dxa"/>
            <w:bottom w:w="0" w:type="dxa"/>
            <w:right w:w="108" w:type="dxa"/>
          </w:tblCellMar>
        </w:tblPrEx>
        <w:trPr>
          <w:trHeight w:val="533" w:hRule="exact"/>
          <w:jc w:val="center"/>
        </w:trPr>
        <w:tc>
          <w:tcPr>
            <w:tcW w:w="4201" w:type="dxa"/>
            <w:noWrap w:val="0"/>
            <w:vAlign w:val="center"/>
          </w:tcPr>
          <w:p w14:paraId="145DF5D0">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c>
        <w:tc>
          <w:tcPr>
            <w:tcW w:w="4202" w:type="dxa"/>
            <w:noWrap w:val="0"/>
            <w:vAlign w:val="center"/>
          </w:tcPr>
          <w:p w14:paraId="7C08A87D">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法定代表人：</w:t>
            </w:r>
          </w:p>
        </w:tc>
      </w:tr>
      <w:tr w14:paraId="180CD0A9">
        <w:tblPrEx>
          <w:tblCellMar>
            <w:top w:w="0" w:type="dxa"/>
            <w:left w:w="108" w:type="dxa"/>
            <w:bottom w:w="0" w:type="dxa"/>
            <w:right w:w="108" w:type="dxa"/>
          </w:tblCellMar>
        </w:tblPrEx>
        <w:trPr>
          <w:trHeight w:val="533" w:hRule="exact"/>
          <w:jc w:val="center"/>
        </w:trPr>
        <w:tc>
          <w:tcPr>
            <w:tcW w:w="4201" w:type="dxa"/>
            <w:noWrap w:val="0"/>
            <w:vAlign w:val="center"/>
          </w:tcPr>
          <w:p w14:paraId="4D4D954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c>
          <w:tcPr>
            <w:tcW w:w="4202" w:type="dxa"/>
            <w:noWrap w:val="0"/>
            <w:vAlign w:val="center"/>
          </w:tcPr>
          <w:p w14:paraId="0E48F6A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委托代理人：</w:t>
            </w:r>
          </w:p>
        </w:tc>
      </w:tr>
      <w:tr w14:paraId="53BC669F">
        <w:tblPrEx>
          <w:tblCellMar>
            <w:top w:w="0" w:type="dxa"/>
            <w:left w:w="108" w:type="dxa"/>
            <w:bottom w:w="0" w:type="dxa"/>
            <w:right w:w="108" w:type="dxa"/>
          </w:tblCellMar>
        </w:tblPrEx>
        <w:trPr>
          <w:trHeight w:val="500" w:hRule="exact"/>
          <w:jc w:val="center"/>
        </w:trPr>
        <w:tc>
          <w:tcPr>
            <w:tcW w:w="4201" w:type="dxa"/>
            <w:noWrap w:val="0"/>
            <w:vAlign w:val="center"/>
          </w:tcPr>
          <w:p w14:paraId="4BC4C2E1">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c>
          <w:tcPr>
            <w:tcW w:w="4202" w:type="dxa"/>
            <w:noWrap w:val="0"/>
            <w:vAlign w:val="center"/>
          </w:tcPr>
          <w:p w14:paraId="6AAEA5FE">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w:t>
            </w:r>
          </w:p>
        </w:tc>
      </w:tr>
      <w:tr w14:paraId="56301052">
        <w:tblPrEx>
          <w:tblCellMar>
            <w:top w:w="0" w:type="dxa"/>
            <w:left w:w="108" w:type="dxa"/>
            <w:bottom w:w="0" w:type="dxa"/>
            <w:right w:w="108" w:type="dxa"/>
          </w:tblCellMar>
        </w:tblPrEx>
        <w:trPr>
          <w:trHeight w:val="467" w:hRule="exact"/>
          <w:jc w:val="center"/>
        </w:trPr>
        <w:tc>
          <w:tcPr>
            <w:tcW w:w="4201" w:type="dxa"/>
            <w:noWrap w:val="0"/>
            <w:vAlign w:val="center"/>
          </w:tcPr>
          <w:p w14:paraId="01AE4922">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c>
          <w:tcPr>
            <w:tcW w:w="4202" w:type="dxa"/>
            <w:noWrap w:val="0"/>
            <w:vAlign w:val="center"/>
          </w:tcPr>
          <w:p w14:paraId="65396DF5">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传真：</w:t>
            </w:r>
          </w:p>
        </w:tc>
      </w:tr>
      <w:tr w14:paraId="5DB15E8F">
        <w:tblPrEx>
          <w:tblCellMar>
            <w:top w:w="0" w:type="dxa"/>
            <w:left w:w="108" w:type="dxa"/>
            <w:bottom w:w="0" w:type="dxa"/>
            <w:right w:w="108" w:type="dxa"/>
          </w:tblCellMar>
        </w:tblPrEx>
        <w:trPr>
          <w:trHeight w:val="567" w:hRule="exact"/>
          <w:jc w:val="center"/>
        </w:trPr>
        <w:tc>
          <w:tcPr>
            <w:tcW w:w="4201" w:type="dxa"/>
            <w:noWrap w:val="0"/>
            <w:vAlign w:val="center"/>
          </w:tcPr>
          <w:p w14:paraId="6CAA52B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c>
          <w:tcPr>
            <w:tcW w:w="4202" w:type="dxa"/>
            <w:noWrap w:val="0"/>
            <w:vAlign w:val="center"/>
          </w:tcPr>
          <w:p w14:paraId="6268115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0E0B367C">
        <w:tblPrEx>
          <w:tblCellMar>
            <w:top w:w="0" w:type="dxa"/>
            <w:left w:w="108" w:type="dxa"/>
            <w:bottom w:w="0" w:type="dxa"/>
            <w:right w:w="108" w:type="dxa"/>
          </w:tblCellMar>
        </w:tblPrEx>
        <w:trPr>
          <w:trHeight w:val="567" w:hRule="exact"/>
          <w:jc w:val="center"/>
        </w:trPr>
        <w:tc>
          <w:tcPr>
            <w:tcW w:w="4201" w:type="dxa"/>
            <w:noWrap w:val="0"/>
            <w:vAlign w:val="center"/>
          </w:tcPr>
          <w:p w14:paraId="5ACD52F3">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c>
          <w:tcPr>
            <w:tcW w:w="4202" w:type="dxa"/>
            <w:noWrap w:val="0"/>
            <w:vAlign w:val="center"/>
          </w:tcPr>
          <w:p w14:paraId="73A19373">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日期：</w:t>
            </w:r>
          </w:p>
        </w:tc>
      </w:tr>
    </w:tbl>
    <w:p w14:paraId="4FF78BA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103AA"/>
    <w:rsid w:val="146F2E05"/>
    <w:rsid w:val="1B9063B3"/>
    <w:rsid w:val="1D9512C5"/>
    <w:rsid w:val="1ED30596"/>
    <w:rsid w:val="351D2701"/>
    <w:rsid w:val="4B88423E"/>
    <w:rsid w:val="4E2C598C"/>
    <w:rsid w:val="5A8E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Body Text"/>
    <w:basedOn w:val="1"/>
    <w:next w:val="1"/>
    <w:qFormat/>
    <w:uiPriority w:val="0"/>
    <w:pPr>
      <w:spacing w:after="120"/>
    </w:pPr>
    <w:rPr>
      <w:rFonts w:ascii="Times New Roman" w:hAnsi="Times New Roman"/>
      <w:szCs w:val="20"/>
    </w:rPr>
  </w:style>
  <w:style w:type="paragraph" w:styleId="4">
    <w:name w:val="Plain Text"/>
    <w:basedOn w:val="1"/>
    <w:next w:val="1"/>
    <w:qFormat/>
    <w:uiPriority w:val="0"/>
    <w:rPr>
      <w:rFonts w:ascii="宋体" w:hAnsi="宋体"/>
      <w:szCs w:val="20"/>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4114</Words>
  <Characters>4159</Characters>
  <Lines>0</Lines>
  <Paragraphs>0</Paragraphs>
  <TotalTime>0</TotalTime>
  <ScaleCrop>false</ScaleCrop>
  <LinksUpToDate>false</LinksUpToDate>
  <CharactersWithSpaces>4339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2026-03-09T06:29:00Z</dcterms:created>
  <dc:creator>Administrator</dc:creator>
  <cp:lastModifiedBy>bling  bling</cp:lastModifiedBy>
  <dcterms:modified xsi:type="dcterms:W3CDTF">2026-08-04T02:20:35Z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eyJoZGlkIjoiYWEzN2I1MjE4OWRlZmQxOWRlOThlYjk4MWZkYWJkZjYiLCJ1c2VySWQiOiI1NTAzMTkyMTcifQ==</vt:lpwstr>
  </property>
  <property fmtid="{D5CDD505-2E9C-101B-9397-08002B2CF9AE}" pid="4" name="ICV">
    <vt:lpwstr>4FB6A8CB57EC4E80934C72974735746F_12</vt:lpwstr>
  </property>
</Properties>
</file>