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FB0E8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p w14:paraId="5B3B8E29">
      <w:pPr>
        <w:pStyle w:val="4"/>
        <w:ind w:firstLine="48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一、项目概况</w:t>
      </w:r>
    </w:p>
    <w:p w14:paraId="07C1E52D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文物是中华文明、中国革命的精神标识和文化标识，是国家象征、民族记忆的情感依托和物质载体。保护文物就是保护国家与民族的历史，守护中华民族的根与魂。文物安全是文物保护的红线、底线和生命线。文物巡查是文物安全监管工作的重要内容，是及时发现安全隐患和管理漏洞的有效手段。国家文物局、省文物局高度重视文物巡查工作，先后出台《文物保护单位执法巡查办法》《陕西省不可移动文物巡查管理办法（试行）》等，进一步规范和强化文物巡查工作。</w:t>
      </w:r>
    </w:p>
    <w:p w14:paraId="4F3FB6CB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1、服务范围：西安市文物局每年应当巡查检查239个文物保护单位，其中全国重点文物保护单66个、省级文物保护单位112个、市级文物保护单位61个，另外对县级文物保护单位进行抽查，对19个县区、开发区文物部门巡查工作进行督察。</w:t>
      </w:r>
    </w:p>
    <w:p w14:paraId="16BFA239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2、服务依据：按照国家文物局文物督发〔2011〕21号《文物保护单位执法巡查办法》第六条 “各设区市的文物行政部门、文物执法机构重点负责对本行政区域内市级以上(含市级)文物保护单位进行巡查，每年对每个市级以上(含市级)文物保护单位至少巡查一次；对本行政区域内县级文物保护单位进行抽查”之规定和陕西省文物局物发[2022]36号文《陕西省不可移动文物巡察管理办法》第十三条第二款“市级文物行政主管部门重点负责对本行政区域内市级以上（含市级）文物保护单位进行巡查，每年对每个市级以上（含市级）文物保护单位至少巡查一次，对本行政区域内县级文物保护单位进行抽查”之规定，西安市文物局每年对239处市级以上（含市级）文物保护单位至少巡查一次，对215处区县保级文物保护单位进行抽查。</w:t>
      </w:r>
    </w:p>
    <w:p w14:paraId="7B50C5DB">
      <w:pPr>
        <w:pStyle w:val="4"/>
        <w:ind w:firstLine="48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二、服务内容</w:t>
      </w:r>
    </w:p>
    <w:p w14:paraId="480982C5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1、结合文物保护的特点，科学制定年度文物巡查计划并分解到月。对全市239个市级以上（含市级）文物保护单位进行巡查，抽查县级文物保护单位、一般不可移动文物和检查督察区县、开发区文物部门巡查工作。</w:t>
      </w:r>
    </w:p>
    <w:p w14:paraId="053B13D4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2、参加巡查业务学习培训活动。采取自学和参加专题培训的方式，了解文物行政执法和安全工作内容，掌握巡查要求和标准，推动巡查工作规范化。</w:t>
      </w:r>
    </w:p>
    <w:p w14:paraId="55D7AB27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3、规范组织实施巡查工作。一组配备3名及以上具有专业技术职称的巡查人员和在1辆巡查车保障的情况下进行文物安全巡查工作，对于面积大、幅员广、情况复杂的大遗址、古墓葬要明确重点巡查区域。</w:t>
      </w:r>
    </w:p>
    <w:p w14:paraId="7DCF814C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4、在夏季汛期、高温防火期、冬季用电高峰期、冬春田野文物被盗高峰期、节假日文物开放单位旅游高峰期等特殊时节，要邀请相关专家组织各种专项安全检查并包含整理资料、建立台账等相关工作。</w:t>
      </w:r>
    </w:p>
    <w:p w14:paraId="2F8116B0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5、加强巡查信息报送。每月25日之前，总结汇报巡查情况，同时上报检查记录复本。巡查时发现严重违法违规行为或者重大隐患，应当及时汇报。</w:t>
      </w:r>
    </w:p>
    <w:p w14:paraId="55BFFE07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6、督促整改问题和隐患。发现问题和隐患后，巡查人员以书面形式向被检查单位反馈意见，提出整改要求。发现严重违法违规行为或者重大隐患，及时上报督察与安全处。</w:t>
      </w:r>
    </w:p>
    <w:p w14:paraId="34B6B35D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7、整理运用巡查成果。协助督察与安全处建立文物安全状况信息库，根据巡查记录和其他资料，及时整理更新，实施动态监管，并为研判和决策文物安全工作提供信息支撑。</w:t>
      </w:r>
    </w:p>
    <w:p w14:paraId="10960865">
      <w:pPr>
        <w:pStyle w:val="4"/>
        <w:ind w:firstLine="482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4"/>
        </w:rPr>
        <w:t>三、服务要求</w:t>
      </w:r>
    </w:p>
    <w:p w14:paraId="17B7F77E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1、为强化文物安全监管，专业化、系统化、规范化的组织实施文物保护单位巡查工作，对检查时发现的问题隐患，及时排除，有效处置，确保文物安全。</w:t>
      </w:r>
    </w:p>
    <w:p w14:paraId="6D0582A5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2、巡查主要分为执法巡查和安全检查，区别为：</w:t>
      </w:r>
    </w:p>
    <w:p w14:paraId="48ED044B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（1）巡查内容：国家文物局于2011年印发的《文物保护单位执法巡查办法》第十一条，明确执法巡查内容有十项，主要涉及文物保护单位区域内的违法建设，迁移、拆除、擅自修缮文物保护单位，擅自改变文物保护单位用途，转让、抵押国有文物保护单位等行政执法类内容。</w:t>
      </w:r>
    </w:p>
    <w:p w14:paraId="23229300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（2）安全检查内容：依据《陕西省不可移动文物巡查管理办法（试行）》第十条和工作实际，主要涉及文物安全（指防盗、防火、防汛、防突发事件等）责任制、安全职责、管理制度、安全教育培训、应急预案与演练，日常安全检查、隐患排查整改等行政管理类内容。</w:t>
      </w:r>
    </w:p>
    <w:p w14:paraId="25981F71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3、人员要求：</w:t>
      </w:r>
    </w:p>
    <w:p w14:paraId="34068FF1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1）巡检内容包括安防、消防、法律法规、管理等方面的内容，需要配备4个专业技术人员。</w:t>
      </w:r>
    </w:p>
    <w:p w14:paraId="04D802F1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2）因为巡检人员为专业技术人员，应具有安防、消防、法律法规及管理等相关专业的5年以上工作经验并拥有中级及以上职称。外聘专业技术人员，须具有合作协议；供应商的专业技术人员，须具有劳动合同。</w:t>
      </w:r>
    </w:p>
    <w:p w14:paraId="253537D3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3）专项检查中需要安防、消防方面的专家、一般为省文物局专家库的专家或者消防支队的消防专家。</w:t>
      </w:r>
    </w:p>
    <w:p w14:paraId="1D6D3990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四、其他要求</w:t>
      </w:r>
    </w:p>
    <w:p w14:paraId="6FD2F7EE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1、本项目服务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人员工资不得低于西安市最低工资标准。</w:t>
      </w:r>
    </w:p>
    <w:p w14:paraId="7A14A4CE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2、质量管理和监督措施：</w:t>
      </w:r>
    </w:p>
    <w:p w14:paraId="106D10DE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成交供应商须接受采购人的各类检查考核，采购人有权根据有关规定对质量考核标准及奖惩办法作相应的修改。</w:t>
      </w:r>
    </w:p>
    <w:p w14:paraId="3942A3F6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合同期内，成交供应商须严格按照合同要求，在规定的时间及工作范围进行巡检服务，每轮巡检须有巡检资料，采购人（或委托第三方）按记录情况综合考核。如成交供应商提供虚假巡检资料，或未按服务内容实施等，一经发现，采购人有权终止合同，造成重大损失和影响的，经济损失和法律责任由成交供应商承担。</w:t>
      </w:r>
    </w:p>
    <w:p w14:paraId="18EBAD34">
      <w:pPr>
        <w:pStyle w:val="4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4"/>
        </w:rPr>
        <w:t>五、质量保证：成交供应商应当保证服务内容质量完全符合采购文件的要求，并对服务内容质量问题负责。</w:t>
      </w:r>
    </w:p>
    <w:p w14:paraId="327657A4">
      <w:pPr>
        <w:ind w:firstLine="480" w:firstLineChars="200"/>
        <w:jc w:val="both"/>
        <w:rPr>
          <w:rFonts w:hint="default" w:ascii="仿宋_GB2312" w:hAnsi="仿宋_GB2312" w:eastAsia="仿宋_GB2312" w:cs="仿宋_GB2312"/>
          <w:kern w:val="0"/>
          <w:sz w:val="24"/>
          <w:szCs w:val="20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0"/>
          <w:lang w:val="en-US" w:eastAsia="zh-CN"/>
        </w:rPr>
        <w:t>具体采购需求详见磋商文件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127D07"/>
    <w:rsid w:val="4B320132"/>
    <w:rsid w:val="5B127D07"/>
    <w:rsid w:val="5BAB1071"/>
    <w:rsid w:val="5FEE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2026-09-08T08:55:00Z</dcterms:created>
  <dc:creator>puppet</dc:creator>
  <cp:lastModifiedBy>puppet</cp:lastModifiedBy>
  <dcterms:modified xsi:type="dcterms:W3CDTF">2026-09-08T09:00:12Z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5089B83FB8B2496A8867E9963B254A7B_11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