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79BB8DB6">
      <w:pPr>
        <w:spacing w:line="480" w:lineRule="exact"/>
        <w:ind w:right="137"/>
        <w:jc w:val="right"/>
        <w:rPr>
          <w:rFonts w:ascii="宋体" w:hAnsi="宋体"/>
          <w:b/>
          <w:color w:val="auto"/>
          <w:sz w:val="28"/>
          <w:szCs w:val="24"/>
        </w:rPr>
      </w:pPr>
      <w:bookmarkStart w:id="168" w:name="_GoBack"/>
      <w:bookmarkEnd w:id="168"/>
      <w:r>
        <w:rPr>
          <w:rFonts w:hint="eastAsia" w:ascii="宋体" w:hAnsi="宋体"/>
          <w:b/>
          <w:color w:val="auto"/>
          <w:sz w:val="28"/>
          <w:szCs w:val="24"/>
        </w:rPr>
        <w:t xml:space="preserve"> 政府采购项目</w:t>
      </w:r>
    </w:p>
    <w:p w14:paraId="61BD9E60">
      <w:pPr>
        <w:spacing w:line="360" w:lineRule="auto"/>
        <w:rPr>
          <w:rStyle w:val="94"/>
          <w:rFonts w:hint="default" w:ascii="宋体" w:hAnsi="宋体" w:cs="Arial"/>
          <w:b/>
          <w:color w:val="auto"/>
          <w:sz w:val="28"/>
          <w:szCs w:val="24"/>
          <w:lang w:val="en-US" w:eastAsia="zh-CN"/>
        </w:rPr>
      </w:pPr>
      <w:r>
        <w:rPr>
          <w:rStyle w:val="94"/>
          <w:rFonts w:hint="eastAsia" w:ascii="宋体" w:hAnsi="宋体" w:cs="Arial"/>
          <w:b/>
          <w:color w:val="auto"/>
          <w:sz w:val="28"/>
          <w:szCs w:val="24"/>
        </w:rPr>
        <w:t>项目编号：</w:t>
      </w:r>
      <w:r>
        <w:rPr>
          <w:rStyle w:val="94"/>
          <w:rFonts w:hint="eastAsia" w:ascii="宋体" w:hAnsi="宋体" w:cs="Arial"/>
          <w:b/>
          <w:color w:val="auto"/>
          <w:sz w:val="28"/>
          <w:szCs w:val="24"/>
          <w:lang w:eastAsia="zh-CN"/>
        </w:rPr>
        <w:t>AKSH2026-ZGK-024-2</w:t>
      </w:r>
    </w:p>
    <w:p w14:paraId="7241F743">
      <w:pPr>
        <w:pStyle w:val="35"/>
        <w:jc w:val="both"/>
        <w:rPr>
          <w:color w:val="auto"/>
        </w:rPr>
      </w:pPr>
    </w:p>
    <w:p w14:paraId="55FC9ABA">
      <w:pPr>
        <w:pStyle w:val="35"/>
        <w:jc w:val="both"/>
        <w:rPr>
          <w:color w:val="auto"/>
          <w:sz w:val="24"/>
          <w:szCs w:val="24"/>
        </w:rPr>
      </w:pPr>
    </w:p>
    <w:p w14:paraId="74CD4BC4">
      <w:pPr>
        <w:pStyle w:val="28"/>
        <w:rPr>
          <w:color w:val="auto"/>
        </w:rPr>
      </w:pPr>
    </w:p>
    <w:p w14:paraId="565D3554">
      <w:pPr>
        <w:jc w:val="center"/>
        <w:rPr>
          <w:rFonts w:hint="eastAsia" w:ascii="宋体" w:hAnsi="宋体"/>
          <w:b/>
          <w:color w:val="auto"/>
          <w:sz w:val="56"/>
          <w:szCs w:val="56"/>
          <w:lang w:val="en-US" w:eastAsia="zh-CN"/>
        </w:rPr>
      </w:pPr>
      <w:r>
        <w:rPr>
          <w:rFonts w:hint="eastAsia" w:ascii="宋体" w:hAnsi="宋体"/>
          <w:b/>
          <w:color w:val="auto"/>
          <w:sz w:val="56"/>
          <w:szCs w:val="56"/>
          <w:lang w:val="en-US" w:eastAsia="zh-CN"/>
        </w:rPr>
        <w:t>安康市初级中学生成式人工智能学科融合智慧教室项目（二次）</w:t>
      </w:r>
    </w:p>
    <w:p w14:paraId="232ECE53">
      <w:pPr>
        <w:rPr>
          <w:rFonts w:hint="eastAsia"/>
          <w:color w:val="auto"/>
          <w:lang w:val="en-US" w:eastAsia="zh-CN"/>
        </w:rPr>
      </w:pPr>
    </w:p>
    <w:p w14:paraId="20A44815">
      <w:pPr>
        <w:pStyle w:val="17"/>
        <w:rPr>
          <w:rFonts w:hint="eastAsia"/>
          <w:color w:val="auto"/>
          <w:lang w:val="en-US" w:eastAsia="zh-CN"/>
        </w:rPr>
      </w:pPr>
    </w:p>
    <w:p w14:paraId="79A8DAFD">
      <w:pPr>
        <w:pStyle w:val="17"/>
        <w:rPr>
          <w:rFonts w:hint="eastAsia"/>
          <w:color w:val="auto"/>
          <w:lang w:val="en-US" w:eastAsia="zh-CN"/>
        </w:rPr>
      </w:pPr>
    </w:p>
    <w:p w14:paraId="6E49A951">
      <w:pPr>
        <w:spacing w:line="360" w:lineRule="auto"/>
        <w:ind w:left="3202" w:leftChars="309" w:hanging="2553" w:hangingChars="489"/>
        <w:jc w:val="center"/>
        <w:rPr>
          <w:rFonts w:ascii="宋体" w:hAnsi="宋体"/>
          <w:b/>
          <w:color w:val="auto"/>
          <w:sz w:val="52"/>
          <w:szCs w:val="52"/>
        </w:rPr>
      </w:pPr>
      <w:r>
        <w:rPr>
          <w:rFonts w:ascii="宋体" w:hAnsi="宋体"/>
          <w:b/>
          <w:color w:val="auto"/>
          <w:sz w:val="52"/>
          <w:szCs w:val="52"/>
        </w:rPr>
        <w:drawing>
          <wp:inline distT="0" distB="0" distL="0" distR="0">
            <wp:extent cx="2081530" cy="1378585"/>
            <wp:effectExtent l="0" t="0" r="13970" b="1206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081530" cy="1378585"/>
                    </a:xfrm>
                    <a:prstGeom prst="rect">
                      <a:avLst/>
                    </a:prstGeom>
                    <a:noFill/>
                  </pic:spPr>
                </pic:pic>
              </a:graphicData>
            </a:graphic>
          </wp:inline>
        </w:drawing>
      </w:r>
    </w:p>
    <w:p w14:paraId="7D13208E">
      <w:pPr>
        <w:pStyle w:val="18"/>
        <w:rPr>
          <w:rFonts w:ascii="宋体" w:hAnsi="宋体"/>
          <w:b/>
          <w:color w:val="auto"/>
          <w:sz w:val="52"/>
          <w:szCs w:val="52"/>
        </w:rPr>
      </w:pPr>
    </w:p>
    <w:p w14:paraId="28205449">
      <w:pPr>
        <w:jc w:val="center"/>
        <w:rPr>
          <w:rFonts w:ascii="宋体" w:hAnsi="宋体"/>
          <w:b/>
          <w:color w:val="auto"/>
          <w:sz w:val="52"/>
          <w:szCs w:val="52"/>
        </w:rPr>
      </w:pPr>
      <w:r>
        <w:rPr>
          <w:rFonts w:hint="eastAsia" w:ascii="宋体" w:hAnsi="宋体"/>
          <w:b/>
          <w:color w:val="auto"/>
          <w:sz w:val="52"/>
          <w:szCs w:val="52"/>
        </w:rPr>
        <w:t xml:space="preserve">  </w:t>
      </w:r>
      <w:r>
        <w:rPr>
          <w:rFonts w:ascii="宋体" w:hAnsi="宋体"/>
          <w:b/>
          <w:color w:val="auto"/>
          <w:sz w:val="52"/>
          <w:szCs w:val="52"/>
        </w:rPr>
        <w:t>招</w:t>
      </w:r>
      <w:r>
        <w:rPr>
          <w:rFonts w:hint="eastAsia" w:ascii="宋体" w:hAnsi="宋体"/>
          <w:b/>
          <w:color w:val="auto"/>
          <w:sz w:val="52"/>
          <w:szCs w:val="52"/>
        </w:rPr>
        <w:t xml:space="preserve"> </w:t>
      </w:r>
      <w:r>
        <w:rPr>
          <w:rFonts w:ascii="宋体" w:hAnsi="宋体"/>
          <w:b/>
          <w:color w:val="auto"/>
          <w:sz w:val="52"/>
          <w:szCs w:val="52"/>
        </w:rPr>
        <w:t>标</w:t>
      </w:r>
      <w:r>
        <w:rPr>
          <w:rFonts w:hint="eastAsia" w:ascii="宋体" w:hAnsi="宋体"/>
          <w:b/>
          <w:color w:val="auto"/>
          <w:sz w:val="52"/>
          <w:szCs w:val="52"/>
        </w:rPr>
        <w:t xml:space="preserve"> </w:t>
      </w:r>
      <w:r>
        <w:rPr>
          <w:rFonts w:ascii="宋体" w:hAnsi="宋体"/>
          <w:b/>
          <w:color w:val="auto"/>
          <w:sz w:val="52"/>
          <w:szCs w:val="52"/>
        </w:rPr>
        <w:t>文</w:t>
      </w:r>
      <w:r>
        <w:rPr>
          <w:rFonts w:hint="eastAsia" w:ascii="宋体" w:hAnsi="宋体"/>
          <w:b/>
          <w:color w:val="auto"/>
          <w:sz w:val="52"/>
          <w:szCs w:val="52"/>
        </w:rPr>
        <w:t xml:space="preserve"> </w:t>
      </w:r>
      <w:r>
        <w:rPr>
          <w:rFonts w:ascii="宋体" w:hAnsi="宋体"/>
          <w:b/>
          <w:color w:val="auto"/>
          <w:sz w:val="52"/>
          <w:szCs w:val="52"/>
        </w:rPr>
        <w:t>件</w:t>
      </w:r>
    </w:p>
    <w:p w14:paraId="3B5440A6">
      <w:pPr>
        <w:jc w:val="center"/>
        <w:rPr>
          <w:rFonts w:ascii="宋体" w:hAnsi="宋体"/>
          <w:b/>
          <w:color w:val="auto"/>
          <w:sz w:val="24"/>
          <w:szCs w:val="24"/>
        </w:rPr>
      </w:pPr>
    </w:p>
    <w:p w14:paraId="2A8D0B13">
      <w:pPr>
        <w:pStyle w:val="17"/>
        <w:rPr>
          <w:rFonts w:ascii="宋体" w:hAnsi="宋体"/>
          <w:b/>
          <w:color w:val="auto"/>
          <w:sz w:val="24"/>
          <w:szCs w:val="24"/>
        </w:rPr>
      </w:pPr>
    </w:p>
    <w:p w14:paraId="235DF095">
      <w:pPr>
        <w:pStyle w:val="17"/>
        <w:rPr>
          <w:rFonts w:ascii="宋体" w:hAnsi="宋体"/>
          <w:b/>
          <w:color w:val="auto"/>
          <w:sz w:val="24"/>
          <w:szCs w:val="24"/>
        </w:rPr>
      </w:pPr>
    </w:p>
    <w:p w14:paraId="4A2D9499">
      <w:pPr>
        <w:keepNext w:val="0"/>
        <w:keepLines w:val="0"/>
        <w:pageBreakBefore w:val="0"/>
        <w:widowControl w:val="0"/>
        <w:tabs>
          <w:tab w:val="left" w:pos="6835"/>
        </w:tabs>
        <w:kinsoku/>
        <w:wordWrap/>
        <w:overflowPunct/>
        <w:topLinePunct w:val="0"/>
        <w:autoSpaceDE/>
        <w:autoSpaceDN/>
        <w:bidi w:val="0"/>
        <w:adjustRightInd/>
        <w:snapToGrid/>
        <w:spacing w:line="960" w:lineRule="auto"/>
        <w:ind w:firstLine="1606" w:firstLineChars="500"/>
        <w:jc w:val="left"/>
        <w:textAlignment w:val="auto"/>
        <w:rPr>
          <w:rFonts w:hint="default" w:ascii="宋体" w:hAnsi="宋体" w:eastAsia="宋体"/>
          <w:b/>
          <w:color w:val="auto"/>
          <w:sz w:val="32"/>
          <w:szCs w:val="32"/>
          <w:lang w:val="en-US" w:eastAsia="zh-CN"/>
        </w:rPr>
      </w:pPr>
      <w:r>
        <w:rPr>
          <w:rFonts w:ascii="宋体" w:hAnsi="宋体"/>
          <w:b/>
          <w:color w:val="auto"/>
          <w:sz w:val="32"/>
          <w:szCs w:val="32"/>
        </w:rPr>
        <w:t>采</w:t>
      </w:r>
      <w:r>
        <w:rPr>
          <w:rFonts w:hint="eastAsia" w:ascii="宋体" w:hAnsi="宋体"/>
          <w:b/>
          <w:color w:val="auto"/>
          <w:sz w:val="32"/>
          <w:szCs w:val="32"/>
          <w:lang w:val="en-US" w:eastAsia="zh-CN"/>
        </w:rPr>
        <w:t xml:space="preserve">   </w:t>
      </w:r>
      <w:r>
        <w:rPr>
          <w:rFonts w:ascii="宋体" w:hAnsi="宋体"/>
          <w:b/>
          <w:color w:val="auto"/>
          <w:sz w:val="32"/>
          <w:szCs w:val="32"/>
        </w:rPr>
        <w:t>购</w:t>
      </w:r>
      <w:r>
        <w:rPr>
          <w:rFonts w:hint="eastAsia" w:ascii="宋体" w:hAnsi="宋体"/>
          <w:b/>
          <w:color w:val="auto"/>
          <w:sz w:val="32"/>
          <w:szCs w:val="32"/>
          <w:lang w:val="en-US" w:eastAsia="zh-CN"/>
        </w:rPr>
        <w:t xml:space="preserve">   </w:t>
      </w:r>
      <w:r>
        <w:rPr>
          <w:rFonts w:hint="eastAsia" w:ascii="宋体" w:hAnsi="宋体"/>
          <w:b/>
          <w:color w:val="auto"/>
          <w:sz w:val="32"/>
          <w:szCs w:val="32"/>
        </w:rPr>
        <w:t>人</w:t>
      </w:r>
      <w:r>
        <w:rPr>
          <w:rFonts w:ascii="宋体" w:hAnsi="宋体"/>
          <w:b/>
          <w:color w:val="auto"/>
          <w:sz w:val="32"/>
          <w:szCs w:val="32"/>
        </w:rPr>
        <w:t>：</w:t>
      </w:r>
      <w:r>
        <w:rPr>
          <w:rFonts w:hint="eastAsia" w:ascii="宋体" w:hAnsi="宋体"/>
          <w:b/>
          <w:color w:val="auto"/>
          <w:sz w:val="32"/>
          <w:szCs w:val="32"/>
          <w:lang w:eastAsia="zh-CN"/>
        </w:rPr>
        <w:t>安康市初级中学</w:t>
      </w:r>
    </w:p>
    <w:p w14:paraId="3AAE393A">
      <w:pPr>
        <w:keepNext w:val="0"/>
        <w:keepLines w:val="0"/>
        <w:pageBreakBefore w:val="0"/>
        <w:widowControl w:val="0"/>
        <w:tabs>
          <w:tab w:val="left" w:pos="6835"/>
        </w:tabs>
        <w:kinsoku/>
        <w:wordWrap/>
        <w:overflowPunct/>
        <w:topLinePunct w:val="0"/>
        <w:autoSpaceDE/>
        <w:autoSpaceDN/>
        <w:bidi w:val="0"/>
        <w:adjustRightInd/>
        <w:snapToGrid/>
        <w:spacing w:line="960" w:lineRule="auto"/>
        <w:ind w:firstLine="1606" w:firstLineChars="500"/>
        <w:jc w:val="left"/>
        <w:textAlignment w:val="auto"/>
        <w:rPr>
          <w:rFonts w:hint="eastAsia" w:ascii="宋体" w:hAnsi="宋体"/>
          <w:b/>
          <w:color w:val="auto"/>
          <w:sz w:val="32"/>
          <w:szCs w:val="32"/>
        </w:rPr>
      </w:pPr>
      <w:r>
        <w:rPr>
          <w:rFonts w:hint="eastAsia" w:ascii="宋体" w:hAnsi="宋体"/>
          <w:b/>
          <w:color w:val="auto"/>
          <w:sz w:val="32"/>
          <w:szCs w:val="32"/>
        </w:rPr>
        <w:t>采购代理机构</w:t>
      </w:r>
      <w:r>
        <w:rPr>
          <w:rFonts w:ascii="宋体" w:hAnsi="宋体"/>
          <w:b/>
          <w:color w:val="auto"/>
          <w:sz w:val="32"/>
          <w:szCs w:val="32"/>
        </w:rPr>
        <w:t>：</w:t>
      </w:r>
      <w:r>
        <w:rPr>
          <w:rFonts w:hint="eastAsia" w:ascii="宋体" w:hAnsi="宋体"/>
          <w:b/>
          <w:color w:val="auto"/>
          <w:sz w:val="32"/>
          <w:szCs w:val="32"/>
        </w:rPr>
        <w:t>安康尚昊招标代理有限公司</w:t>
      </w:r>
    </w:p>
    <w:p w14:paraId="4C059A04">
      <w:pPr>
        <w:keepNext w:val="0"/>
        <w:keepLines w:val="0"/>
        <w:pageBreakBefore w:val="0"/>
        <w:widowControl w:val="0"/>
        <w:tabs>
          <w:tab w:val="left" w:pos="6835"/>
        </w:tabs>
        <w:kinsoku/>
        <w:wordWrap/>
        <w:overflowPunct/>
        <w:topLinePunct w:val="0"/>
        <w:autoSpaceDE/>
        <w:autoSpaceDN/>
        <w:bidi w:val="0"/>
        <w:adjustRightInd/>
        <w:snapToGrid/>
        <w:spacing w:line="480" w:lineRule="auto"/>
        <w:ind w:firstLine="1606" w:firstLineChars="500"/>
        <w:jc w:val="left"/>
        <w:textAlignment w:val="auto"/>
        <w:rPr>
          <w:rFonts w:ascii="宋体" w:hAnsi="宋体"/>
          <w:b/>
          <w:bCs/>
          <w:color w:val="auto"/>
          <w:sz w:val="30"/>
          <w:szCs w:val="30"/>
        </w:rPr>
      </w:pPr>
      <w:r>
        <w:rPr>
          <w:rFonts w:hint="eastAsia" w:ascii="宋体" w:hAnsi="宋体" w:cs="Arial"/>
          <w:b/>
          <w:bCs/>
          <w:color w:val="auto"/>
          <w:sz w:val="32"/>
          <w:szCs w:val="32"/>
          <w:lang w:val="en-US" w:eastAsia="zh-CN"/>
        </w:rPr>
        <w:t>日        期：二〇二六年四</w:t>
      </w:r>
      <w:r>
        <w:rPr>
          <w:rFonts w:ascii="宋体" w:hAnsi="宋体"/>
          <w:b/>
          <w:bCs/>
          <w:color w:val="auto"/>
          <w:sz w:val="32"/>
          <w:szCs w:val="32"/>
        </w:rPr>
        <w:t>月</w:t>
      </w:r>
    </w:p>
    <w:p w14:paraId="23A090D6">
      <w:pPr>
        <w:pStyle w:val="2"/>
        <w:pageBreakBefore w:val="0"/>
        <w:widowControl w:val="0"/>
        <w:tabs>
          <w:tab w:val="center" w:pos="4535"/>
          <w:tab w:val="left" w:pos="6489"/>
        </w:tabs>
        <w:kinsoku/>
        <w:wordWrap/>
        <w:overflowPunct/>
        <w:topLinePunct w:val="0"/>
        <w:autoSpaceDE/>
        <w:autoSpaceDN/>
        <w:bidi w:val="0"/>
        <w:adjustRightInd/>
        <w:snapToGrid/>
        <w:spacing w:before="0" w:after="0" w:line="480" w:lineRule="auto"/>
        <w:jc w:val="left"/>
        <w:textAlignment w:val="auto"/>
        <w:rPr>
          <w:rFonts w:ascii="宋体" w:hAnsi="宋体"/>
          <w:color w:val="auto"/>
          <w:sz w:val="30"/>
          <w:szCs w:val="30"/>
        </w:rPr>
        <w:sectPr>
          <w:headerReference r:id="rId4" w:type="first"/>
          <w:footerReference r:id="rId6" w:type="first"/>
          <w:headerReference r:id="rId3" w:type="default"/>
          <w:footerReference r:id="rId5" w:type="default"/>
          <w:type w:val="evenPage"/>
          <w:pgSz w:w="11905" w:h="16838"/>
          <w:pgMar w:top="1247" w:right="1417" w:bottom="1247" w:left="1417" w:header="964" w:footer="992" w:gutter="0"/>
          <w:pgBorders>
            <w:top w:val="none" w:sz="0" w:space="0"/>
            <w:left w:val="none" w:sz="0" w:space="0"/>
            <w:bottom w:val="none" w:sz="0" w:space="0"/>
            <w:right w:val="none" w:sz="0" w:space="0"/>
          </w:pgBorders>
          <w:pgNumType w:fmt="decimal" w:start="0"/>
          <w:cols w:space="0" w:num="1"/>
          <w:rtlGutter w:val="0"/>
          <w:docGrid w:type="lines" w:linePitch="326" w:charSpace="0"/>
        </w:sectPr>
      </w:pPr>
      <w:bookmarkStart w:id="0" w:name="_Toc23258603"/>
    </w:p>
    <w:p w14:paraId="24305325">
      <w:pPr>
        <w:pStyle w:val="2"/>
        <w:tabs>
          <w:tab w:val="center" w:pos="4535"/>
          <w:tab w:val="left" w:pos="6489"/>
        </w:tabs>
        <w:spacing w:before="0" w:after="0" w:line="360" w:lineRule="auto"/>
        <w:jc w:val="left"/>
        <w:rPr>
          <w:rFonts w:ascii="宋体" w:hAnsi="宋体"/>
          <w:color w:val="auto"/>
          <w:sz w:val="48"/>
          <w:szCs w:val="36"/>
        </w:rPr>
      </w:pPr>
      <w:r>
        <w:rPr>
          <w:rFonts w:ascii="宋体" w:hAnsi="宋体"/>
          <w:color w:val="auto"/>
          <w:sz w:val="48"/>
          <w:szCs w:val="36"/>
        </w:rPr>
        <w:tab/>
      </w:r>
      <w:bookmarkStart w:id="1" w:name="_Toc38441518"/>
    </w:p>
    <w:p w14:paraId="304499A0">
      <w:pPr>
        <w:keepNext/>
        <w:keepLines/>
        <w:pageBreakBefore w:val="0"/>
        <w:widowControl w:val="0"/>
        <w:tabs>
          <w:tab w:val="center" w:pos="4535"/>
          <w:tab w:val="left" w:pos="6489"/>
        </w:tabs>
        <w:kinsoku/>
        <w:wordWrap/>
        <w:overflowPunct/>
        <w:topLinePunct w:val="0"/>
        <w:autoSpaceDE/>
        <w:autoSpaceDN/>
        <w:bidi w:val="0"/>
        <w:adjustRightInd/>
        <w:snapToGrid/>
        <w:spacing w:before="0" w:after="262" w:afterLines="80" w:line="360" w:lineRule="auto"/>
        <w:jc w:val="center"/>
        <w:textAlignment w:val="auto"/>
        <w:outlineLvl w:val="9"/>
        <w:rPr>
          <w:rFonts w:hint="eastAsia" w:ascii="宋体" w:hAnsi="宋体" w:eastAsia="宋体" w:cs="宋体"/>
          <w:b/>
          <w:bCs/>
          <w:color w:val="auto"/>
          <w:sz w:val="32"/>
          <w:szCs w:val="32"/>
        </w:rPr>
      </w:pPr>
      <w:bookmarkStart w:id="2" w:name="_Toc4802"/>
      <w:bookmarkStart w:id="3" w:name="_Toc18333"/>
      <w:r>
        <w:rPr>
          <w:rFonts w:hint="eastAsia" w:ascii="宋体" w:hAnsi="宋体" w:eastAsia="宋体" w:cs="宋体"/>
          <w:b w:val="0"/>
          <w:bCs w:val="0"/>
          <w:color w:val="auto"/>
          <w:sz w:val="60"/>
          <w:szCs w:val="60"/>
        </w:rPr>
        <w:t>目  录</w:t>
      </w:r>
      <w:bookmarkEnd w:id="1"/>
      <w:bookmarkEnd w:id="2"/>
      <w:bookmarkEnd w:id="3"/>
    </w:p>
    <w:p w14:paraId="40CC5D79">
      <w:pPr>
        <w:pStyle w:val="31"/>
        <w:tabs>
          <w:tab w:val="right" w:leader="dot" w:pos="9071"/>
        </w:tabs>
        <w:rPr>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TOC \o "1-1" \h \z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_Toc25555 </w:instrText>
      </w:r>
      <w:r>
        <w:rPr>
          <w:rFonts w:hint="eastAsia" w:ascii="宋体" w:hAnsi="宋体" w:eastAsia="宋体" w:cs="宋体"/>
          <w:color w:val="auto"/>
          <w:sz w:val="28"/>
          <w:szCs w:val="44"/>
        </w:rPr>
        <w:fldChar w:fldCharType="separate"/>
      </w:r>
      <w:r>
        <w:rPr>
          <w:rFonts w:hint="eastAsia" w:ascii="宋体" w:hAnsi="宋体"/>
          <w:color w:val="auto"/>
          <w:sz w:val="28"/>
          <w:szCs w:val="52"/>
        </w:rPr>
        <w:t xml:space="preserve">第一章 </w:t>
      </w:r>
      <w:r>
        <w:rPr>
          <w:rFonts w:hint="eastAsia" w:ascii="宋体" w:hAnsi="宋体"/>
          <w:color w:val="auto"/>
          <w:sz w:val="28"/>
          <w:szCs w:val="52"/>
          <w:lang w:val="en-US" w:eastAsia="zh-CN"/>
        </w:rPr>
        <w:t xml:space="preserve"> </w:t>
      </w:r>
      <w:r>
        <w:rPr>
          <w:rFonts w:hint="eastAsia" w:ascii="宋体" w:hAnsi="宋体"/>
          <w:color w:val="auto"/>
          <w:sz w:val="28"/>
          <w:szCs w:val="52"/>
        </w:rPr>
        <w:t>招标公告</w:t>
      </w:r>
      <w:r>
        <w:rPr>
          <w:color w:val="auto"/>
          <w:sz w:val="28"/>
          <w:szCs w:val="28"/>
        </w:rPr>
        <w:tab/>
      </w:r>
      <w:r>
        <w:rPr>
          <w:color w:val="auto"/>
          <w:sz w:val="28"/>
          <w:szCs w:val="28"/>
        </w:rPr>
        <w:fldChar w:fldCharType="begin"/>
      </w:r>
      <w:r>
        <w:rPr>
          <w:color w:val="auto"/>
          <w:sz w:val="28"/>
          <w:szCs w:val="28"/>
        </w:rPr>
        <w:instrText xml:space="preserve"> PAGEREF _Toc25555 \h </w:instrText>
      </w:r>
      <w:r>
        <w:rPr>
          <w:color w:val="auto"/>
          <w:sz w:val="28"/>
          <w:szCs w:val="28"/>
        </w:rPr>
        <w:fldChar w:fldCharType="separate"/>
      </w:r>
      <w:r>
        <w:rPr>
          <w:color w:val="auto"/>
          <w:sz w:val="28"/>
          <w:szCs w:val="28"/>
        </w:rPr>
        <w:t>1</w:t>
      </w:r>
      <w:r>
        <w:rPr>
          <w:color w:val="auto"/>
          <w:sz w:val="28"/>
          <w:szCs w:val="28"/>
        </w:rPr>
        <w:fldChar w:fldCharType="end"/>
      </w:r>
      <w:r>
        <w:rPr>
          <w:rFonts w:hint="eastAsia" w:ascii="宋体" w:hAnsi="宋体" w:eastAsia="宋体" w:cs="宋体"/>
          <w:color w:val="auto"/>
          <w:sz w:val="28"/>
          <w:szCs w:val="44"/>
        </w:rPr>
        <w:fldChar w:fldCharType="end"/>
      </w:r>
    </w:p>
    <w:p w14:paraId="0165FC0F">
      <w:pPr>
        <w:pStyle w:val="31"/>
        <w:tabs>
          <w:tab w:val="right" w:leader="dot" w:pos="9071"/>
        </w:tabs>
        <w:rPr>
          <w:color w:val="auto"/>
          <w:sz w:val="28"/>
          <w:szCs w:val="28"/>
        </w:rPr>
      </w:pP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_Toc10860 </w:instrText>
      </w:r>
      <w:r>
        <w:rPr>
          <w:rFonts w:hint="eastAsia" w:ascii="宋体" w:hAnsi="宋体" w:eastAsia="宋体" w:cs="宋体"/>
          <w:color w:val="auto"/>
          <w:sz w:val="28"/>
          <w:szCs w:val="44"/>
        </w:rPr>
        <w:fldChar w:fldCharType="separate"/>
      </w:r>
      <w:r>
        <w:rPr>
          <w:rFonts w:hint="eastAsia" w:ascii="宋体" w:hAnsi="宋体"/>
          <w:color w:val="auto"/>
          <w:sz w:val="28"/>
          <w:szCs w:val="52"/>
        </w:rPr>
        <w:t xml:space="preserve">第二章 </w:t>
      </w:r>
      <w:r>
        <w:rPr>
          <w:rFonts w:hint="eastAsia" w:ascii="宋体" w:hAnsi="宋体"/>
          <w:color w:val="auto"/>
          <w:sz w:val="28"/>
          <w:szCs w:val="52"/>
          <w:lang w:val="en-US" w:eastAsia="zh-CN"/>
        </w:rPr>
        <w:t xml:space="preserve"> </w:t>
      </w:r>
      <w:r>
        <w:rPr>
          <w:rFonts w:hint="eastAsia" w:ascii="宋体" w:hAnsi="宋体"/>
          <w:color w:val="auto"/>
          <w:sz w:val="28"/>
          <w:szCs w:val="52"/>
        </w:rPr>
        <w:t>投标人须知前附表</w:t>
      </w:r>
      <w:r>
        <w:rPr>
          <w:color w:val="auto"/>
          <w:sz w:val="28"/>
          <w:szCs w:val="28"/>
        </w:rPr>
        <w:tab/>
      </w:r>
      <w:r>
        <w:rPr>
          <w:color w:val="auto"/>
          <w:sz w:val="28"/>
          <w:szCs w:val="28"/>
        </w:rPr>
        <w:fldChar w:fldCharType="begin"/>
      </w:r>
      <w:r>
        <w:rPr>
          <w:color w:val="auto"/>
          <w:sz w:val="28"/>
          <w:szCs w:val="28"/>
        </w:rPr>
        <w:instrText xml:space="preserve"> PAGEREF _Toc10860 \h </w:instrText>
      </w:r>
      <w:r>
        <w:rPr>
          <w:color w:val="auto"/>
          <w:sz w:val="28"/>
          <w:szCs w:val="28"/>
        </w:rPr>
        <w:fldChar w:fldCharType="separate"/>
      </w:r>
      <w:r>
        <w:rPr>
          <w:color w:val="auto"/>
          <w:sz w:val="28"/>
          <w:szCs w:val="28"/>
        </w:rPr>
        <w:t>6</w:t>
      </w:r>
      <w:r>
        <w:rPr>
          <w:color w:val="auto"/>
          <w:sz w:val="28"/>
          <w:szCs w:val="28"/>
        </w:rPr>
        <w:fldChar w:fldCharType="end"/>
      </w:r>
      <w:r>
        <w:rPr>
          <w:rFonts w:hint="eastAsia" w:ascii="宋体" w:hAnsi="宋体" w:eastAsia="宋体" w:cs="宋体"/>
          <w:color w:val="auto"/>
          <w:sz w:val="28"/>
          <w:szCs w:val="44"/>
        </w:rPr>
        <w:fldChar w:fldCharType="end"/>
      </w:r>
    </w:p>
    <w:p w14:paraId="400E0EF7">
      <w:pPr>
        <w:pStyle w:val="31"/>
        <w:tabs>
          <w:tab w:val="right" w:leader="dot" w:pos="9071"/>
        </w:tabs>
        <w:rPr>
          <w:color w:val="auto"/>
          <w:sz w:val="28"/>
          <w:szCs w:val="28"/>
        </w:rPr>
      </w:pP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_Toc29107 </w:instrText>
      </w:r>
      <w:r>
        <w:rPr>
          <w:rFonts w:hint="eastAsia" w:ascii="宋体" w:hAnsi="宋体" w:eastAsia="宋体" w:cs="宋体"/>
          <w:color w:val="auto"/>
          <w:sz w:val="28"/>
          <w:szCs w:val="44"/>
        </w:rPr>
        <w:fldChar w:fldCharType="separate"/>
      </w:r>
      <w:r>
        <w:rPr>
          <w:rFonts w:hint="eastAsia" w:ascii="宋体" w:hAnsi="宋体"/>
          <w:color w:val="auto"/>
          <w:sz w:val="28"/>
          <w:szCs w:val="52"/>
        </w:rPr>
        <w:t xml:space="preserve">第三章 </w:t>
      </w:r>
      <w:r>
        <w:rPr>
          <w:rFonts w:hint="eastAsia" w:ascii="宋体" w:hAnsi="宋体"/>
          <w:color w:val="auto"/>
          <w:sz w:val="28"/>
          <w:szCs w:val="52"/>
          <w:lang w:val="en-US" w:eastAsia="zh-CN"/>
        </w:rPr>
        <w:t xml:space="preserve"> </w:t>
      </w:r>
      <w:r>
        <w:rPr>
          <w:rFonts w:hint="eastAsia" w:ascii="宋体" w:hAnsi="宋体"/>
          <w:color w:val="auto"/>
          <w:sz w:val="28"/>
          <w:szCs w:val="52"/>
        </w:rPr>
        <w:t>投标人须知</w:t>
      </w:r>
      <w:r>
        <w:rPr>
          <w:color w:val="auto"/>
          <w:sz w:val="28"/>
          <w:szCs w:val="28"/>
        </w:rPr>
        <w:tab/>
      </w:r>
      <w:r>
        <w:rPr>
          <w:color w:val="auto"/>
          <w:sz w:val="28"/>
          <w:szCs w:val="28"/>
        </w:rPr>
        <w:fldChar w:fldCharType="begin"/>
      </w:r>
      <w:r>
        <w:rPr>
          <w:color w:val="auto"/>
          <w:sz w:val="28"/>
          <w:szCs w:val="28"/>
        </w:rPr>
        <w:instrText xml:space="preserve"> PAGEREF _Toc29107 \h </w:instrText>
      </w:r>
      <w:r>
        <w:rPr>
          <w:color w:val="auto"/>
          <w:sz w:val="28"/>
          <w:szCs w:val="28"/>
        </w:rPr>
        <w:fldChar w:fldCharType="separate"/>
      </w:r>
      <w:r>
        <w:rPr>
          <w:color w:val="auto"/>
          <w:sz w:val="28"/>
          <w:szCs w:val="28"/>
        </w:rPr>
        <w:t>9</w:t>
      </w:r>
      <w:r>
        <w:rPr>
          <w:color w:val="auto"/>
          <w:sz w:val="28"/>
          <w:szCs w:val="28"/>
        </w:rPr>
        <w:fldChar w:fldCharType="end"/>
      </w:r>
      <w:r>
        <w:rPr>
          <w:rFonts w:hint="eastAsia" w:ascii="宋体" w:hAnsi="宋体" w:eastAsia="宋体" w:cs="宋体"/>
          <w:color w:val="auto"/>
          <w:sz w:val="28"/>
          <w:szCs w:val="44"/>
        </w:rPr>
        <w:fldChar w:fldCharType="end"/>
      </w:r>
    </w:p>
    <w:p w14:paraId="3FD60139">
      <w:pPr>
        <w:pStyle w:val="31"/>
        <w:tabs>
          <w:tab w:val="right" w:leader="dot" w:pos="9071"/>
        </w:tabs>
        <w:rPr>
          <w:color w:val="auto"/>
          <w:sz w:val="28"/>
          <w:szCs w:val="28"/>
        </w:rPr>
      </w:pP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_Toc26197 </w:instrText>
      </w:r>
      <w:r>
        <w:rPr>
          <w:rFonts w:hint="eastAsia" w:ascii="宋体" w:hAnsi="宋体" w:eastAsia="宋体" w:cs="宋体"/>
          <w:color w:val="auto"/>
          <w:sz w:val="28"/>
          <w:szCs w:val="44"/>
        </w:rPr>
        <w:fldChar w:fldCharType="separate"/>
      </w:r>
      <w:r>
        <w:rPr>
          <w:rFonts w:hint="eastAsia" w:ascii="宋体" w:hAnsi="宋体"/>
          <w:color w:val="auto"/>
          <w:sz w:val="28"/>
          <w:szCs w:val="28"/>
        </w:rPr>
        <w:t xml:space="preserve">第四章 </w:t>
      </w:r>
      <w:r>
        <w:rPr>
          <w:rFonts w:hint="eastAsia" w:ascii="宋体" w:hAnsi="宋体"/>
          <w:color w:val="auto"/>
          <w:sz w:val="28"/>
          <w:szCs w:val="28"/>
          <w:lang w:val="en-US" w:eastAsia="zh-CN"/>
        </w:rPr>
        <w:t xml:space="preserve"> </w:t>
      </w:r>
      <w:r>
        <w:rPr>
          <w:rFonts w:hint="eastAsia" w:ascii="宋体" w:hAnsi="宋体"/>
          <w:color w:val="auto"/>
          <w:sz w:val="28"/>
          <w:szCs w:val="28"/>
        </w:rPr>
        <w:t>采购内容</w:t>
      </w:r>
      <w:r>
        <w:rPr>
          <w:rFonts w:hint="eastAsia" w:ascii="宋体" w:hAnsi="宋体"/>
          <w:color w:val="auto"/>
          <w:sz w:val="28"/>
          <w:szCs w:val="28"/>
          <w:lang w:val="en-US" w:eastAsia="zh-CN"/>
        </w:rPr>
        <w:t>及要求</w:t>
      </w:r>
      <w:r>
        <w:rPr>
          <w:color w:val="auto"/>
          <w:sz w:val="28"/>
          <w:szCs w:val="28"/>
        </w:rPr>
        <w:tab/>
      </w:r>
      <w:r>
        <w:rPr>
          <w:color w:val="auto"/>
          <w:sz w:val="28"/>
          <w:szCs w:val="28"/>
        </w:rPr>
        <w:fldChar w:fldCharType="begin"/>
      </w:r>
      <w:r>
        <w:rPr>
          <w:color w:val="auto"/>
          <w:sz w:val="28"/>
          <w:szCs w:val="28"/>
        </w:rPr>
        <w:instrText xml:space="preserve"> PAGEREF _Toc26197 \h </w:instrText>
      </w:r>
      <w:r>
        <w:rPr>
          <w:color w:val="auto"/>
          <w:sz w:val="28"/>
          <w:szCs w:val="28"/>
        </w:rPr>
        <w:fldChar w:fldCharType="separate"/>
      </w:r>
      <w:r>
        <w:rPr>
          <w:color w:val="auto"/>
          <w:sz w:val="28"/>
          <w:szCs w:val="28"/>
        </w:rPr>
        <w:t>26</w:t>
      </w:r>
      <w:r>
        <w:rPr>
          <w:color w:val="auto"/>
          <w:sz w:val="28"/>
          <w:szCs w:val="28"/>
        </w:rPr>
        <w:fldChar w:fldCharType="end"/>
      </w:r>
      <w:r>
        <w:rPr>
          <w:rFonts w:hint="eastAsia" w:ascii="宋体" w:hAnsi="宋体" w:eastAsia="宋体" w:cs="宋体"/>
          <w:color w:val="auto"/>
          <w:sz w:val="28"/>
          <w:szCs w:val="44"/>
        </w:rPr>
        <w:fldChar w:fldCharType="end"/>
      </w:r>
    </w:p>
    <w:p w14:paraId="6687BBE9">
      <w:pPr>
        <w:pStyle w:val="31"/>
        <w:tabs>
          <w:tab w:val="right" w:leader="dot" w:pos="9071"/>
        </w:tabs>
        <w:rPr>
          <w:color w:val="auto"/>
          <w:sz w:val="28"/>
          <w:szCs w:val="28"/>
        </w:rPr>
      </w:pP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_Toc5628 </w:instrText>
      </w:r>
      <w:r>
        <w:rPr>
          <w:rFonts w:hint="eastAsia" w:ascii="宋体" w:hAnsi="宋体" w:eastAsia="宋体" w:cs="宋体"/>
          <w:color w:val="auto"/>
          <w:sz w:val="28"/>
          <w:szCs w:val="44"/>
        </w:rPr>
        <w:fldChar w:fldCharType="separate"/>
      </w:r>
      <w:r>
        <w:rPr>
          <w:rFonts w:hint="eastAsia" w:ascii="宋体" w:hAnsi="宋体" w:eastAsia="宋体" w:cs="Times New Roman"/>
          <w:bCs/>
          <w:color w:val="auto"/>
          <w:kern w:val="44"/>
          <w:sz w:val="28"/>
          <w:szCs w:val="60"/>
          <w:lang w:val="en-US" w:eastAsia="zh-CN" w:bidi="ar-SA"/>
        </w:rPr>
        <w:t>第五章  商务要求</w:t>
      </w:r>
      <w:r>
        <w:rPr>
          <w:color w:val="auto"/>
          <w:sz w:val="28"/>
          <w:szCs w:val="28"/>
        </w:rPr>
        <w:tab/>
      </w:r>
      <w:r>
        <w:rPr>
          <w:color w:val="auto"/>
          <w:sz w:val="28"/>
          <w:szCs w:val="28"/>
        </w:rPr>
        <w:fldChar w:fldCharType="begin"/>
      </w:r>
      <w:r>
        <w:rPr>
          <w:color w:val="auto"/>
          <w:sz w:val="28"/>
          <w:szCs w:val="28"/>
        </w:rPr>
        <w:instrText xml:space="preserve"> PAGEREF _Toc5628 \h </w:instrText>
      </w:r>
      <w:r>
        <w:rPr>
          <w:color w:val="auto"/>
          <w:sz w:val="28"/>
          <w:szCs w:val="28"/>
        </w:rPr>
        <w:fldChar w:fldCharType="separate"/>
      </w:r>
      <w:r>
        <w:rPr>
          <w:color w:val="auto"/>
          <w:sz w:val="28"/>
          <w:szCs w:val="28"/>
        </w:rPr>
        <w:t>34</w:t>
      </w:r>
      <w:r>
        <w:rPr>
          <w:color w:val="auto"/>
          <w:sz w:val="28"/>
          <w:szCs w:val="28"/>
        </w:rPr>
        <w:fldChar w:fldCharType="end"/>
      </w:r>
      <w:r>
        <w:rPr>
          <w:rFonts w:hint="eastAsia" w:ascii="宋体" w:hAnsi="宋体" w:eastAsia="宋体" w:cs="宋体"/>
          <w:color w:val="auto"/>
          <w:sz w:val="28"/>
          <w:szCs w:val="44"/>
        </w:rPr>
        <w:fldChar w:fldCharType="end"/>
      </w:r>
    </w:p>
    <w:p w14:paraId="25A8CF7C">
      <w:pPr>
        <w:pStyle w:val="31"/>
        <w:tabs>
          <w:tab w:val="right" w:leader="dot" w:pos="9071"/>
        </w:tabs>
        <w:rPr>
          <w:color w:val="auto"/>
          <w:sz w:val="28"/>
          <w:szCs w:val="28"/>
        </w:rPr>
      </w:pP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_Toc22418 </w:instrText>
      </w:r>
      <w:r>
        <w:rPr>
          <w:rFonts w:hint="eastAsia" w:ascii="宋体" w:hAnsi="宋体" w:eastAsia="宋体" w:cs="宋体"/>
          <w:color w:val="auto"/>
          <w:sz w:val="28"/>
          <w:szCs w:val="44"/>
        </w:rPr>
        <w:fldChar w:fldCharType="separate"/>
      </w:r>
      <w:r>
        <w:rPr>
          <w:rFonts w:hint="eastAsia" w:ascii="宋体" w:hAnsi="宋体"/>
          <w:color w:val="auto"/>
          <w:sz w:val="28"/>
          <w:szCs w:val="28"/>
        </w:rPr>
        <w:t>第</w:t>
      </w:r>
      <w:r>
        <w:rPr>
          <w:rFonts w:hint="eastAsia" w:ascii="宋体" w:hAnsi="宋体"/>
          <w:color w:val="auto"/>
          <w:sz w:val="28"/>
          <w:szCs w:val="28"/>
          <w:lang w:val="en-US" w:eastAsia="zh-CN"/>
        </w:rPr>
        <w:t>六</w:t>
      </w:r>
      <w:r>
        <w:rPr>
          <w:rFonts w:hint="eastAsia" w:ascii="宋体" w:hAnsi="宋体"/>
          <w:color w:val="auto"/>
          <w:sz w:val="28"/>
          <w:szCs w:val="28"/>
        </w:rPr>
        <w:t xml:space="preserve">章 </w:t>
      </w:r>
      <w:r>
        <w:rPr>
          <w:rFonts w:hint="eastAsia" w:ascii="宋体" w:hAnsi="宋体"/>
          <w:color w:val="auto"/>
          <w:sz w:val="28"/>
          <w:szCs w:val="28"/>
          <w:lang w:val="en-US" w:eastAsia="zh-CN"/>
        </w:rPr>
        <w:t xml:space="preserve"> </w:t>
      </w:r>
      <w:r>
        <w:rPr>
          <w:rFonts w:hint="eastAsia" w:ascii="宋体" w:hAnsi="宋体" w:cs="Times New Roman"/>
          <w:color w:val="auto"/>
          <w:sz w:val="28"/>
          <w:szCs w:val="28"/>
        </w:rPr>
        <w:t>合同格式</w:t>
      </w:r>
      <w:r>
        <w:rPr>
          <w:color w:val="auto"/>
          <w:sz w:val="28"/>
          <w:szCs w:val="28"/>
        </w:rPr>
        <w:tab/>
      </w:r>
      <w:r>
        <w:rPr>
          <w:color w:val="auto"/>
          <w:sz w:val="28"/>
          <w:szCs w:val="28"/>
        </w:rPr>
        <w:fldChar w:fldCharType="begin"/>
      </w:r>
      <w:r>
        <w:rPr>
          <w:color w:val="auto"/>
          <w:sz w:val="28"/>
          <w:szCs w:val="28"/>
        </w:rPr>
        <w:instrText xml:space="preserve"> PAGEREF _Toc22418 \h </w:instrText>
      </w:r>
      <w:r>
        <w:rPr>
          <w:color w:val="auto"/>
          <w:sz w:val="28"/>
          <w:szCs w:val="28"/>
        </w:rPr>
        <w:fldChar w:fldCharType="separate"/>
      </w:r>
      <w:r>
        <w:rPr>
          <w:color w:val="auto"/>
          <w:sz w:val="28"/>
          <w:szCs w:val="28"/>
        </w:rPr>
        <w:t>36</w:t>
      </w:r>
      <w:r>
        <w:rPr>
          <w:color w:val="auto"/>
          <w:sz w:val="28"/>
          <w:szCs w:val="28"/>
        </w:rPr>
        <w:fldChar w:fldCharType="end"/>
      </w:r>
      <w:r>
        <w:rPr>
          <w:rFonts w:hint="eastAsia" w:ascii="宋体" w:hAnsi="宋体" w:eastAsia="宋体" w:cs="宋体"/>
          <w:color w:val="auto"/>
          <w:sz w:val="28"/>
          <w:szCs w:val="44"/>
        </w:rPr>
        <w:fldChar w:fldCharType="end"/>
      </w:r>
    </w:p>
    <w:p w14:paraId="64361797">
      <w:pPr>
        <w:pStyle w:val="31"/>
        <w:tabs>
          <w:tab w:val="right" w:leader="dot" w:pos="9071"/>
        </w:tabs>
        <w:rPr>
          <w:color w:val="auto"/>
        </w:rPr>
      </w:pPr>
      <w:r>
        <w:rPr>
          <w:rFonts w:hint="eastAsia" w:ascii="宋体" w:hAnsi="宋体" w:eastAsia="宋体" w:cs="宋体"/>
          <w:color w:val="auto"/>
          <w:sz w:val="28"/>
          <w:szCs w:val="44"/>
        </w:rPr>
        <w:fldChar w:fldCharType="begin"/>
      </w:r>
      <w:r>
        <w:rPr>
          <w:rFonts w:hint="eastAsia" w:ascii="宋体" w:hAnsi="宋体" w:eastAsia="宋体" w:cs="宋体"/>
          <w:color w:val="auto"/>
          <w:sz w:val="28"/>
          <w:szCs w:val="44"/>
        </w:rPr>
        <w:instrText xml:space="preserve"> HYPERLINK \l _Toc30111 </w:instrText>
      </w:r>
      <w:r>
        <w:rPr>
          <w:rFonts w:hint="eastAsia" w:ascii="宋体" w:hAnsi="宋体" w:eastAsia="宋体" w:cs="宋体"/>
          <w:color w:val="auto"/>
          <w:sz w:val="28"/>
          <w:szCs w:val="44"/>
        </w:rPr>
        <w:fldChar w:fldCharType="separate"/>
      </w:r>
      <w:r>
        <w:rPr>
          <w:rFonts w:hint="eastAsia"/>
          <w:color w:val="auto"/>
          <w:sz w:val="28"/>
          <w:szCs w:val="28"/>
        </w:rPr>
        <w:t>第</w:t>
      </w:r>
      <w:r>
        <w:rPr>
          <w:rFonts w:hint="eastAsia"/>
          <w:color w:val="auto"/>
          <w:sz w:val="28"/>
          <w:szCs w:val="28"/>
          <w:lang w:val="en-US" w:eastAsia="zh-CN"/>
        </w:rPr>
        <w:t>七</w:t>
      </w:r>
      <w:r>
        <w:rPr>
          <w:rFonts w:hint="eastAsia"/>
          <w:color w:val="auto"/>
          <w:sz w:val="28"/>
          <w:szCs w:val="28"/>
        </w:rPr>
        <w:t xml:space="preserve">章 </w:t>
      </w:r>
      <w:r>
        <w:rPr>
          <w:rFonts w:hint="eastAsia"/>
          <w:color w:val="auto"/>
          <w:sz w:val="28"/>
          <w:szCs w:val="28"/>
          <w:lang w:val="en-US" w:eastAsia="zh-CN"/>
        </w:rPr>
        <w:t xml:space="preserve"> </w:t>
      </w:r>
      <w:r>
        <w:rPr>
          <w:rFonts w:hint="eastAsia"/>
          <w:color w:val="auto"/>
          <w:sz w:val="28"/>
          <w:szCs w:val="28"/>
        </w:rPr>
        <w:t>投标文件（格式）</w:t>
      </w:r>
      <w:r>
        <w:rPr>
          <w:color w:val="auto"/>
          <w:sz w:val="28"/>
          <w:szCs w:val="28"/>
        </w:rPr>
        <w:tab/>
      </w:r>
      <w:r>
        <w:rPr>
          <w:color w:val="auto"/>
          <w:sz w:val="28"/>
          <w:szCs w:val="28"/>
        </w:rPr>
        <w:fldChar w:fldCharType="begin"/>
      </w:r>
      <w:r>
        <w:rPr>
          <w:color w:val="auto"/>
          <w:sz w:val="28"/>
          <w:szCs w:val="28"/>
        </w:rPr>
        <w:instrText xml:space="preserve"> PAGEREF _Toc30111 \h </w:instrText>
      </w:r>
      <w:r>
        <w:rPr>
          <w:color w:val="auto"/>
          <w:sz w:val="28"/>
          <w:szCs w:val="28"/>
        </w:rPr>
        <w:fldChar w:fldCharType="separate"/>
      </w:r>
      <w:r>
        <w:rPr>
          <w:color w:val="auto"/>
          <w:sz w:val="28"/>
          <w:szCs w:val="28"/>
        </w:rPr>
        <w:t>44</w:t>
      </w:r>
      <w:r>
        <w:rPr>
          <w:color w:val="auto"/>
          <w:sz w:val="28"/>
          <w:szCs w:val="28"/>
        </w:rPr>
        <w:fldChar w:fldCharType="end"/>
      </w:r>
      <w:r>
        <w:rPr>
          <w:rFonts w:hint="eastAsia" w:ascii="宋体" w:hAnsi="宋体" w:eastAsia="宋体" w:cs="宋体"/>
          <w:color w:val="auto"/>
          <w:sz w:val="28"/>
          <w:szCs w:val="44"/>
        </w:rPr>
        <w:fldChar w:fldCharType="end"/>
      </w:r>
    </w:p>
    <w:p w14:paraId="0AD27049">
      <w:pPr>
        <w:spacing w:line="480" w:lineRule="auto"/>
        <w:rPr>
          <w:color w:val="auto"/>
        </w:rPr>
      </w:pPr>
      <w:r>
        <w:rPr>
          <w:rFonts w:hint="eastAsia" w:ascii="宋体" w:hAnsi="宋体" w:eastAsia="宋体" w:cs="宋体"/>
          <w:color w:val="auto"/>
          <w:szCs w:val="28"/>
        </w:rPr>
        <w:fldChar w:fldCharType="end"/>
      </w:r>
    </w:p>
    <w:p w14:paraId="5FB8E918">
      <w:pPr>
        <w:rPr>
          <w:color w:val="auto"/>
        </w:rPr>
      </w:pPr>
    </w:p>
    <w:p w14:paraId="5C525C05">
      <w:pPr>
        <w:pStyle w:val="2"/>
        <w:tabs>
          <w:tab w:val="center" w:pos="4535"/>
          <w:tab w:val="left" w:pos="6489"/>
        </w:tabs>
        <w:spacing w:before="0" w:after="0" w:line="360" w:lineRule="auto"/>
        <w:jc w:val="center"/>
        <w:rPr>
          <w:color w:val="auto"/>
        </w:rPr>
        <w:sectPr>
          <w:footerReference r:id="rId8" w:type="first"/>
          <w:footerReference r:id="rId7" w:type="default"/>
          <w:pgSz w:w="11905" w:h="16838"/>
          <w:pgMar w:top="1247" w:right="1417" w:bottom="1247" w:left="1417" w:header="964"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p>
    <w:p w14:paraId="5A619F4F">
      <w:pPr>
        <w:pStyle w:val="2"/>
        <w:spacing w:before="0" w:after="0" w:line="500" w:lineRule="exact"/>
        <w:jc w:val="center"/>
        <w:rPr>
          <w:rFonts w:ascii="宋体" w:hAnsi="宋体"/>
          <w:color w:val="auto"/>
          <w:sz w:val="36"/>
          <w:szCs w:val="36"/>
        </w:rPr>
      </w:pPr>
      <w:bookmarkStart w:id="4" w:name="_Toc26541320"/>
      <w:bookmarkStart w:id="5" w:name="_Toc25555"/>
      <w:r>
        <w:rPr>
          <w:rFonts w:hint="eastAsia" w:ascii="宋体" w:hAnsi="宋体"/>
          <w:color w:val="auto"/>
          <w:sz w:val="36"/>
          <w:szCs w:val="36"/>
        </w:rPr>
        <w:t xml:space="preserve">第一章 </w:t>
      </w:r>
      <w:bookmarkStart w:id="6" w:name="OLE_LINK1"/>
      <w:r>
        <w:rPr>
          <w:rFonts w:hint="eastAsia" w:ascii="宋体" w:hAnsi="宋体"/>
          <w:color w:val="auto"/>
          <w:sz w:val="36"/>
          <w:szCs w:val="36"/>
        </w:rPr>
        <w:t>招标公告</w:t>
      </w:r>
      <w:bookmarkEnd w:id="0"/>
      <w:bookmarkEnd w:id="4"/>
      <w:bookmarkEnd w:id="5"/>
    </w:p>
    <w:p w14:paraId="0111FA0F">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b/>
          <w:bCs/>
          <w:color w:val="auto"/>
          <w:kern w:val="0"/>
          <w:sz w:val="24"/>
          <w:szCs w:val="24"/>
          <w:lang w:eastAsia="zh-CN"/>
        </w:rPr>
      </w:pPr>
      <w:r>
        <w:rPr>
          <w:rFonts w:hint="eastAsia" w:ascii="宋体" w:hAnsi="宋体" w:cs="宋体"/>
          <w:b/>
          <w:bCs/>
          <w:color w:val="auto"/>
          <w:kern w:val="0"/>
          <w:sz w:val="24"/>
          <w:szCs w:val="24"/>
          <w:lang w:eastAsia="zh-CN"/>
        </w:rPr>
        <w:t>项目概况</w:t>
      </w:r>
    </w:p>
    <w:p w14:paraId="66BA2035">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安康市初级中学生成式人工智能学科融合智慧教室项目（二次）的潜在投标人应在全国公共资源交易平台（陕西省 安康市）获取招标文件，并于2026年5月15日09时00分（北京时间）前递交投标文件。</w:t>
      </w:r>
    </w:p>
    <w:p w14:paraId="70511928">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color w:val="auto"/>
          <w:kern w:val="0"/>
          <w:sz w:val="24"/>
          <w:szCs w:val="24"/>
          <w:lang w:eastAsia="zh-CN"/>
        </w:rPr>
      </w:pPr>
      <w:r>
        <w:rPr>
          <w:rFonts w:hint="eastAsia" w:ascii="宋体" w:hAnsi="宋体" w:cs="宋体"/>
          <w:b/>
          <w:bCs/>
          <w:color w:val="auto"/>
          <w:kern w:val="0"/>
          <w:sz w:val="24"/>
          <w:szCs w:val="24"/>
          <w:lang w:eastAsia="zh-CN"/>
        </w:rPr>
        <w:t>一、项目基本情况</w:t>
      </w:r>
    </w:p>
    <w:p w14:paraId="7035CA2A">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项目编号：AKSH2026-ZGK-024-2</w:t>
      </w:r>
    </w:p>
    <w:p w14:paraId="32B84FCE">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项目名称：安康市初级中学生成式人工智能学科融合智慧教室项目（二次）</w:t>
      </w:r>
    </w:p>
    <w:p w14:paraId="4617C98A">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采购方式：公开招标</w:t>
      </w:r>
    </w:p>
    <w:p w14:paraId="2B10CBB4">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预算金额：560000.00元</w:t>
      </w:r>
    </w:p>
    <w:p w14:paraId="1C8D3FEF">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采购需求：</w:t>
      </w:r>
    </w:p>
    <w:p w14:paraId="356787A3">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合同包1(安康市初级中学生成式人工智能学科融合智慧教室项目（二次）)：</w:t>
      </w:r>
    </w:p>
    <w:p w14:paraId="0F757E46">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合同包预算金额：560000.00元</w:t>
      </w:r>
    </w:p>
    <w:p w14:paraId="7BDB59DC">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合同包最高限价：560000.00元</w:t>
      </w:r>
    </w:p>
    <w:tbl>
      <w:tblPr>
        <w:tblStyle w:val="42"/>
        <w:tblW w:w="999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52"/>
        <w:gridCol w:w="1248"/>
        <w:gridCol w:w="2258"/>
        <w:gridCol w:w="1220"/>
        <w:gridCol w:w="2555"/>
        <w:gridCol w:w="1763"/>
      </w:tblGrid>
      <w:tr w14:paraId="7D2034D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92" w:hRule="atLeast"/>
          <w:tblHeader/>
          <w:jc w:val="center"/>
        </w:trPr>
        <w:tc>
          <w:tcPr>
            <w:tcW w:w="9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47A3E8">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品目号</w:t>
            </w:r>
          </w:p>
        </w:tc>
        <w:tc>
          <w:tcPr>
            <w:tcW w:w="12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D312C8">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品目名称</w:t>
            </w:r>
          </w:p>
        </w:tc>
        <w:tc>
          <w:tcPr>
            <w:tcW w:w="22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E505BD3">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采购标的</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9B6152">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val="en-US" w:eastAsia="zh-CN"/>
              </w:rPr>
            </w:pPr>
            <w:r>
              <w:rPr>
                <w:rFonts w:hint="eastAsia" w:ascii="宋体" w:hAnsi="宋体" w:cs="宋体"/>
                <w:color w:val="auto"/>
                <w:kern w:val="0"/>
                <w:sz w:val="24"/>
                <w:szCs w:val="24"/>
                <w:lang w:val="en-US" w:eastAsia="zh-CN"/>
              </w:rPr>
              <w:t>数量</w:t>
            </w:r>
          </w:p>
          <w:p w14:paraId="21EE3B0A">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（单位）</w:t>
            </w:r>
          </w:p>
        </w:tc>
        <w:tc>
          <w:tcPr>
            <w:tcW w:w="2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6252773">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技术规格、参数及要求</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95F35E">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品目预算(元)</w:t>
            </w:r>
          </w:p>
        </w:tc>
      </w:tr>
      <w:tr w14:paraId="27646EA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05" w:hRule="atLeast"/>
          <w:jc w:val="center"/>
        </w:trPr>
        <w:tc>
          <w:tcPr>
            <w:tcW w:w="95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333D9CA">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1-1</w:t>
            </w:r>
          </w:p>
        </w:tc>
        <w:tc>
          <w:tcPr>
            <w:tcW w:w="124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09AEE0">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default"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其他办公设备</w:t>
            </w:r>
          </w:p>
        </w:tc>
        <w:tc>
          <w:tcPr>
            <w:tcW w:w="225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62C3841">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安康市初级中学生成式人工智能学科融合智慧教室项目（二次）</w:t>
            </w:r>
          </w:p>
        </w:tc>
        <w:tc>
          <w:tcPr>
            <w:tcW w:w="122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71A16D">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1(批)</w:t>
            </w:r>
          </w:p>
        </w:tc>
        <w:tc>
          <w:tcPr>
            <w:tcW w:w="25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E5C2C1E">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详见采购文件</w:t>
            </w:r>
          </w:p>
        </w:tc>
        <w:tc>
          <w:tcPr>
            <w:tcW w:w="176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52F64A6">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480" w:lineRule="exact"/>
              <w:ind w:left="0" w:leftChars="0" w:right="0" w:firstLine="0" w:firstLineChars="0"/>
              <w:jc w:val="center"/>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val="en-US" w:eastAsia="zh-CN"/>
              </w:rPr>
              <w:t>560000.00</w:t>
            </w:r>
          </w:p>
        </w:tc>
      </w:tr>
    </w:tbl>
    <w:p w14:paraId="1E6AABD3">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本合同包不接受联合体投标</w:t>
      </w:r>
    </w:p>
    <w:p w14:paraId="73D20699">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000000" w:themeColor="text1"/>
          <w:kern w:val="0"/>
          <w:sz w:val="24"/>
          <w:szCs w:val="24"/>
          <w:lang w:eastAsia="zh-CN"/>
          <w14:textFill>
            <w14:solidFill>
              <w14:schemeClr w14:val="tx1"/>
            </w14:solidFill>
          </w14:textFill>
        </w:rPr>
      </w:pPr>
      <w:r>
        <w:rPr>
          <w:rFonts w:hint="eastAsia" w:ascii="宋体" w:hAnsi="宋体" w:cs="宋体"/>
          <w:color w:val="000000" w:themeColor="text1"/>
          <w:kern w:val="0"/>
          <w:sz w:val="24"/>
          <w:szCs w:val="24"/>
          <w:lang w:eastAsia="zh-CN"/>
          <w14:textFill>
            <w14:solidFill>
              <w14:schemeClr w14:val="tx1"/>
            </w14:solidFill>
          </w14:textFill>
        </w:rPr>
        <w:t>合同履行期限：</w:t>
      </w:r>
      <w:r>
        <w:rPr>
          <w:rFonts w:hint="eastAsia" w:ascii="宋体" w:hAnsi="宋体" w:cs="宋体"/>
          <w:bCs w:val="0"/>
          <w:color w:val="000000" w:themeColor="text1"/>
          <w:spacing w:val="0"/>
          <w:sz w:val="24"/>
          <w:szCs w:val="24"/>
          <w:lang w:eastAsia="zh-CN"/>
          <w14:textFill>
            <w14:solidFill>
              <w14:schemeClr w14:val="tx1"/>
            </w14:solidFill>
          </w14:textFill>
        </w:rPr>
        <w:t>自合同签订生效之日起30个日历天内交付（包含调试验收）</w:t>
      </w:r>
    </w:p>
    <w:p w14:paraId="1034E3FB">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b/>
          <w:bCs/>
          <w:color w:val="auto"/>
          <w:kern w:val="0"/>
          <w:sz w:val="24"/>
          <w:szCs w:val="24"/>
          <w:lang w:eastAsia="zh-CN"/>
        </w:rPr>
      </w:pPr>
      <w:r>
        <w:rPr>
          <w:rFonts w:hint="eastAsia" w:ascii="宋体" w:hAnsi="宋体" w:cs="宋体"/>
          <w:b/>
          <w:bCs/>
          <w:color w:val="auto"/>
          <w:kern w:val="0"/>
          <w:sz w:val="24"/>
          <w:szCs w:val="24"/>
          <w:lang w:eastAsia="zh-CN"/>
        </w:rPr>
        <w:t>二、申请人的资格要求</w:t>
      </w:r>
    </w:p>
    <w:p w14:paraId="56DCB884">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1.满足《中华人民共和国政府采购法》第二十二条规定；</w:t>
      </w:r>
    </w:p>
    <w:p w14:paraId="506991EF">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2.落实政府采购政策需满足的资格要求：</w:t>
      </w:r>
    </w:p>
    <w:p w14:paraId="331ABA06">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合同包1(安康市初级中学生成式人工智能学科融合智慧教室项目（二次）)落实政府采购政策需满足的资格要求如下：</w:t>
      </w:r>
    </w:p>
    <w:p w14:paraId="2192603A">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依据《中华人民共和国政府采购法》和《中华人民共和国政府采购法实施条例》的有关规定，落实政府采购“优先购买节能环保产品、扶持小微企业、监狱企业、福利企业”等相关政策：</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（1）《政府采购促进中小企业发展管理办法》（财库〔2020〕46号）；</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（2）《财政部司法部关于政府采购支持监狱企业发展有关问题的通知》（财库〔2014〕68号）；</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（3）《财政部发展改革委生态环境部市场监管总局关于调整优化节能产品、环境标志产品政府采购执行机制的通知》（财库〔2019〕9号）；</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（4）《财政部民政部中国残疾人联合会关于促进残疾人就业政府采购政策的通知》（财库〔2017〕141号）；</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（5）《财政部国务院扶贫办关于运用政府采购政策支持脱贫攻坚的通知》（财库〔2019〕27号）；</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（6）《陕西省财政厅关于加快推进我省中小企业政府采购信用融资工作的通知》（陕财办采〔2020〕15号）、陕西省财政厅关于印发《陕西省中小企业政府采购信用融资办法》（陕财办采〔2018〕23号）；</w:t>
      </w:r>
      <w:r>
        <w:rPr>
          <w:rFonts w:hint="eastAsia" w:ascii="宋体" w:hAnsi="宋体" w:cs="宋体"/>
          <w:color w:val="auto"/>
          <w:kern w:val="0"/>
          <w:sz w:val="24"/>
          <w:szCs w:val="24"/>
          <w:lang w:eastAsia="zh-CN"/>
        </w:rPr>
        <w:br w:type="textWrapping"/>
      </w:r>
      <w:r>
        <w:rPr>
          <w:rFonts w:hint="eastAsia" w:ascii="宋体" w:hAnsi="宋体" w:cs="宋体"/>
          <w:color w:val="auto"/>
          <w:kern w:val="0"/>
          <w:sz w:val="24"/>
          <w:szCs w:val="24"/>
          <w:lang w:val="en-US" w:eastAsia="zh-CN"/>
        </w:rPr>
        <w:t xml:space="preserve">   </w:t>
      </w:r>
      <w:r>
        <w:rPr>
          <w:rFonts w:hint="eastAsia" w:ascii="宋体" w:hAnsi="宋体" w:cs="宋体"/>
          <w:color w:val="auto"/>
          <w:kern w:val="0"/>
          <w:sz w:val="24"/>
          <w:szCs w:val="24"/>
          <w:lang w:eastAsia="zh-CN"/>
        </w:rPr>
        <w:t>（7）其他需要落实的政府采购政策。</w:t>
      </w:r>
    </w:p>
    <w:p w14:paraId="11191E56">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3.本项目的特定资格要求：</w:t>
      </w:r>
    </w:p>
    <w:p w14:paraId="2B1E860B">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合同包1(安康市初级中学生成式人工智能学科融合智慧教室项目（二次）)特定资格要求如下：</w:t>
      </w:r>
    </w:p>
    <w:p w14:paraId="08B238D8">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1C20A9E8">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）法定代表人授权书及被授权人身份证</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lang w:eastAsia="zh-CN"/>
        </w:rPr>
        <w:t>（法定代表人直接投标只需提交其身份证明资料）。</w:t>
      </w:r>
    </w:p>
    <w:p w14:paraId="0F9B5FAF">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2C5F42A9">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lang w:eastAsia="zh-CN"/>
        </w:rPr>
        <w:t>）书面声明：投标人必须提供参加政府采购活动前3年内在经营活动中没有重大违法记录的书面声明。 </w:t>
      </w:r>
    </w:p>
    <w:p w14:paraId="42B83011">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lang w:eastAsia="zh-CN"/>
        </w:rPr>
        <w:t>）财务状况报告：提供2024年度或2025年度经审计的财务审计报告或投标截止时间前六个月内基本开户银行出具的资信证明（成立时间至提交投标文件截止时间不足一年的可提供成立后任意时段的资产负债表）。</w:t>
      </w:r>
    </w:p>
    <w:p w14:paraId="4D61BBE2">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lang w:eastAsia="zh-CN"/>
        </w:rPr>
        <w:t>）税收缴纳证明：提供投标截止时间前半年内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2EE6A00F">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lang w:eastAsia="zh-CN"/>
        </w:rPr>
        <w:t>）社会保障资金缴纳证明：提供投标截止时间前半年内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51CBDA43">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lang w:eastAsia="zh-CN"/>
        </w:rPr>
        <w:t>）提供具有履行合同所必需的设备和专业技术能力的承诺书（格式自拟）。</w:t>
      </w:r>
    </w:p>
    <w:p w14:paraId="37C98FAE">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lang w:eastAsia="zh-CN"/>
        </w:rPr>
        <w:t>）本项目不接受联合体投标。</w:t>
      </w:r>
    </w:p>
    <w:p w14:paraId="2CFE5CCD">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FF0000"/>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10</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lang w:val="en-US" w:eastAsia="zh-CN" w:bidi="ar-SA"/>
        </w:rPr>
        <w:t>本项目专门面向中小企业采购，投标人须提供《中小企业声明函》。</w:t>
      </w:r>
    </w:p>
    <w:p w14:paraId="4844ACB1">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color w:val="auto"/>
          <w:kern w:val="0"/>
          <w:sz w:val="24"/>
          <w:szCs w:val="24"/>
          <w:lang w:eastAsia="zh-CN"/>
        </w:rPr>
      </w:pPr>
      <w:r>
        <w:rPr>
          <w:rFonts w:hint="eastAsia" w:ascii="宋体" w:hAnsi="宋体" w:cs="宋体"/>
          <w:b/>
          <w:bCs/>
          <w:color w:val="auto"/>
          <w:kern w:val="0"/>
          <w:sz w:val="24"/>
          <w:szCs w:val="24"/>
          <w:lang w:eastAsia="zh-CN"/>
        </w:rPr>
        <w:t>三、获取招标文件</w:t>
      </w:r>
    </w:p>
    <w:p w14:paraId="50548CF6">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时间：202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lang w:eastAsia="zh-CN"/>
        </w:rPr>
        <w:t>年</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lang w:eastAsia="zh-CN"/>
        </w:rPr>
        <w:t>月</w:t>
      </w:r>
      <w:r>
        <w:rPr>
          <w:rFonts w:hint="eastAsia" w:ascii="宋体" w:hAnsi="宋体" w:cs="宋体"/>
          <w:color w:val="auto"/>
          <w:kern w:val="0"/>
          <w:sz w:val="24"/>
          <w:szCs w:val="24"/>
          <w:lang w:val="en-US" w:eastAsia="zh-CN"/>
        </w:rPr>
        <w:t>24</w:t>
      </w:r>
      <w:r>
        <w:rPr>
          <w:rFonts w:hint="eastAsia" w:ascii="宋体" w:hAnsi="宋体" w:cs="宋体"/>
          <w:color w:val="auto"/>
          <w:kern w:val="0"/>
          <w:sz w:val="24"/>
          <w:szCs w:val="24"/>
          <w:lang w:eastAsia="zh-CN"/>
        </w:rPr>
        <w:t>日至202</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lang w:eastAsia="zh-CN"/>
        </w:rPr>
        <w:t>年</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lang w:eastAsia="zh-CN"/>
        </w:rPr>
        <w:t>月</w:t>
      </w:r>
      <w:r>
        <w:rPr>
          <w:rFonts w:hint="eastAsia" w:ascii="宋体" w:hAnsi="宋体" w:cs="宋体"/>
          <w:color w:val="auto"/>
          <w:kern w:val="0"/>
          <w:sz w:val="24"/>
          <w:szCs w:val="24"/>
          <w:lang w:val="en-US" w:eastAsia="zh-CN"/>
        </w:rPr>
        <w:t>30</w:t>
      </w:r>
      <w:r>
        <w:rPr>
          <w:rFonts w:hint="eastAsia" w:ascii="宋体" w:hAnsi="宋体" w:cs="宋体"/>
          <w:color w:val="auto"/>
          <w:kern w:val="0"/>
          <w:sz w:val="24"/>
          <w:szCs w:val="24"/>
          <w:lang w:eastAsia="zh-CN"/>
        </w:rPr>
        <w:t>日，每天上午0</w:t>
      </w: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lang w:eastAsia="zh-CN"/>
        </w:rPr>
        <w:t>：00：00至12：00：00，下午14：00：00至1</w:t>
      </w: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lang w:eastAsia="zh-CN"/>
        </w:rPr>
        <w:t>：00：00（北京时间）</w:t>
      </w:r>
    </w:p>
    <w:p w14:paraId="751B86AF">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途径：全国公共资源交易平台（陕西省 安康市）</w:t>
      </w:r>
    </w:p>
    <w:p w14:paraId="2527BD9A">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方式：在线获取</w:t>
      </w:r>
    </w:p>
    <w:p w14:paraId="31F56712">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售价：0元</w:t>
      </w:r>
    </w:p>
    <w:p w14:paraId="76CF9F88">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color w:val="auto"/>
          <w:kern w:val="0"/>
          <w:sz w:val="24"/>
          <w:szCs w:val="24"/>
          <w:lang w:eastAsia="zh-CN"/>
        </w:rPr>
      </w:pPr>
      <w:r>
        <w:rPr>
          <w:rFonts w:hint="eastAsia" w:ascii="宋体" w:hAnsi="宋体" w:cs="宋体"/>
          <w:b/>
          <w:bCs/>
          <w:color w:val="auto"/>
          <w:kern w:val="0"/>
          <w:sz w:val="24"/>
          <w:szCs w:val="24"/>
          <w:lang w:eastAsia="zh-CN"/>
        </w:rPr>
        <w:t>四、提交投标文件截止时间、开标时间和地点</w:t>
      </w:r>
    </w:p>
    <w:p w14:paraId="5D3B32BE">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时间：2026年5月15日09时00分（北京时间）</w:t>
      </w:r>
    </w:p>
    <w:p w14:paraId="4EC5FF60">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提交投标文件地点：全国公共资源交易平台（陕西省 安康市）（采用电子化投标及远程不见面开标方式）</w:t>
      </w:r>
    </w:p>
    <w:p w14:paraId="0896AA70">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开标地点：安康不见面开标大厅系统</w:t>
      </w:r>
    </w:p>
    <w:p w14:paraId="2106B220">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b/>
          <w:bCs/>
          <w:color w:val="auto"/>
          <w:kern w:val="0"/>
          <w:sz w:val="24"/>
          <w:szCs w:val="24"/>
          <w:lang w:eastAsia="zh-CN"/>
        </w:rPr>
      </w:pPr>
      <w:r>
        <w:rPr>
          <w:rFonts w:hint="eastAsia" w:ascii="宋体" w:hAnsi="宋体" w:cs="宋体"/>
          <w:b/>
          <w:bCs/>
          <w:color w:val="auto"/>
          <w:kern w:val="0"/>
          <w:sz w:val="24"/>
          <w:szCs w:val="24"/>
          <w:lang w:eastAsia="zh-CN"/>
        </w:rPr>
        <w:t>五、公告期限</w:t>
      </w:r>
    </w:p>
    <w:p w14:paraId="3F96F754">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自本公告发布之日起5个工作日。</w:t>
      </w:r>
    </w:p>
    <w:p w14:paraId="453313C2">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color w:val="auto"/>
          <w:kern w:val="0"/>
          <w:sz w:val="24"/>
          <w:szCs w:val="24"/>
          <w:lang w:eastAsia="zh-CN"/>
        </w:rPr>
      </w:pPr>
      <w:r>
        <w:rPr>
          <w:rFonts w:hint="eastAsia" w:ascii="宋体" w:hAnsi="宋体" w:cs="宋体"/>
          <w:b/>
          <w:bCs/>
          <w:color w:val="auto"/>
          <w:kern w:val="0"/>
          <w:sz w:val="24"/>
          <w:szCs w:val="24"/>
          <w:lang w:eastAsia="zh-CN"/>
        </w:rPr>
        <w:t>六、其他补充事宜</w:t>
      </w:r>
    </w:p>
    <w:p w14:paraId="1585AD5D">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备注：（1）获取须知：供应商使用捆绑CA证书登录安康市公共资源交易中心（http：//ak.sxggzyjy.cn/），选择电子交易平台中的陕西政府采购交易系统企业端进行登录，登录后选择“交易乙方”身份进入供应商界面进行网上报名。（2）未完成网上投标成功的或未在规定时间内在平台上下载文件的，导致无法完成后续流程的责任自负。（</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lang w:eastAsia="zh-CN"/>
        </w:rPr>
        <w:t>）本项目采用电子化投标及远程不见面开标方式，相关操作流程详见全国公共资源交易平台（陕西省）网站[服务指南－下载专区]中的《陕西省公共资源交易中心政府采购项目投标指南》。开标前，供应商需登录网络开标大厅。开标时，按照工作人员要求进行远程解密，如因供应商自身原因造成无法签到或解密投标文件，按无效投标对待。（</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lang w:eastAsia="zh-CN"/>
        </w:rPr>
        <w:t>）电子投标文件技术支持：4009280095，4009980000。</w:t>
      </w:r>
    </w:p>
    <w:p w14:paraId="52F9CF91">
      <w:pPr>
        <w:pStyle w:val="73"/>
        <w:keepNext w:val="0"/>
        <w:keepLines w:val="0"/>
        <w:pageBreakBefore w:val="0"/>
        <w:kinsoku/>
        <w:wordWrap/>
        <w:overflowPunct/>
        <w:topLinePunct w:val="0"/>
        <w:autoSpaceDE/>
        <w:autoSpaceDN/>
        <w:bidi w:val="0"/>
        <w:adjustRightInd/>
        <w:spacing w:line="480" w:lineRule="exact"/>
        <w:ind w:left="239" w:leftChars="114" w:firstLine="482" w:firstLineChars="200"/>
        <w:textAlignment w:val="auto"/>
        <w:rPr>
          <w:rFonts w:hint="eastAsia" w:ascii="宋体" w:hAnsi="宋体" w:cs="宋体"/>
          <w:color w:val="auto"/>
          <w:kern w:val="0"/>
          <w:sz w:val="24"/>
          <w:szCs w:val="24"/>
          <w:lang w:eastAsia="zh-CN"/>
        </w:rPr>
      </w:pPr>
      <w:r>
        <w:rPr>
          <w:rFonts w:hint="eastAsia" w:ascii="宋体" w:hAnsi="宋体" w:cs="宋体"/>
          <w:b/>
          <w:bCs/>
          <w:color w:val="auto"/>
          <w:kern w:val="0"/>
          <w:sz w:val="24"/>
          <w:szCs w:val="24"/>
          <w:lang w:eastAsia="zh-CN"/>
        </w:rPr>
        <w:t>七、对本次招标提出询问，请按以下方式联系</w:t>
      </w:r>
    </w:p>
    <w:p w14:paraId="44D03F72">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1.采购人信息</w:t>
      </w:r>
    </w:p>
    <w:p w14:paraId="422C6ACE">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名称：安康市初级中学</w:t>
      </w:r>
    </w:p>
    <w:p w14:paraId="752B7032">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default" w:ascii="宋体" w:hAnsi="宋体" w:cs="宋体"/>
          <w:color w:val="auto"/>
          <w:kern w:val="0"/>
          <w:sz w:val="24"/>
          <w:szCs w:val="24"/>
          <w:lang w:val="en-US" w:eastAsia="zh-CN"/>
        </w:rPr>
      </w:pPr>
      <w:r>
        <w:rPr>
          <w:rFonts w:hint="eastAsia" w:ascii="宋体" w:hAnsi="宋体" w:cs="宋体"/>
          <w:color w:val="auto"/>
          <w:kern w:val="0"/>
          <w:sz w:val="24"/>
          <w:szCs w:val="24"/>
          <w:lang w:eastAsia="zh-CN"/>
        </w:rPr>
        <w:t>地址：</w:t>
      </w:r>
      <w:r>
        <w:rPr>
          <w:rFonts w:hint="eastAsia" w:ascii="宋体" w:hAnsi="宋体" w:cs="宋体"/>
          <w:color w:val="000000" w:themeColor="text1"/>
          <w:kern w:val="0"/>
          <w:sz w:val="24"/>
          <w:szCs w:val="24"/>
          <w14:textFill>
            <w14:solidFill>
              <w14:schemeClr w14:val="tx1"/>
            </w14:solidFill>
          </w14:textFill>
        </w:rPr>
        <w:t>陕西省</w:t>
      </w:r>
      <w:r>
        <w:rPr>
          <w:rFonts w:hint="eastAsia" w:ascii="宋体" w:hAnsi="宋体" w:cs="宋体"/>
          <w:color w:val="auto"/>
          <w:kern w:val="0"/>
          <w:sz w:val="24"/>
          <w:szCs w:val="24"/>
        </w:rPr>
        <w:t>安康市汉滨区解放路45号</w:t>
      </w:r>
    </w:p>
    <w:p w14:paraId="3823741B">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FF0000"/>
          <w:kern w:val="0"/>
          <w:sz w:val="24"/>
          <w:szCs w:val="24"/>
          <w:lang w:eastAsia="zh-CN"/>
        </w:rPr>
      </w:pPr>
      <w:r>
        <w:rPr>
          <w:rFonts w:hint="eastAsia" w:ascii="宋体" w:hAnsi="宋体" w:cs="宋体"/>
          <w:color w:val="auto"/>
          <w:kern w:val="0"/>
          <w:sz w:val="24"/>
          <w:szCs w:val="24"/>
          <w:lang w:eastAsia="zh-CN"/>
        </w:rPr>
        <w:t>联系方式：</w:t>
      </w:r>
      <w:r>
        <w:rPr>
          <w:rFonts w:hint="eastAsia" w:ascii="宋体" w:hAnsi="宋体" w:cs="宋体"/>
          <w:color w:val="auto"/>
          <w:kern w:val="0"/>
          <w:sz w:val="24"/>
          <w:szCs w:val="24"/>
          <w:lang w:val="en-US" w:eastAsia="zh-CN"/>
        </w:rPr>
        <w:t>13772228199</w:t>
      </w:r>
    </w:p>
    <w:p w14:paraId="78C65402">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2.采购代理机构信息</w:t>
      </w:r>
    </w:p>
    <w:p w14:paraId="2D8458D5">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名称：安康尚昊招标代理有限公司</w:t>
      </w:r>
    </w:p>
    <w:p w14:paraId="777E4091">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地址：安康市高新区高新观澜8栋2单元801室</w:t>
      </w:r>
    </w:p>
    <w:p w14:paraId="093DED30">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联系方式：13991519725</w:t>
      </w:r>
    </w:p>
    <w:p w14:paraId="72ED4D67">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3.项目联系方式</w:t>
      </w:r>
    </w:p>
    <w:p w14:paraId="6511A731">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项目联系人：郑工</w:t>
      </w:r>
    </w:p>
    <w:p w14:paraId="7FD02DF0">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电话：13991519725</w:t>
      </w:r>
    </w:p>
    <w:p w14:paraId="2AF94923">
      <w:pPr>
        <w:pStyle w:val="73"/>
        <w:keepNext w:val="0"/>
        <w:keepLines w:val="0"/>
        <w:pageBreakBefore w:val="0"/>
        <w:kinsoku/>
        <w:wordWrap/>
        <w:overflowPunct/>
        <w:topLinePunct w:val="0"/>
        <w:autoSpaceDE/>
        <w:autoSpaceDN/>
        <w:bidi w:val="0"/>
        <w:adjustRightInd/>
        <w:spacing w:line="480" w:lineRule="exact"/>
        <w:ind w:left="239" w:leftChars="114" w:firstLine="480" w:firstLineChars="200"/>
        <w:textAlignment w:val="auto"/>
        <w:rPr>
          <w:rFonts w:hint="eastAsia" w:ascii="宋体" w:hAnsi="宋体" w:cs="宋体"/>
          <w:color w:val="auto"/>
          <w:kern w:val="0"/>
          <w:sz w:val="24"/>
          <w:szCs w:val="24"/>
          <w:lang w:eastAsia="zh-CN"/>
        </w:rPr>
      </w:pPr>
    </w:p>
    <w:p w14:paraId="4515B748">
      <w:pPr>
        <w:keepNext w:val="0"/>
        <w:keepLines w:val="0"/>
        <w:pageBreakBefore w:val="0"/>
        <w:kinsoku/>
        <w:wordWrap/>
        <w:overflowPunct/>
        <w:topLinePunct w:val="0"/>
        <w:autoSpaceDE/>
        <w:autoSpaceDN/>
        <w:bidi w:val="0"/>
        <w:adjustRightInd/>
        <w:spacing w:line="480" w:lineRule="exact"/>
        <w:jc w:val="right"/>
        <w:textAlignment w:val="auto"/>
        <w:rPr>
          <w:rFonts w:hint="eastAsia" w:ascii="宋体" w:hAnsi="宋体" w:cs="宋体"/>
          <w:color w:val="auto"/>
          <w:kern w:val="0"/>
          <w:sz w:val="24"/>
          <w:szCs w:val="24"/>
        </w:rPr>
      </w:pPr>
    </w:p>
    <w:p w14:paraId="271442EE">
      <w:pPr>
        <w:keepNext w:val="0"/>
        <w:keepLines w:val="0"/>
        <w:pageBreakBefore w:val="0"/>
        <w:kinsoku/>
        <w:wordWrap/>
        <w:overflowPunct/>
        <w:topLinePunct w:val="0"/>
        <w:autoSpaceDE/>
        <w:autoSpaceDN/>
        <w:bidi w:val="0"/>
        <w:adjustRightInd/>
        <w:spacing w:line="480" w:lineRule="exact"/>
        <w:jc w:val="right"/>
        <w:textAlignment w:val="auto"/>
        <w:rPr>
          <w:rFonts w:hint="eastAsia" w:ascii="宋体" w:hAnsi="宋体" w:cs="宋体"/>
          <w:color w:val="auto"/>
          <w:kern w:val="0"/>
          <w:sz w:val="24"/>
          <w:szCs w:val="24"/>
        </w:rPr>
      </w:pPr>
    </w:p>
    <w:p w14:paraId="27EE6220">
      <w:pPr>
        <w:keepNext w:val="0"/>
        <w:keepLines w:val="0"/>
        <w:pageBreakBefore w:val="0"/>
        <w:kinsoku/>
        <w:wordWrap/>
        <w:overflowPunct/>
        <w:topLinePunct w:val="0"/>
        <w:autoSpaceDE/>
        <w:autoSpaceDN/>
        <w:bidi w:val="0"/>
        <w:adjustRightInd/>
        <w:spacing w:line="480" w:lineRule="exact"/>
        <w:jc w:val="right"/>
        <w:textAlignment w:val="auto"/>
        <w:rPr>
          <w:rFonts w:ascii="宋体" w:hAnsi="宋体" w:cs="宋体"/>
          <w:color w:val="auto"/>
          <w:kern w:val="0"/>
          <w:sz w:val="24"/>
          <w:szCs w:val="24"/>
        </w:rPr>
      </w:pPr>
      <w:r>
        <w:rPr>
          <w:rFonts w:hint="eastAsia" w:ascii="宋体" w:hAnsi="宋体" w:cs="宋体"/>
          <w:color w:val="auto"/>
          <w:kern w:val="0"/>
          <w:sz w:val="24"/>
          <w:szCs w:val="24"/>
        </w:rPr>
        <w:t>安康尚昊招标代理有限公司</w:t>
      </w:r>
    </w:p>
    <w:p w14:paraId="0DE2B545">
      <w:pPr>
        <w:keepNext w:val="0"/>
        <w:keepLines w:val="0"/>
        <w:pageBreakBefore w:val="0"/>
        <w:kinsoku/>
        <w:wordWrap/>
        <w:overflowPunct/>
        <w:topLinePunct w:val="0"/>
        <w:autoSpaceDE/>
        <w:autoSpaceDN/>
        <w:bidi w:val="0"/>
        <w:adjustRightInd/>
        <w:spacing w:line="480" w:lineRule="exact"/>
        <w:jc w:val="center"/>
        <w:textAlignment w:val="auto"/>
        <w:rPr>
          <w:rFonts w:ascii="宋体" w:hAnsi="宋体" w:cs="宋体"/>
          <w:color w:val="auto"/>
          <w:kern w:val="0"/>
          <w:sz w:val="24"/>
          <w:szCs w:val="24"/>
        </w:rPr>
      </w:pPr>
      <w:r>
        <w:rPr>
          <w:rFonts w:hint="eastAsia" w:ascii="宋体" w:hAnsi="宋体" w:cs="宋体"/>
          <w:color w:val="auto"/>
          <w:kern w:val="0"/>
          <w:sz w:val="24"/>
          <w:szCs w:val="24"/>
        </w:rPr>
        <w:t xml:space="preserve">                                                  </w:t>
      </w:r>
      <w:r>
        <w:rPr>
          <w:rFonts w:hint="eastAsia" w:ascii="宋体" w:hAnsi="宋体" w:cs="宋体"/>
          <w:color w:val="auto"/>
          <w:kern w:val="0"/>
          <w:sz w:val="24"/>
          <w:szCs w:val="24"/>
          <w:lang w:val="en-US" w:eastAsia="zh-CN"/>
        </w:rPr>
        <w:t>2026</w:t>
      </w:r>
      <w:r>
        <w:rPr>
          <w:rFonts w:hint="eastAsia" w:ascii="宋体" w:hAnsi="宋体" w:cs="宋体"/>
          <w:color w:val="auto"/>
          <w:kern w:val="0"/>
          <w:sz w:val="24"/>
          <w:szCs w:val="24"/>
        </w:rPr>
        <w:t>年</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rPr>
        <w:t>月</w:t>
      </w:r>
      <w:r>
        <w:rPr>
          <w:rFonts w:hint="eastAsia" w:ascii="宋体" w:hAnsi="宋体" w:cs="宋体"/>
          <w:color w:val="auto"/>
          <w:kern w:val="0"/>
          <w:sz w:val="24"/>
          <w:szCs w:val="24"/>
          <w:lang w:val="en-US" w:eastAsia="zh-CN"/>
        </w:rPr>
        <w:t>23</w:t>
      </w:r>
      <w:r>
        <w:rPr>
          <w:rFonts w:hint="eastAsia" w:ascii="宋体" w:hAnsi="宋体" w:cs="宋体"/>
          <w:color w:val="auto"/>
          <w:kern w:val="0"/>
          <w:sz w:val="24"/>
          <w:szCs w:val="24"/>
        </w:rPr>
        <w:t>日</w:t>
      </w:r>
    </w:p>
    <w:bookmarkEnd w:id="6"/>
    <w:p w14:paraId="511A8D3D">
      <w:pPr>
        <w:widowControl/>
        <w:jc w:val="left"/>
        <w:rPr>
          <w:rFonts w:hint="eastAsia" w:ascii="宋体" w:hAnsi="宋体" w:cs="宋体"/>
          <w:b/>
          <w:bCs/>
          <w:color w:val="auto"/>
          <w:kern w:val="44"/>
          <w:sz w:val="32"/>
          <w:szCs w:val="32"/>
        </w:rPr>
      </w:pPr>
    </w:p>
    <w:p w14:paraId="1CD6C828">
      <w:pPr>
        <w:widowControl/>
        <w:jc w:val="left"/>
        <w:rPr>
          <w:rFonts w:hint="eastAsia" w:ascii="宋体" w:hAnsi="宋体" w:cs="宋体"/>
          <w:b/>
          <w:bCs/>
          <w:color w:val="auto"/>
          <w:kern w:val="44"/>
          <w:sz w:val="32"/>
          <w:szCs w:val="32"/>
        </w:rPr>
        <w:sectPr>
          <w:headerReference r:id="rId10" w:type="first"/>
          <w:footerReference r:id="rId12" w:type="first"/>
          <w:headerReference r:id="rId9" w:type="default"/>
          <w:footerReference r:id="rId11" w:type="default"/>
          <w:pgSz w:w="11905" w:h="16838"/>
          <w:pgMar w:top="1247" w:right="1417" w:bottom="1247" w:left="1417" w:header="964" w:footer="992" w:gutter="0"/>
          <w:pgBorders>
            <w:top w:val="none" w:sz="0" w:space="0"/>
            <w:left w:val="none" w:sz="0" w:space="0"/>
            <w:bottom w:val="none" w:sz="0" w:space="0"/>
            <w:right w:val="none" w:sz="0" w:space="0"/>
          </w:pgBorders>
          <w:pgNumType w:fmt="decimal" w:start="1"/>
          <w:cols w:space="0" w:num="1"/>
          <w:rtlGutter w:val="0"/>
          <w:docGrid w:type="lines" w:linePitch="326" w:charSpace="0"/>
        </w:sectPr>
      </w:pPr>
    </w:p>
    <w:p w14:paraId="5F18A5AC">
      <w:pPr>
        <w:widowControl/>
        <w:jc w:val="left"/>
        <w:rPr>
          <w:rFonts w:ascii="宋体" w:hAnsi="宋体" w:cs="宋体"/>
          <w:b/>
          <w:bCs/>
          <w:color w:val="auto"/>
          <w:kern w:val="44"/>
          <w:sz w:val="32"/>
          <w:szCs w:val="32"/>
        </w:rPr>
      </w:pPr>
      <w:r>
        <w:rPr>
          <w:rFonts w:hint="eastAsia" w:ascii="宋体" w:hAnsi="宋体" w:cs="宋体"/>
          <w:b/>
          <w:bCs/>
          <w:color w:val="auto"/>
          <w:kern w:val="44"/>
          <w:sz w:val="32"/>
          <w:szCs w:val="32"/>
        </w:rPr>
        <w:t>特别提醒：</w:t>
      </w:r>
    </w:p>
    <w:p w14:paraId="41AAD4F1">
      <w:pPr>
        <w:spacing w:line="460" w:lineRule="exact"/>
        <w:ind w:firstLine="482" w:firstLineChars="200"/>
        <w:jc w:val="left"/>
        <w:rPr>
          <w:rFonts w:ascii="宋体" w:hAnsi="宋体" w:cs="宋体"/>
          <w:b/>
          <w:bCs/>
          <w:color w:val="auto"/>
          <w:sz w:val="24"/>
          <w:szCs w:val="24"/>
        </w:rPr>
      </w:pPr>
      <w:bookmarkStart w:id="7" w:name="_Toc380336722"/>
      <w:bookmarkStart w:id="8" w:name="_Toc358893502"/>
      <w:bookmarkStart w:id="9" w:name="_Toc386388995"/>
      <w:bookmarkStart w:id="10" w:name="_Toc358364316"/>
      <w:bookmarkStart w:id="11" w:name="_Toc347478673"/>
      <w:r>
        <w:rPr>
          <w:rFonts w:hint="eastAsia" w:ascii="宋体" w:hAnsi="宋体" w:cs="宋体"/>
          <w:b/>
          <w:bCs/>
          <w:color w:val="auto"/>
          <w:sz w:val="24"/>
          <w:szCs w:val="24"/>
          <w:lang w:eastAsia="zh-CN"/>
        </w:rPr>
        <w:t>1.</w:t>
      </w:r>
      <w:r>
        <w:rPr>
          <w:rFonts w:hint="eastAsia" w:ascii="宋体" w:hAnsi="宋体" w:cs="宋体"/>
          <w:b/>
          <w:bCs/>
          <w:color w:val="auto"/>
          <w:sz w:val="24"/>
          <w:szCs w:val="24"/>
        </w:rPr>
        <w:t>本项目采用电子化投标及远程不见面开标方式（无需提供纸质版文件，无需到开标现场），开标时请务必携带数字认证证书，如因供应商自身原因未携带数字认证证书造成无法解密投标文件，按无效投标对待。“不见面大厅”登录网址为：</w:t>
      </w:r>
    </w:p>
    <w:p w14:paraId="28B3409A">
      <w:pPr>
        <w:spacing w:line="460" w:lineRule="exact"/>
        <w:ind w:firstLine="482" w:firstLineChars="200"/>
        <w:jc w:val="left"/>
        <w:rPr>
          <w:rFonts w:ascii="宋体" w:hAnsi="宋体" w:cs="宋体"/>
          <w:b/>
          <w:bCs/>
          <w:color w:val="auto"/>
          <w:sz w:val="24"/>
          <w:szCs w:val="24"/>
        </w:rPr>
      </w:pPr>
      <w:r>
        <w:rPr>
          <w:rFonts w:hint="eastAsia" w:ascii="宋体" w:hAnsi="宋体" w:eastAsia="宋体" w:cs="宋体"/>
          <w:b/>
          <w:bCs/>
          <w:color w:val="auto"/>
          <w:sz w:val="24"/>
          <w:szCs w:val="24"/>
        </w:rPr>
        <w:t>http</w:t>
      </w:r>
      <w:r>
        <w:rPr>
          <w:rFonts w:hint="eastAsia" w:ascii="宋体" w:hAnsi="宋体" w:cs="宋体"/>
          <w:b/>
          <w:bCs/>
          <w:color w:val="auto"/>
          <w:sz w:val="24"/>
          <w:szCs w:val="24"/>
          <w:lang w:eastAsia="zh-CN"/>
        </w:rPr>
        <w:t>：</w:t>
      </w:r>
      <w:r>
        <w:rPr>
          <w:rFonts w:hint="eastAsia" w:ascii="宋体" w:hAnsi="宋体" w:eastAsia="宋体" w:cs="宋体"/>
          <w:b/>
          <w:bCs/>
          <w:color w:val="auto"/>
          <w:sz w:val="24"/>
          <w:szCs w:val="24"/>
        </w:rPr>
        <w:t>//219.145.206.209/BidOpeningHall/bidopeninghallaction/hall/login</w:t>
      </w:r>
      <w:r>
        <w:rPr>
          <w:rFonts w:hint="eastAsia" w:ascii="宋体" w:hAnsi="宋体" w:cs="宋体"/>
          <w:b/>
          <w:bCs/>
          <w:color w:val="auto"/>
          <w:sz w:val="24"/>
          <w:szCs w:val="24"/>
        </w:rPr>
        <w:t>（请各投标人下载最新驱动，详细操作请关注《关于陕西省公共资源交易平台多CA互认系统正式上线运行的通知》）电子开标、评标无法进行时，按照《安康市公共资源交易平台电子化交易应急处置管理办法</w:t>
      </w:r>
      <w:r>
        <w:rPr>
          <w:rFonts w:hint="eastAsia" w:ascii="宋体" w:hAnsi="宋体" w:cs="宋体"/>
          <w:b/>
          <w:bCs/>
          <w:color w:val="auto"/>
          <w:sz w:val="24"/>
          <w:szCs w:val="24"/>
          <w:lang w:eastAsia="zh-CN"/>
        </w:rPr>
        <w:t>（</w:t>
      </w:r>
      <w:r>
        <w:rPr>
          <w:rFonts w:hint="eastAsia" w:ascii="宋体" w:hAnsi="宋体" w:cs="宋体"/>
          <w:b/>
          <w:bCs/>
          <w:color w:val="auto"/>
          <w:sz w:val="24"/>
          <w:szCs w:val="24"/>
        </w:rPr>
        <w:t>试行</w:t>
      </w:r>
      <w:r>
        <w:rPr>
          <w:rFonts w:hint="eastAsia" w:ascii="宋体" w:hAnsi="宋体" w:cs="宋体"/>
          <w:b/>
          <w:bCs/>
          <w:color w:val="auto"/>
          <w:sz w:val="24"/>
          <w:szCs w:val="24"/>
          <w:lang w:eastAsia="zh-CN"/>
        </w:rPr>
        <w:t>）</w:t>
      </w:r>
      <w:r>
        <w:rPr>
          <w:rFonts w:hint="eastAsia" w:ascii="宋体" w:hAnsi="宋体" w:cs="宋体"/>
          <w:b/>
          <w:bCs/>
          <w:color w:val="auto"/>
          <w:sz w:val="24"/>
          <w:szCs w:val="24"/>
        </w:rPr>
        <w:t>》规定执行。</w:t>
      </w:r>
    </w:p>
    <w:p w14:paraId="47CDA86E">
      <w:pPr>
        <w:widowControl/>
        <w:tabs>
          <w:tab w:val="left" w:pos="1620"/>
        </w:tabs>
        <w:snapToGrid w:val="0"/>
        <w:spacing w:line="460" w:lineRule="exact"/>
        <w:ind w:firstLine="482" w:firstLineChars="200"/>
        <w:jc w:val="left"/>
        <w:rPr>
          <w:rFonts w:ascii="宋体" w:hAnsi="宋体" w:cs="宋体"/>
          <w:b/>
          <w:bCs/>
          <w:color w:val="auto"/>
          <w:kern w:val="0"/>
          <w:sz w:val="24"/>
          <w:szCs w:val="24"/>
        </w:rPr>
      </w:pPr>
      <w:r>
        <w:rPr>
          <w:rFonts w:hint="eastAsia" w:ascii="宋体" w:hAnsi="宋体" w:cs="宋体"/>
          <w:b/>
          <w:bCs/>
          <w:color w:val="auto"/>
          <w:kern w:val="0"/>
          <w:sz w:val="24"/>
          <w:szCs w:val="24"/>
          <w:lang w:eastAsia="zh-CN"/>
        </w:rPr>
        <w:t>2.</w:t>
      </w:r>
      <w:r>
        <w:rPr>
          <w:rFonts w:hint="eastAsia" w:ascii="宋体" w:hAnsi="宋体" w:cs="宋体"/>
          <w:b/>
          <w:bCs/>
          <w:color w:val="auto"/>
          <w:kern w:val="0"/>
          <w:sz w:val="24"/>
          <w:szCs w:val="24"/>
        </w:rPr>
        <w:t>制作电子投标文件</w:t>
      </w:r>
    </w:p>
    <w:p w14:paraId="63D3CB93">
      <w:pPr>
        <w:widowControl/>
        <w:tabs>
          <w:tab w:val="left" w:pos="1620"/>
        </w:tabs>
        <w:snapToGrid w:val="0"/>
        <w:spacing w:line="460" w:lineRule="exact"/>
        <w:ind w:firstLine="482" w:firstLineChars="200"/>
        <w:jc w:val="left"/>
        <w:rPr>
          <w:rFonts w:ascii="宋体" w:hAnsi="宋体" w:cs="宋体"/>
          <w:b/>
          <w:bCs/>
          <w:color w:val="auto"/>
          <w:kern w:val="0"/>
          <w:sz w:val="24"/>
          <w:szCs w:val="24"/>
        </w:rPr>
      </w:pPr>
      <w:r>
        <w:rPr>
          <w:rFonts w:hint="eastAsia" w:ascii="宋体" w:hAnsi="宋体" w:cs="宋体"/>
          <w:b/>
          <w:bCs/>
          <w:color w:val="auto"/>
          <w:kern w:val="0"/>
          <w:sz w:val="24"/>
          <w:szCs w:val="24"/>
        </w:rPr>
        <w:t>投标供应商须在“全国公共资源交易中心平台（陕西省）（http</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rPr>
        <w:t>//www.sxggzyjy.cn/）”的“服务指南”栏目“下载专区”中，免费下载“陕西省公共资源交易平台政府采购电子标书制作工具</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rPr>
        <w:t>V8.0.0.2</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rPr>
        <w:t>”，并升级至最新版本，使用该客户端制作电子投标文件，制作扩展名为“.SXSTF”的电子投标文件。</w:t>
      </w:r>
    </w:p>
    <w:p w14:paraId="7EB7B2AB">
      <w:pPr>
        <w:widowControl/>
        <w:tabs>
          <w:tab w:val="left" w:pos="1620"/>
        </w:tabs>
        <w:snapToGrid w:val="0"/>
        <w:spacing w:line="460" w:lineRule="exact"/>
        <w:ind w:firstLine="482" w:firstLineChars="200"/>
        <w:jc w:val="left"/>
        <w:rPr>
          <w:rFonts w:ascii="宋体" w:hAnsi="宋体" w:cs="宋体"/>
          <w:b/>
          <w:bCs/>
          <w:color w:val="auto"/>
          <w:kern w:val="0"/>
          <w:sz w:val="24"/>
          <w:szCs w:val="24"/>
        </w:rPr>
      </w:pPr>
      <w:r>
        <w:rPr>
          <w:rFonts w:hint="eastAsia" w:ascii="宋体" w:hAnsi="宋体" w:cs="宋体"/>
          <w:b/>
          <w:bCs/>
          <w:color w:val="auto"/>
          <w:kern w:val="0"/>
          <w:sz w:val="24"/>
          <w:szCs w:val="24"/>
          <w:lang w:eastAsia="zh-CN"/>
        </w:rPr>
        <w:t>3.</w:t>
      </w:r>
      <w:r>
        <w:rPr>
          <w:rFonts w:hint="eastAsia" w:ascii="宋体" w:hAnsi="宋体" w:cs="宋体"/>
          <w:b/>
          <w:bCs/>
          <w:color w:val="auto"/>
          <w:kern w:val="0"/>
          <w:sz w:val="24"/>
          <w:szCs w:val="24"/>
        </w:rPr>
        <w:t>递交电子投标文件</w:t>
      </w:r>
    </w:p>
    <w:p w14:paraId="3222F269">
      <w:pPr>
        <w:spacing w:line="460" w:lineRule="exact"/>
        <w:ind w:firstLine="482" w:firstLineChars="200"/>
        <w:jc w:val="left"/>
        <w:rPr>
          <w:rFonts w:ascii="宋体" w:hAnsi="宋体" w:cs="宋体"/>
          <w:b/>
          <w:bCs/>
          <w:color w:val="auto"/>
          <w:kern w:val="0"/>
          <w:sz w:val="24"/>
          <w:szCs w:val="24"/>
        </w:rPr>
      </w:pPr>
      <w:r>
        <w:rPr>
          <w:rFonts w:hint="eastAsia" w:ascii="宋体" w:hAnsi="宋体" w:cs="宋体"/>
          <w:b/>
          <w:bCs/>
          <w:color w:val="auto"/>
          <w:kern w:val="0"/>
          <w:sz w:val="24"/>
          <w:szCs w:val="24"/>
        </w:rPr>
        <w:t>登录全国公共资源交易中心平台（陕西省）（http</w:t>
      </w: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rPr>
        <w:t>//www.sxggzyjy.cn/），选择“电子交易平台——陕西政府采购交易系统——企业端”进行登录，登录后选择“交易乙方”身份进入，进入菜单“采购业务—我的项目——项目流程——上传</w:t>
      </w:r>
      <w:r>
        <w:rPr>
          <w:rFonts w:hint="eastAsia" w:ascii="宋体" w:hAnsi="宋体" w:cs="宋体"/>
          <w:b/>
          <w:bCs/>
          <w:color w:val="auto"/>
          <w:kern w:val="0"/>
          <w:sz w:val="24"/>
          <w:szCs w:val="24"/>
          <w:lang w:eastAsia="zh-CN"/>
        </w:rPr>
        <w:t>投标文件</w:t>
      </w:r>
      <w:r>
        <w:rPr>
          <w:rFonts w:hint="eastAsia" w:ascii="宋体" w:hAnsi="宋体" w:cs="宋体"/>
          <w:b/>
          <w:bCs/>
          <w:color w:val="auto"/>
          <w:kern w:val="0"/>
          <w:sz w:val="24"/>
          <w:szCs w:val="24"/>
        </w:rPr>
        <w:t>”，上传加密的电子投标文件。上传成功后，电子化平台将予以记录。</w:t>
      </w:r>
    </w:p>
    <w:p w14:paraId="0D4A9CE0">
      <w:pPr>
        <w:pStyle w:val="73"/>
        <w:spacing w:line="460" w:lineRule="exact"/>
        <w:ind w:firstLine="482"/>
        <w:rPr>
          <w:rFonts w:ascii="宋体" w:hAnsi="宋体" w:cs="宋体"/>
          <w:b/>
          <w:bCs/>
          <w:color w:val="auto"/>
          <w:kern w:val="0"/>
          <w:sz w:val="24"/>
          <w:szCs w:val="24"/>
        </w:rPr>
      </w:pPr>
      <w:r>
        <w:rPr>
          <w:rFonts w:hint="eastAsia" w:ascii="宋体" w:hAnsi="宋体" w:cs="宋体"/>
          <w:b/>
          <w:bCs/>
          <w:color w:val="auto"/>
          <w:kern w:val="0"/>
          <w:sz w:val="24"/>
          <w:szCs w:val="24"/>
        </w:rPr>
        <w:t>项目如有变更文件，则应点击“项目流程——答疑文件下载”下载更新后的电子招标文件（*.SXSCF），使用旧版电子招标文件制作的电子投标文件，系统将拒绝接收。</w:t>
      </w:r>
    </w:p>
    <w:p w14:paraId="362EA64A">
      <w:pPr>
        <w:widowControl/>
        <w:tabs>
          <w:tab w:val="left" w:pos="1620"/>
        </w:tabs>
        <w:snapToGrid w:val="0"/>
        <w:spacing w:line="460" w:lineRule="exact"/>
        <w:ind w:firstLine="482" w:firstLineChars="200"/>
        <w:jc w:val="left"/>
        <w:rPr>
          <w:rFonts w:ascii="宋体" w:hAnsi="宋体" w:cs="宋体"/>
          <w:b/>
          <w:bCs/>
          <w:color w:val="auto"/>
          <w:sz w:val="24"/>
          <w:szCs w:val="24"/>
        </w:rPr>
      </w:pPr>
      <w:r>
        <w:rPr>
          <w:rFonts w:hint="eastAsia" w:ascii="宋体" w:hAnsi="宋体" w:cs="宋体"/>
          <w:b/>
          <w:bCs/>
          <w:color w:val="auto"/>
          <w:sz w:val="24"/>
          <w:szCs w:val="24"/>
          <w:lang w:eastAsia="zh-CN"/>
        </w:rPr>
        <w:t>4.</w:t>
      </w:r>
      <w:r>
        <w:rPr>
          <w:rFonts w:hint="eastAsia" w:ascii="宋体" w:hAnsi="宋体" w:cs="宋体"/>
          <w:b/>
          <w:bCs/>
          <w:color w:val="auto"/>
          <w:sz w:val="24"/>
          <w:szCs w:val="24"/>
        </w:rPr>
        <w:t>电子投标文件技术支持：400928009</w:t>
      </w:r>
      <w:r>
        <w:rPr>
          <w:rFonts w:hint="eastAsia" w:ascii="宋体" w:hAnsi="宋体" w:cs="宋体"/>
          <w:b/>
          <w:bCs/>
          <w:color w:val="auto"/>
          <w:sz w:val="24"/>
          <w:szCs w:val="24"/>
          <w:lang w:eastAsia="zh-CN"/>
        </w:rPr>
        <w:t>5.</w:t>
      </w:r>
      <w:r>
        <w:rPr>
          <w:rFonts w:hint="eastAsia" w:ascii="宋体" w:hAnsi="宋体" w:cs="宋体"/>
          <w:b/>
          <w:bCs/>
          <w:color w:val="auto"/>
          <w:sz w:val="24"/>
          <w:szCs w:val="24"/>
        </w:rPr>
        <w:t>4009980000</w:t>
      </w:r>
    </w:p>
    <w:p w14:paraId="79C06F59">
      <w:pPr>
        <w:spacing w:line="460" w:lineRule="exact"/>
        <w:ind w:firstLine="482" w:firstLineChars="200"/>
        <w:jc w:val="left"/>
        <w:rPr>
          <w:rFonts w:hint="eastAsia" w:ascii="宋体" w:hAnsi="宋体" w:cs="宋体"/>
          <w:b/>
          <w:bCs/>
          <w:color w:val="auto"/>
          <w:kern w:val="0"/>
          <w:sz w:val="24"/>
          <w:szCs w:val="24"/>
        </w:rPr>
      </w:pPr>
      <w:r>
        <w:rPr>
          <w:rFonts w:hint="eastAsia" w:ascii="宋体" w:hAnsi="宋体" w:cs="宋体"/>
          <w:b/>
          <w:bCs/>
          <w:color w:val="auto"/>
          <w:kern w:val="0"/>
          <w:sz w:val="24"/>
          <w:szCs w:val="24"/>
          <w:lang w:eastAsia="zh-CN"/>
        </w:rPr>
        <w:t>5.</w:t>
      </w:r>
      <w:r>
        <w:rPr>
          <w:rFonts w:hint="eastAsia" w:ascii="宋体" w:hAnsi="宋体" w:cs="宋体"/>
          <w:b/>
          <w:bCs/>
          <w:color w:val="auto"/>
          <w:kern w:val="0"/>
          <w:sz w:val="24"/>
          <w:szCs w:val="24"/>
        </w:rPr>
        <w:t>投标供应商报名成功，如自愿放弃投标，应在开标前一个工作日以电子邮件或书面形式告知采购代理机构。供应商若未按此要求告知，采购代理机构将登记供应商不诚信信用记录，在一个自然年度进行综合考评，报采购监督管理部门。由此产生的一切后果由供应商自行承担。</w:t>
      </w:r>
    </w:p>
    <w:p w14:paraId="14E18590">
      <w:pPr>
        <w:spacing w:line="460" w:lineRule="exact"/>
        <w:ind w:firstLine="482" w:firstLineChars="200"/>
        <w:jc w:val="left"/>
        <w:rPr>
          <w:rFonts w:hint="eastAsia" w:ascii="宋体" w:hAnsi="宋体" w:cs="宋体"/>
          <w:b/>
          <w:bCs/>
          <w:color w:val="auto"/>
          <w:kern w:val="0"/>
          <w:sz w:val="24"/>
          <w:szCs w:val="24"/>
        </w:rPr>
      </w:pPr>
    </w:p>
    <w:p w14:paraId="547DFF10">
      <w:pPr>
        <w:widowControl/>
        <w:jc w:val="left"/>
        <w:rPr>
          <w:rFonts w:ascii="宋体" w:hAnsi="宋体"/>
          <w:b/>
          <w:bCs/>
          <w:color w:val="auto"/>
          <w:kern w:val="44"/>
          <w:sz w:val="36"/>
          <w:szCs w:val="36"/>
        </w:rPr>
      </w:pPr>
      <w:r>
        <w:rPr>
          <w:rFonts w:ascii="宋体" w:hAnsi="宋体"/>
          <w:color w:val="auto"/>
          <w:sz w:val="36"/>
          <w:szCs w:val="36"/>
        </w:rPr>
        <w:br w:type="page"/>
      </w:r>
    </w:p>
    <w:p w14:paraId="233C14DA">
      <w:pPr>
        <w:pStyle w:val="2"/>
        <w:spacing w:before="0" w:after="0" w:line="500" w:lineRule="exact"/>
        <w:jc w:val="center"/>
        <w:rPr>
          <w:rFonts w:ascii="宋体" w:hAnsi="宋体"/>
          <w:color w:val="auto"/>
          <w:sz w:val="36"/>
          <w:szCs w:val="36"/>
        </w:rPr>
      </w:pPr>
      <w:bookmarkStart w:id="12" w:name="_Toc26541321"/>
      <w:bookmarkStart w:id="13" w:name="_Toc23258604"/>
      <w:bookmarkStart w:id="14" w:name="_Toc10860"/>
      <w:r>
        <w:rPr>
          <w:rFonts w:hint="eastAsia" w:ascii="宋体" w:hAnsi="宋体"/>
          <w:color w:val="auto"/>
          <w:sz w:val="36"/>
          <w:szCs w:val="36"/>
        </w:rPr>
        <w:t>第二章</w:t>
      </w:r>
      <w:r>
        <w:rPr>
          <w:rFonts w:hint="eastAsia" w:ascii="宋体" w:hAnsi="宋体"/>
          <w:color w:val="auto"/>
          <w:sz w:val="36"/>
          <w:szCs w:val="36"/>
          <w:lang w:val="en-US" w:eastAsia="zh-CN"/>
        </w:rPr>
        <w:t xml:space="preserve"> </w:t>
      </w:r>
      <w:r>
        <w:rPr>
          <w:rFonts w:hint="eastAsia" w:ascii="宋体" w:hAnsi="宋体"/>
          <w:color w:val="auto"/>
          <w:sz w:val="36"/>
          <w:szCs w:val="36"/>
        </w:rPr>
        <w:t xml:space="preserve"> 投标人须知前附表</w:t>
      </w:r>
      <w:bookmarkEnd w:id="7"/>
      <w:bookmarkEnd w:id="8"/>
      <w:bookmarkEnd w:id="9"/>
      <w:bookmarkEnd w:id="10"/>
      <w:bookmarkEnd w:id="12"/>
      <w:bookmarkEnd w:id="13"/>
      <w:bookmarkEnd w:id="14"/>
    </w:p>
    <w:tbl>
      <w:tblPr>
        <w:tblStyle w:val="42"/>
        <w:tblW w:w="9585" w:type="dxa"/>
        <w:jc w:val="center"/>
        <w:tblLayout w:type="fixed"/>
        <w:tblCellMar>
          <w:top w:w="0" w:type="dxa"/>
          <w:left w:w="108" w:type="dxa"/>
          <w:bottom w:w="0" w:type="dxa"/>
          <w:right w:w="108" w:type="dxa"/>
        </w:tblCellMar>
      </w:tblPr>
      <w:tblGrid>
        <w:gridCol w:w="704"/>
        <w:gridCol w:w="1701"/>
        <w:gridCol w:w="7180"/>
      </w:tblGrid>
      <w:tr w14:paraId="3BEE0566">
        <w:tblPrEx>
          <w:tblCellMar>
            <w:top w:w="0" w:type="dxa"/>
            <w:left w:w="108" w:type="dxa"/>
            <w:bottom w:w="0" w:type="dxa"/>
            <w:right w:w="108" w:type="dxa"/>
          </w:tblCellMar>
        </w:tblPrEx>
        <w:trPr>
          <w:trHeight w:val="309"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3BDC0DF">
            <w:pPr>
              <w:keepNext w:val="0"/>
              <w:keepLines w:val="0"/>
              <w:widowControl/>
              <w:suppressLineNumbers w:val="0"/>
              <w:spacing w:before="0" w:beforeAutospacing="0" w:after="0" w:afterAutospacing="0" w:line="440" w:lineRule="exact"/>
              <w:ind w:left="0" w:right="0"/>
              <w:jc w:val="center"/>
              <w:rPr>
                <w:rFonts w:hint="default" w:ascii="宋体" w:hAnsi="宋体"/>
                <w:b/>
                <w:bCs/>
                <w:color w:val="auto"/>
                <w:kern w:val="0"/>
                <w:sz w:val="24"/>
                <w:szCs w:val="24"/>
              </w:rPr>
            </w:pPr>
            <w:r>
              <w:rPr>
                <w:rFonts w:hint="eastAsia" w:ascii="宋体" w:hAnsi="宋体"/>
                <w:b/>
                <w:bCs/>
                <w:color w:val="auto"/>
                <w:kern w:val="0"/>
                <w:sz w:val="24"/>
                <w:szCs w:val="24"/>
              </w:rPr>
              <w:t>序号</w:t>
            </w:r>
          </w:p>
        </w:tc>
        <w:tc>
          <w:tcPr>
            <w:tcW w:w="1701" w:type="dxa"/>
            <w:tcBorders>
              <w:top w:val="single" w:color="000000" w:sz="4" w:space="0"/>
              <w:left w:val="nil"/>
              <w:bottom w:val="single" w:color="000000" w:sz="4" w:space="0"/>
              <w:right w:val="single" w:color="auto" w:sz="4" w:space="0"/>
            </w:tcBorders>
            <w:vAlign w:val="center"/>
          </w:tcPr>
          <w:p w14:paraId="3F677698">
            <w:pPr>
              <w:keepNext w:val="0"/>
              <w:keepLines w:val="0"/>
              <w:widowControl/>
              <w:suppressLineNumbers w:val="0"/>
              <w:spacing w:before="0" w:beforeAutospacing="0" w:after="0" w:afterAutospacing="0" w:line="440" w:lineRule="exact"/>
              <w:ind w:left="0" w:right="0"/>
              <w:jc w:val="center"/>
              <w:rPr>
                <w:rFonts w:hint="default" w:ascii="宋体" w:hAnsi="宋体"/>
                <w:b/>
                <w:bCs/>
                <w:color w:val="auto"/>
                <w:kern w:val="0"/>
                <w:sz w:val="24"/>
                <w:szCs w:val="24"/>
              </w:rPr>
            </w:pPr>
            <w:r>
              <w:rPr>
                <w:rFonts w:hint="default" w:ascii="宋体" w:hAnsi="宋体"/>
                <w:b/>
                <w:bCs/>
                <w:color w:val="auto"/>
                <w:kern w:val="0"/>
                <w:sz w:val="24"/>
                <w:szCs w:val="24"/>
              </w:rPr>
              <w:t>项目</w:t>
            </w:r>
          </w:p>
        </w:tc>
        <w:tc>
          <w:tcPr>
            <w:tcW w:w="7180" w:type="dxa"/>
            <w:tcBorders>
              <w:top w:val="single" w:color="000000" w:sz="4" w:space="0"/>
              <w:left w:val="single" w:color="auto" w:sz="4" w:space="0"/>
              <w:bottom w:val="single" w:color="000000" w:sz="4" w:space="0"/>
              <w:right w:val="single" w:color="000000" w:sz="4" w:space="0"/>
            </w:tcBorders>
            <w:vAlign w:val="center"/>
          </w:tcPr>
          <w:p w14:paraId="2E8D8B4C">
            <w:pPr>
              <w:keepNext w:val="0"/>
              <w:keepLines w:val="0"/>
              <w:suppressLineNumbers w:val="0"/>
              <w:spacing w:before="0" w:beforeAutospacing="0" w:after="0" w:afterAutospacing="0" w:line="440" w:lineRule="exact"/>
              <w:ind w:left="0" w:right="0"/>
              <w:jc w:val="center"/>
              <w:rPr>
                <w:rFonts w:hint="default" w:ascii="宋体" w:hAnsi="宋体" w:eastAsia="宋体"/>
                <w:b/>
                <w:bCs/>
                <w:color w:val="auto"/>
                <w:kern w:val="0"/>
                <w:sz w:val="24"/>
                <w:szCs w:val="24"/>
                <w:lang w:val="en-US" w:eastAsia="zh-CN"/>
              </w:rPr>
            </w:pPr>
            <w:r>
              <w:rPr>
                <w:rFonts w:hint="eastAsia" w:ascii="宋体" w:hAnsi="宋体"/>
                <w:b/>
                <w:bCs/>
                <w:color w:val="auto"/>
                <w:kern w:val="0"/>
                <w:sz w:val="24"/>
                <w:szCs w:val="24"/>
                <w:lang w:val="en-US" w:eastAsia="zh-CN"/>
              </w:rPr>
              <w:t>说明与要求</w:t>
            </w:r>
          </w:p>
        </w:tc>
      </w:tr>
      <w:tr w14:paraId="695FFDFB">
        <w:tblPrEx>
          <w:tblCellMar>
            <w:top w:w="0" w:type="dxa"/>
            <w:left w:w="108" w:type="dxa"/>
            <w:bottom w:w="0" w:type="dxa"/>
            <w:right w:w="108" w:type="dxa"/>
          </w:tblCellMar>
        </w:tblPrEx>
        <w:trPr>
          <w:trHeight w:val="26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3AFC140">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nil"/>
              <w:bottom w:val="single" w:color="000000" w:sz="4" w:space="0"/>
              <w:right w:val="single" w:color="auto" w:sz="4" w:space="0"/>
            </w:tcBorders>
            <w:vAlign w:val="center"/>
          </w:tcPr>
          <w:p w14:paraId="125C0C9F">
            <w:pPr>
              <w:keepNext w:val="0"/>
              <w:keepLines w:val="0"/>
              <w:widowControl/>
              <w:suppressLineNumbers w:val="0"/>
              <w:spacing w:before="0" w:beforeAutospacing="0" w:after="0" w:afterAutospacing="0" w:line="440" w:lineRule="exact"/>
              <w:ind w:left="19" w:right="0" w:hanging="19"/>
              <w:jc w:val="center"/>
              <w:rPr>
                <w:rFonts w:hint="default" w:ascii="宋体" w:hAnsi="宋体"/>
                <w:color w:val="auto"/>
                <w:kern w:val="0"/>
                <w:sz w:val="24"/>
                <w:szCs w:val="24"/>
              </w:rPr>
            </w:pPr>
            <w:r>
              <w:rPr>
                <w:rFonts w:hint="eastAsia" w:ascii="宋体" w:hAnsi="宋体"/>
                <w:color w:val="auto"/>
                <w:kern w:val="0"/>
                <w:sz w:val="24"/>
                <w:szCs w:val="24"/>
              </w:rPr>
              <w:t>采购人</w:t>
            </w:r>
          </w:p>
        </w:tc>
        <w:tc>
          <w:tcPr>
            <w:tcW w:w="7180" w:type="dxa"/>
            <w:tcBorders>
              <w:top w:val="single" w:color="000000" w:sz="4" w:space="0"/>
              <w:left w:val="single" w:color="auto" w:sz="4" w:space="0"/>
              <w:bottom w:val="single" w:color="000000" w:sz="4" w:space="0"/>
              <w:right w:val="single" w:color="000000" w:sz="4" w:space="0"/>
            </w:tcBorders>
            <w:vAlign w:val="center"/>
          </w:tcPr>
          <w:p w14:paraId="471439F2">
            <w:pPr>
              <w:keepNext w:val="0"/>
              <w:keepLines w:val="0"/>
              <w:widowControl/>
              <w:suppressLineNumbers w:val="0"/>
              <w:spacing w:before="0" w:beforeAutospacing="0" w:after="0" w:afterAutospacing="0" w:line="440" w:lineRule="exact"/>
              <w:ind w:left="19" w:right="0" w:hanging="19"/>
              <w:rPr>
                <w:rFonts w:hint="eastAsia" w:ascii="宋体" w:hAnsi="宋体" w:eastAsia="宋体"/>
                <w:color w:val="auto"/>
                <w:sz w:val="24"/>
                <w:szCs w:val="24"/>
                <w:lang w:eastAsia="zh-CN"/>
              </w:rPr>
            </w:pPr>
            <w:r>
              <w:rPr>
                <w:rFonts w:hint="eastAsia" w:ascii="宋体" w:hAnsi="宋体" w:cs="宋体"/>
                <w:color w:val="auto"/>
                <w:kern w:val="0"/>
                <w:sz w:val="24"/>
                <w:szCs w:val="24"/>
                <w:lang w:val="en-US" w:eastAsia="zh-CN"/>
              </w:rPr>
              <w:t>安康市初级中学</w:t>
            </w:r>
          </w:p>
        </w:tc>
      </w:tr>
      <w:tr w14:paraId="652EA33E">
        <w:tblPrEx>
          <w:tblCellMar>
            <w:top w:w="0" w:type="dxa"/>
            <w:left w:w="108" w:type="dxa"/>
            <w:bottom w:w="0" w:type="dxa"/>
            <w:right w:w="108" w:type="dxa"/>
          </w:tblCellMar>
        </w:tblPrEx>
        <w:trPr>
          <w:trHeight w:val="40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3B7A2B2">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nil"/>
              <w:bottom w:val="single" w:color="000000" w:sz="4" w:space="0"/>
              <w:right w:val="single" w:color="auto" w:sz="4" w:space="0"/>
            </w:tcBorders>
            <w:vAlign w:val="center"/>
          </w:tcPr>
          <w:p w14:paraId="31CACB1C">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eastAsia" w:ascii="宋体" w:hAnsi="宋体"/>
                <w:color w:val="auto"/>
                <w:kern w:val="0"/>
                <w:sz w:val="24"/>
                <w:szCs w:val="24"/>
              </w:rPr>
              <w:t>采购代理机构</w:t>
            </w:r>
          </w:p>
        </w:tc>
        <w:tc>
          <w:tcPr>
            <w:tcW w:w="7180" w:type="dxa"/>
            <w:tcBorders>
              <w:top w:val="single" w:color="000000" w:sz="4" w:space="0"/>
              <w:left w:val="single" w:color="auto" w:sz="4" w:space="0"/>
              <w:bottom w:val="single" w:color="000000" w:sz="4" w:space="0"/>
              <w:right w:val="single" w:color="000000" w:sz="4" w:space="0"/>
            </w:tcBorders>
            <w:vAlign w:val="center"/>
          </w:tcPr>
          <w:p w14:paraId="28EAAA30">
            <w:pPr>
              <w:keepNext w:val="0"/>
              <w:keepLines w:val="0"/>
              <w:widowControl/>
              <w:suppressLineNumbers w:val="0"/>
              <w:spacing w:before="0" w:beforeAutospacing="0" w:after="0" w:afterAutospacing="0" w:line="440" w:lineRule="exact"/>
              <w:ind w:left="0" w:right="0"/>
              <w:rPr>
                <w:rFonts w:hint="default" w:ascii="宋体" w:hAnsi="宋体"/>
                <w:color w:val="auto"/>
                <w:sz w:val="24"/>
                <w:szCs w:val="24"/>
              </w:rPr>
            </w:pPr>
            <w:r>
              <w:rPr>
                <w:rFonts w:hint="eastAsia" w:ascii="宋体" w:hAnsi="宋体"/>
                <w:color w:val="auto"/>
                <w:sz w:val="24"/>
                <w:szCs w:val="24"/>
              </w:rPr>
              <w:t>安康尚昊</w:t>
            </w:r>
            <w:r>
              <w:rPr>
                <w:rFonts w:hint="default" w:ascii="宋体" w:hAnsi="宋体"/>
                <w:color w:val="auto"/>
                <w:sz w:val="24"/>
                <w:szCs w:val="24"/>
              </w:rPr>
              <w:t>招标代理有限公司</w:t>
            </w:r>
          </w:p>
        </w:tc>
      </w:tr>
      <w:tr w14:paraId="5F0FB40B">
        <w:tblPrEx>
          <w:tblCellMar>
            <w:top w:w="0" w:type="dxa"/>
            <w:left w:w="108" w:type="dxa"/>
            <w:bottom w:w="0" w:type="dxa"/>
            <w:right w:w="108" w:type="dxa"/>
          </w:tblCellMar>
        </w:tblPrEx>
        <w:trPr>
          <w:trHeight w:val="436" w:hRule="atLeast"/>
          <w:jc w:val="center"/>
        </w:trPr>
        <w:tc>
          <w:tcPr>
            <w:tcW w:w="704" w:type="dxa"/>
            <w:tcBorders>
              <w:top w:val="single" w:color="000000" w:sz="4" w:space="0"/>
              <w:left w:val="single" w:color="000000" w:sz="4" w:space="0"/>
              <w:bottom w:val="single" w:color="auto" w:sz="4" w:space="0"/>
              <w:right w:val="single" w:color="auto" w:sz="4" w:space="0"/>
            </w:tcBorders>
            <w:vAlign w:val="center"/>
          </w:tcPr>
          <w:p w14:paraId="6799630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single" w:color="auto" w:sz="4" w:space="0"/>
              <w:bottom w:val="single" w:color="000000" w:sz="4" w:space="0"/>
              <w:right w:val="single" w:color="auto" w:sz="4" w:space="0"/>
            </w:tcBorders>
            <w:vAlign w:val="center"/>
          </w:tcPr>
          <w:p w14:paraId="24EA5425">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eastAsia" w:ascii="宋体" w:hAnsi="宋体"/>
                <w:color w:val="auto"/>
                <w:kern w:val="0"/>
                <w:sz w:val="24"/>
                <w:szCs w:val="24"/>
              </w:rPr>
              <w:t>项目名称</w:t>
            </w:r>
          </w:p>
        </w:tc>
        <w:tc>
          <w:tcPr>
            <w:tcW w:w="7180" w:type="dxa"/>
            <w:tcBorders>
              <w:top w:val="single" w:color="000000" w:sz="4" w:space="0"/>
              <w:left w:val="single" w:color="auto" w:sz="4" w:space="0"/>
              <w:bottom w:val="single" w:color="000000" w:sz="4" w:space="0"/>
              <w:right w:val="single" w:color="000000" w:sz="4" w:space="0"/>
            </w:tcBorders>
            <w:vAlign w:val="center"/>
          </w:tcPr>
          <w:p w14:paraId="2574F7C9">
            <w:pPr>
              <w:keepNext w:val="0"/>
              <w:keepLines w:val="0"/>
              <w:widowControl/>
              <w:suppressLineNumbers w:val="0"/>
              <w:spacing w:before="0" w:beforeAutospacing="0" w:after="0" w:afterAutospacing="0" w:line="440" w:lineRule="exact"/>
              <w:ind w:left="19" w:right="0" w:hanging="19"/>
              <w:rPr>
                <w:rFonts w:hint="eastAsia" w:ascii="宋体" w:hAnsi="宋体" w:eastAsia="宋体"/>
                <w:color w:val="auto"/>
                <w:sz w:val="24"/>
                <w:szCs w:val="24"/>
                <w:lang w:eastAsia="zh-CN"/>
              </w:rPr>
            </w:pPr>
            <w:r>
              <w:rPr>
                <w:rFonts w:hint="eastAsia" w:ascii="宋体" w:hAnsi="宋体" w:cs="宋体"/>
                <w:color w:val="auto"/>
                <w:kern w:val="0"/>
                <w:sz w:val="24"/>
                <w:szCs w:val="24"/>
                <w:lang w:eastAsia="zh-CN"/>
              </w:rPr>
              <w:t>安康市初级中学生成式人工智能学科融合智慧教室项目（二次）</w:t>
            </w:r>
          </w:p>
        </w:tc>
      </w:tr>
      <w:tr w14:paraId="0DC1A9DA">
        <w:tblPrEx>
          <w:tblCellMar>
            <w:top w:w="0" w:type="dxa"/>
            <w:left w:w="108" w:type="dxa"/>
            <w:bottom w:w="0" w:type="dxa"/>
            <w:right w:w="108" w:type="dxa"/>
          </w:tblCellMar>
        </w:tblPrEx>
        <w:trPr>
          <w:trHeight w:val="316" w:hRule="atLeast"/>
          <w:jc w:val="center"/>
        </w:trPr>
        <w:tc>
          <w:tcPr>
            <w:tcW w:w="704" w:type="dxa"/>
            <w:tcBorders>
              <w:top w:val="single" w:color="auto" w:sz="4" w:space="0"/>
              <w:left w:val="single" w:color="000000" w:sz="4" w:space="0"/>
              <w:bottom w:val="single" w:color="auto" w:sz="4" w:space="0"/>
              <w:right w:val="single" w:color="000000" w:sz="4" w:space="0"/>
            </w:tcBorders>
            <w:vAlign w:val="center"/>
          </w:tcPr>
          <w:p w14:paraId="4305CFB2">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nil"/>
              <w:right w:val="single" w:color="auto" w:sz="4" w:space="0"/>
            </w:tcBorders>
            <w:vAlign w:val="center"/>
          </w:tcPr>
          <w:p w14:paraId="71DDF52B">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eastAsia" w:ascii="宋体" w:hAnsi="宋体"/>
                <w:color w:val="auto"/>
                <w:kern w:val="0"/>
                <w:sz w:val="24"/>
                <w:szCs w:val="24"/>
              </w:rPr>
              <w:t>项目编号</w:t>
            </w:r>
          </w:p>
        </w:tc>
        <w:tc>
          <w:tcPr>
            <w:tcW w:w="7180" w:type="dxa"/>
            <w:tcBorders>
              <w:top w:val="single" w:color="000000" w:sz="4" w:space="0"/>
              <w:left w:val="single" w:color="auto" w:sz="4" w:space="0"/>
              <w:right w:val="single" w:color="000000" w:sz="4" w:space="0"/>
            </w:tcBorders>
            <w:vAlign w:val="center"/>
          </w:tcPr>
          <w:p w14:paraId="644B5E36">
            <w:pPr>
              <w:keepNext w:val="0"/>
              <w:keepLines w:val="0"/>
              <w:widowControl/>
              <w:suppressLineNumbers w:val="0"/>
              <w:snapToGrid w:val="0"/>
              <w:spacing w:before="0" w:beforeAutospacing="0" w:after="0" w:afterAutospacing="0" w:line="460" w:lineRule="exact"/>
              <w:ind w:left="0" w:right="0"/>
              <w:jc w:val="left"/>
              <w:rPr>
                <w:rFonts w:hint="eastAsia" w:ascii="宋体" w:hAnsi="宋体" w:eastAsia="宋体"/>
                <w:color w:val="auto"/>
                <w:kern w:val="0"/>
                <w:sz w:val="24"/>
                <w:szCs w:val="24"/>
                <w:lang w:eastAsia="zh-CN"/>
              </w:rPr>
            </w:pPr>
            <w:r>
              <w:rPr>
                <w:rFonts w:hint="eastAsia" w:ascii="宋体" w:hAnsi="宋体"/>
                <w:color w:val="auto"/>
                <w:sz w:val="24"/>
                <w:szCs w:val="24"/>
                <w:lang w:eastAsia="zh-CN"/>
              </w:rPr>
              <w:t>AKSH2026-ZGK-024-2</w:t>
            </w:r>
          </w:p>
        </w:tc>
      </w:tr>
      <w:tr w14:paraId="5E74AB74">
        <w:tblPrEx>
          <w:tblCellMar>
            <w:top w:w="0" w:type="dxa"/>
            <w:left w:w="108" w:type="dxa"/>
            <w:bottom w:w="0" w:type="dxa"/>
            <w:right w:w="108" w:type="dxa"/>
          </w:tblCellMar>
        </w:tblPrEx>
        <w:trPr>
          <w:trHeight w:val="654" w:hRule="atLeast"/>
          <w:jc w:val="center"/>
        </w:trPr>
        <w:tc>
          <w:tcPr>
            <w:tcW w:w="704" w:type="dxa"/>
            <w:tcBorders>
              <w:top w:val="single" w:color="auto" w:sz="4" w:space="0"/>
              <w:left w:val="single" w:color="000000" w:sz="4" w:space="0"/>
              <w:bottom w:val="single" w:color="auto" w:sz="4" w:space="0"/>
              <w:right w:val="single" w:color="000000" w:sz="4" w:space="0"/>
            </w:tcBorders>
            <w:vAlign w:val="center"/>
          </w:tcPr>
          <w:p w14:paraId="3FD1D917">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nil"/>
              <w:bottom w:val="single" w:color="000000" w:sz="4" w:space="0"/>
              <w:right w:val="single" w:color="auto" w:sz="4" w:space="0"/>
            </w:tcBorders>
            <w:vAlign w:val="center"/>
          </w:tcPr>
          <w:p w14:paraId="3F8F6368">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default" w:ascii="宋体" w:hAnsi="宋体"/>
                <w:color w:val="auto"/>
                <w:kern w:val="0"/>
                <w:sz w:val="24"/>
                <w:szCs w:val="24"/>
              </w:rPr>
              <w:t>投标报价</w:t>
            </w:r>
          </w:p>
        </w:tc>
        <w:tc>
          <w:tcPr>
            <w:tcW w:w="7180" w:type="dxa"/>
            <w:tcBorders>
              <w:top w:val="single" w:color="000000" w:sz="4" w:space="0"/>
              <w:left w:val="single" w:color="auto" w:sz="4" w:space="0"/>
              <w:bottom w:val="single" w:color="000000" w:sz="4" w:space="0"/>
              <w:right w:val="single" w:color="000000" w:sz="4" w:space="0"/>
            </w:tcBorders>
            <w:vAlign w:val="center"/>
          </w:tcPr>
          <w:p w14:paraId="043F354F">
            <w:pPr>
              <w:keepNext w:val="0"/>
              <w:keepLines w:val="0"/>
              <w:suppressLineNumbers w:val="0"/>
              <w:spacing w:before="0" w:beforeAutospacing="0" w:after="0" w:afterAutospacing="0" w:line="440" w:lineRule="exact"/>
              <w:ind w:left="0" w:right="0"/>
              <w:rPr>
                <w:rFonts w:hint="default" w:ascii="宋体" w:hAnsi="宋体"/>
                <w:color w:val="auto"/>
                <w:kern w:val="0"/>
                <w:sz w:val="24"/>
                <w:szCs w:val="24"/>
              </w:rPr>
            </w:pPr>
            <w:r>
              <w:rPr>
                <w:rFonts w:hint="eastAsia" w:ascii="宋体" w:hAnsi="宋体"/>
                <w:color w:val="auto"/>
                <w:kern w:val="0"/>
                <w:sz w:val="24"/>
                <w:szCs w:val="24"/>
                <w:lang w:eastAsia="zh-CN"/>
              </w:rPr>
              <w:t>1.</w:t>
            </w:r>
            <w:r>
              <w:rPr>
                <w:rFonts w:hint="eastAsia" w:ascii="宋体" w:hAnsi="宋体"/>
                <w:color w:val="auto"/>
                <w:kern w:val="0"/>
                <w:sz w:val="24"/>
                <w:szCs w:val="24"/>
              </w:rPr>
              <w:t>投标人所报的价格应考虑到可能发生的所有与完成本项目相关服务及履行合同义务有关的一切费用。</w:t>
            </w:r>
          </w:p>
          <w:p w14:paraId="4F786836">
            <w:pPr>
              <w:keepNext w:val="0"/>
              <w:keepLines w:val="0"/>
              <w:widowControl/>
              <w:suppressLineNumbers w:val="0"/>
              <w:spacing w:before="0" w:beforeAutospacing="0" w:after="0" w:afterAutospacing="0" w:line="440" w:lineRule="exact"/>
              <w:ind w:left="0" w:right="0"/>
              <w:rPr>
                <w:rFonts w:hint="default" w:ascii="宋体" w:hAnsi="宋体"/>
                <w:color w:val="auto"/>
                <w:kern w:val="0"/>
                <w:sz w:val="24"/>
                <w:szCs w:val="24"/>
              </w:rPr>
            </w:pPr>
            <w:r>
              <w:rPr>
                <w:rFonts w:hint="eastAsia" w:ascii="宋体" w:hAnsi="宋体"/>
                <w:color w:val="auto"/>
                <w:kern w:val="0"/>
                <w:sz w:val="24"/>
                <w:szCs w:val="24"/>
                <w:lang w:eastAsia="zh-CN"/>
              </w:rPr>
              <w:t>2.</w:t>
            </w:r>
            <w:r>
              <w:rPr>
                <w:rFonts w:hint="eastAsia" w:ascii="宋体" w:hAnsi="宋体"/>
                <w:color w:val="auto"/>
                <w:kern w:val="0"/>
                <w:sz w:val="24"/>
                <w:szCs w:val="24"/>
              </w:rPr>
              <w:t>投标人必须对所投项目进行完整报价，不接受（将拒绝）只对部分服务进行报价的投标。</w:t>
            </w:r>
          </w:p>
        </w:tc>
      </w:tr>
      <w:tr w14:paraId="5B673BA6">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2333A06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single" w:color="auto" w:sz="4" w:space="0"/>
              <w:bottom w:val="single" w:color="auto" w:sz="4" w:space="0"/>
              <w:right w:val="single" w:color="auto" w:sz="4" w:space="0"/>
            </w:tcBorders>
            <w:vAlign w:val="center"/>
          </w:tcPr>
          <w:p w14:paraId="0A1E2F6C">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auto"/>
                <w:kern w:val="0"/>
                <w:sz w:val="24"/>
                <w:szCs w:val="24"/>
                <w:lang w:val="en-US" w:eastAsia="zh-CN"/>
              </w:rPr>
            </w:pPr>
            <w:r>
              <w:rPr>
                <w:rFonts w:hint="eastAsia" w:ascii="宋体" w:hAnsi="宋体"/>
                <w:color w:val="auto"/>
                <w:kern w:val="0"/>
                <w:sz w:val="24"/>
                <w:szCs w:val="24"/>
                <w:lang w:val="en-US" w:eastAsia="zh-CN"/>
              </w:rPr>
              <w:t>资金来源</w:t>
            </w:r>
          </w:p>
        </w:tc>
        <w:tc>
          <w:tcPr>
            <w:tcW w:w="7180" w:type="dxa"/>
            <w:tcBorders>
              <w:top w:val="single" w:color="000000" w:sz="4" w:space="0"/>
              <w:left w:val="single" w:color="auto" w:sz="4" w:space="0"/>
              <w:bottom w:val="single" w:color="auto" w:sz="4" w:space="0"/>
              <w:right w:val="single" w:color="000000" w:sz="4" w:space="0"/>
            </w:tcBorders>
            <w:vAlign w:val="center"/>
          </w:tcPr>
          <w:p w14:paraId="6A04A0D8">
            <w:pPr>
              <w:keepNext w:val="0"/>
              <w:keepLines w:val="0"/>
              <w:numPr>
                <w:ilvl w:val="0"/>
                <w:numId w:val="0"/>
              </w:numPr>
              <w:suppressLineNumbers w:val="0"/>
              <w:spacing w:before="0" w:beforeAutospacing="0" w:after="0" w:afterAutospacing="0" w:line="460" w:lineRule="exact"/>
              <w:ind w:left="0" w:right="0"/>
              <w:rPr>
                <w:rFonts w:hint="eastAsia" w:ascii="宋体" w:hAnsi="宋体" w:cs="宋体"/>
                <w:bCs w:val="0"/>
                <w:color w:val="auto"/>
                <w:spacing w:val="0"/>
                <w:sz w:val="24"/>
                <w:szCs w:val="24"/>
                <w:lang w:eastAsia="zh-CN"/>
              </w:rPr>
            </w:pPr>
            <w:r>
              <w:rPr>
                <w:rFonts w:hint="eastAsia" w:ascii="宋体" w:hAnsi="宋体" w:cs="宋体"/>
                <w:bCs w:val="0"/>
                <w:color w:val="auto"/>
                <w:spacing w:val="0"/>
                <w:sz w:val="24"/>
                <w:szCs w:val="24"/>
                <w:lang w:eastAsia="zh-CN"/>
              </w:rPr>
              <w:t>财政资金</w:t>
            </w:r>
          </w:p>
        </w:tc>
      </w:tr>
      <w:tr w14:paraId="6609B739">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781AA9D5">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single" w:color="auto" w:sz="4" w:space="0"/>
              <w:bottom w:val="single" w:color="auto" w:sz="4" w:space="0"/>
              <w:right w:val="single" w:color="auto" w:sz="4" w:space="0"/>
            </w:tcBorders>
            <w:vAlign w:val="center"/>
          </w:tcPr>
          <w:p w14:paraId="4FFD2D1D">
            <w:pPr>
              <w:keepNext w:val="0"/>
              <w:keepLines w:val="0"/>
              <w:widowControl/>
              <w:suppressLineNumbers w:val="0"/>
              <w:spacing w:before="0" w:beforeAutospacing="0" w:after="0" w:afterAutospacing="0" w:line="440" w:lineRule="exact"/>
              <w:ind w:left="0" w:right="0"/>
              <w:jc w:val="center"/>
              <w:rPr>
                <w:rFonts w:hint="default" w:ascii="宋体" w:hAnsi="宋体" w:eastAsia="宋体"/>
                <w:color w:val="auto"/>
                <w:kern w:val="0"/>
                <w:sz w:val="24"/>
                <w:szCs w:val="24"/>
                <w:lang w:val="en-US" w:eastAsia="zh-CN"/>
              </w:rPr>
            </w:pPr>
            <w:r>
              <w:rPr>
                <w:rFonts w:hint="eastAsia" w:ascii="宋体" w:hAnsi="宋体"/>
                <w:color w:val="auto"/>
                <w:kern w:val="0"/>
                <w:sz w:val="24"/>
                <w:szCs w:val="24"/>
                <w:lang w:val="en-US" w:eastAsia="zh-CN"/>
              </w:rPr>
              <w:t>预算金额</w:t>
            </w:r>
          </w:p>
        </w:tc>
        <w:tc>
          <w:tcPr>
            <w:tcW w:w="7180" w:type="dxa"/>
            <w:tcBorders>
              <w:top w:val="single" w:color="000000" w:sz="4" w:space="0"/>
              <w:left w:val="single" w:color="auto" w:sz="4" w:space="0"/>
              <w:bottom w:val="single" w:color="auto" w:sz="4" w:space="0"/>
              <w:right w:val="single" w:color="000000" w:sz="4" w:space="0"/>
            </w:tcBorders>
            <w:vAlign w:val="center"/>
          </w:tcPr>
          <w:p w14:paraId="6A7693B3">
            <w:pPr>
              <w:keepNext w:val="0"/>
              <w:keepLines w:val="0"/>
              <w:numPr>
                <w:ilvl w:val="0"/>
                <w:numId w:val="0"/>
              </w:numPr>
              <w:suppressLineNumbers w:val="0"/>
              <w:spacing w:before="0" w:beforeAutospacing="0" w:after="0" w:afterAutospacing="0" w:line="460" w:lineRule="exact"/>
              <w:ind w:left="0" w:right="0"/>
              <w:rPr>
                <w:rFonts w:hint="eastAsia" w:ascii="宋体" w:hAnsi="宋体" w:cs="宋体"/>
                <w:bCs w:val="0"/>
                <w:color w:val="auto"/>
                <w:spacing w:val="0"/>
                <w:sz w:val="24"/>
                <w:szCs w:val="24"/>
                <w:lang w:eastAsia="zh-CN"/>
              </w:rPr>
            </w:pPr>
            <w:r>
              <w:rPr>
                <w:rFonts w:hint="eastAsia" w:ascii="宋体" w:hAnsi="宋体" w:cs="宋体"/>
                <w:bCs w:val="0"/>
                <w:color w:val="auto"/>
                <w:spacing w:val="0"/>
                <w:sz w:val="24"/>
                <w:szCs w:val="24"/>
                <w:lang w:val="en-US" w:eastAsia="zh-CN"/>
              </w:rPr>
              <w:t>560000.00元</w:t>
            </w:r>
          </w:p>
        </w:tc>
      </w:tr>
      <w:tr w14:paraId="29D7B9FB">
        <w:tblPrEx>
          <w:tblCellMar>
            <w:top w:w="0" w:type="dxa"/>
            <w:left w:w="108" w:type="dxa"/>
            <w:bottom w:w="0" w:type="dxa"/>
            <w:right w:w="108" w:type="dxa"/>
          </w:tblCellMar>
        </w:tblPrEx>
        <w:trPr>
          <w:trHeight w:val="363" w:hRule="atLeast"/>
          <w:jc w:val="center"/>
        </w:trPr>
        <w:tc>
          <w:tcPr>
            <w:tcW w:w="704" w:type="dxa"/>
            <w:tcBorders>
              <w:top w:val="single" w:color="auto" w:sz="4" w:space="0"/>
              <w:left w:val="single" w:color="auto" w:sz="4" w:space="0"/>
              <w:bottom w:val="single" w:color="auto" w:sz="4" w:space="0"/>
              <w:right w:val="single" w:color="auto" w:sz="4" w:space="0"/>
            </w:tcBorders>
            <w:vAlign w:val="center"/>
          </w:tcPr>
          <w:p w14:paraId="51F9FD6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kern w:val="0"/>
                <w:sz w:val="24"/>
                <w:szCs w:val="24"/>
              </w:rPr>
            </w:pPr>
          </w:p>
        </w:tc>
        <w:tc>
          <w:tcPr>
            <w:tcW w:w="1701" w:type="dxa"/>
            <w:tcBorders>
              <w:top w:val="single" w:color="000000" w:sz="4" w:space="0"/>
              <w:left w:val="single" w:color="auto" w:sz="4" w:space="0"/>
              <w:bottom w:val="single" w:color="auto" w:sz="4" w:space="0"/>
              <w:right w:val="single" w:color="auto" w:sz="4" w:space="0"/>
            </w:tcBorders>
            <w:vAlign w:val="center"/>
          </w:tcPr>
          <w:p w14:paraId="44854660">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eastAsia" w:ascii="宋体" w:hAnsi="宋体"/>
                <w:color w:val="auto"/>
                <w:kern w:val="0"/>
                <w:sz w:val="24"/>
                <w:szCs w:val="24"/>
              </w:rPr>
              <w:t>合同履行期</w:t>
            </w:r>
          </w:p>
        </w:tc>
        <w:tc>
          <w:tcPr>
            <w:tcW w:w="7180" w:type="dxa"/>
            <w:tcBorders>
              <w:top w:val="single" w:color="000000" w:sz="4" w:space="0"/>
              <w:left w:val="single" w:color="auto" w:sz="4" w:space="0"/>
              <w:bottom w:val="single" w:color="auto" w:sz="4" w:space="0"/>
              <w:right w:val="single" w:color="000000" w:sz="4" w:space="0"/>
            </w:tcBorders>
            <w:vAlign w:val="center"/>
          </w:tcPr>
          <w:p w14:paraId="77764204">
            <w:pPr>
              <w:keepNext w:val="0"/>
              <w:keepLines w:val="0"/>
              <w:numPr>
                <w:ilvl w:val="0"/>
                <w:numId w:val="0"/>
              </w:numPr>
              <w:suppressLineNumbers w:val="0"/>
              <w:spacing w:before="0" w:beforeAutospacing="0" w:after="0" w:afterAutospacing="0" w:line="460" w:lineRule="exact"/>
              <w:ind w:left="0" w:right="0"/>
              <w:rPr>
                <w:rFonts w:hint="eastAsia" w:ascii="宋体" w:hAnsi="宋体" w:eastAsia="宋体"/>
                <w:color w:val="auto"/>
                <w:kern w:val="0"/>
                <w:sz w:val="24"/>
                <w:szCs w:val="24"/>
                <w:lang w:val="en-US" w:eastAsia="zh-CN"/>
              </w:rPr>
            </w:pPr>
            <w:r>
              <w:rPr>
                <w:rFonts w:hint="eastAsia" w:ascii="宋体" w:hAnsi="宋体" w:cs="宋体"/>
                <w:bCs w:val="0"/>
                <w:color w:val="auto"/>
                <w:spacing w:val="0"/>
                <w:sz w:val="24"/>
                <w:szCs w:val="24"/>
                <w:lang w:eastAsia="zh-CN"/>
              </w:rPr>
              <w:t>自合同签订生效之日起30个日历天内交付（包含调试验收）</w:t>
            </w:r>
          </w:p>
        </w:tc>
      </w:tr>
      <w:tr w14:paraId="4DF8C955">
        <w:tblPrEx>
          <w:tblCellMar>
            <w:top w:w="0" w:type="dxa"/>
            <w:left w:w="108" w:type="dxa"/>
            <w:bottom w:w="0" w:type="dxa"/>
            <w:right w:w="108" w:type="dxa"/>
          </w:tblCellMar>
        </w:tblPrEx>
        <w:trPr>
          <w:trHeight w:val="498" w:hRule="atLeast"/>
          <w:jc w:val="center"/>
        </w:trPr>
        <w:tc>
          <w:tcPr>
            <w:tcW w:w="704" w:type="dxa"/>
            <w:tcBorders>
              <w:top w:val="single" w:color="auto" w:sz="4" w:space="0"/>
              <w:left w:val="single" w:color="000000" w:sz="4" w:space="0"/>
              <w:bottom w:val="single" w:color="000000" w:sz="4" w:space="0"/>
              <w:right w:val="single" w:color="000000" w:sz="4" w:space="0"/>
            </w:tcBorders>
            <w:vAlign w:val="center"/>
          </w:tcPr>
          <w:p w14:paraId="16D3A612">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auto"/>
                <w:kern w:val="0"/>
                <w:sz w:val="24"/>
                <w:szCs w:val="24"/>
                <w:lang w:eastAsia="zh-CN"/>
              </w:rPr>
            </w:pPr>
          </w:p>
        </w:tc>
        <w:tc>
          <w:tcPr>
            <w:tcW w:w="1701" w:type="dxa"/>
            <w:tcBorders>
              <w:top w:val="single" w:color="000000" w:sz="4" w:space="0"/>
              <w:left w:val="nil"/>
              <w:bottom w:val="single" w:color="000000" w:sz="4" w:space="0"/>
              <w:right w:val="single" w:color="auto" w:sz="4" w:space="0"/>
            </w:tcBorders>
            <w:vAlign w:val="center"/>
          </w:tcPr>
          <w:p w14:paraId="7485C03C">
            <w:pPr>
              <w:keepNext w:val="0"/>
              <w:keepLines w:val="0"/>
              <w:widowControl/>
              <w:suppressLineNumbers w:val="0"/>
              <w:spacing w:before="0" w:beforeAutospacing="0" w:after="0" w:afterAutospacing="0" w:line="440" w:lineRule="exact"/>
              <w:ind w:left="0" w:right="0"/>
              <w:jc w:val="center"/>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质保期</w:t>
            </w:r>
          </w:p>
        </w:tc>
        <w:tc>
          <w:tcPr>
            <w:tcW w:w="7180" w:type="dxa"/>
            <w:tcBorders>
              <w:top w:val="single" w:color="000000" w:sz="4" w:space="0"/>
              <w:left w:val="single" w:color="auto" w:sz="4" w:space="0"/>
              <w:bottom w:val="single" w:color="000000" w:sz="4" w:space="0"/>
              <w:right w:val="single" w:color="000000" w:sz="4" w:space="0"/>
            </w:tcBorders>
            <w:vAlign w:val="center"/>
          </w:tcPr>
          <w:p w14:paraId="25144B13">
            <w:pPr>
              <w:keepNext w:val="0"/>
              <w:keepLines w:val="0"/>
              <w:suppressLineNumbers w:val="0"/>
              <w:spacing w:before="0" w:beforeAutospacing="0" w:after="0" w:afterAutospacing="0" w:line="440" w:lineRule="exact"/>
              <w:ind w:left="0" w:right="0"/>
              <w:rPr>
                <w:rFonts w:hint="default" w:ascii="宋体" w:hAnsi="宋体" w:cs="Times New Roman"/>
                <w:color w:val="auto"/>
                <w:kern w:val="0"/>
                <w:sz w:val="24"/>
                <w:szCs w:val="24"/>
                <w:lang w:val="en-US" w:eastAsia="zh-CN"/>
              </w:rPr>
            </w:pPr>
            <w:r>
              <w:rPr>
                <w:rFonts w:hint="eastAsia" w:ascii="宋体" w:hAnsi="宋体" w:cs="Times New Roman"/>
                <w:color w:val="auto"/>
                <w:kern w:val="0"/>
                <w:sz w:val="24"/>
                <w:szCs w:val="24"/>
                <w:lang w:val="en-US" w:eastAsia="zh-CN"/>
              </w:rPr>
              <w:t xml:space="preserve">自项目通过最终验收合格之日起三年                            </w:t>
            </w:r>
          </w:p>
        </w:tc>
      </w:tr>
      <w:tr w14:paraId="0C129724">
        <w:tblPrEx>
          <w:tblCellMar>
            <w:top w:w="0" w:type="dxa"/>
            <w:left w:w="108" w:type="dxa"/>
            <w:bottom w:w="0" w:type="dxa"/>
            <w:right w:w="108" w:type="dxa"/>
          </w:tblCellMar>
        </w:tblPrEx>
        <w:trPr>
          <w:trHeight w:val="570" w:hRule="atLeast"/>
          <w:jc w:val="center"/>
        </w:trPr>
        <w:tc>
          <w:tcPr>
            <w:tcW w:w="704" w:type="dxa"/>
            <w:tcBorders>
              <w:top w:val="single" w:color="auto" w:sz="4" w:space="0"/>
              <w:left w:val="single" w:color="000000" w:sz="4" w:space="0"/>
              <w:bottom w:val="single" w:color="000000" w:sz="4" w:space="0"/>
              <w:right w:val="single" w:color="000000" w:sz="4" w:space="0"/>
            </w:tcBorders>
            <w:vAlign w:val="center"/>
          </w:tcPr>
          <w:p w14:paraId="1E788B0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auto"/>
                <w:kern w:val="0"/>
                <w:sz w:val="24"/>
                <w:szCs w:val="24"/>
                <w:lang w:eastAsia="zh-CN"/>
              </w:rPr>
            </w:pPr>
          </w:p>
        </w:tc>
        <w:tc>
          <w:tcPr>
            <w:tcW w:w="1701" w:type="dxa"/>
            <w:tcBorders>
              <w:top w:val="single" w:color="000000" w:sz="4" w:space="0"/>
              <w:left w:val="nil"/>
              <w:bottom w:val="single" w:color="000000" w:sz="4" w:space="0"/>
              <w:right w:val="single" w:color="auto" w:sz="4" w:space="0"/>
            </w:tcBorders>
            <w:vAlign w:val="center"/>
          </w:tcPr>
          <w:p w14:paraId="604E865B">
            <w:pPr>
              <w:keepNext w:val="0"/>
              <w:keepLines w:val="0"/>
              <w:widowControl/>
              <w:suppressLineNumbers w:val="0"/>
              <w:spacing w:before="0" w:beforeAutospacing="0" w:after="0" w:afterAutospacing="0" w:line="440" w:lineRule="exact"/>
              <w:ind w:left="0" w:right="0"/>
              <w:jc w:val="center"/>
              <w:rPr>
                <w:rFonts w:hint="default" w:ascii="宋体" w:hAnsi="宋体"/>
                <w:color w:val="auto"/>
                <w:sz w:val="24"/>
                <w:szCs w:val="24"/>
                <w:highlight w:val="none"/>
              </w:rPr>
            </w:pPr>
            <w:r>
              <w:rPr>
                <w:rFonts w:hint="eastAsia" w:ascii="宋体" w:hAnsi="宋体"/>
                <w:color w:val="auto"/>
                <w:sz w:val="24"/>
                <w:szCs w:val="24"/>
                <w:highlight w:val="none"/>
              </w:rPr>
              <w:t>付款方式</w:t>
            </w:r>
          </w:p>
        </w:tc>
        <w:tc>
          <w:tcPr>
            <w:tcW w:w="7180" w:type="dxa"/>
            <w:tcBorders>
              <w:top w:val="single" w:color="000000" w:sz="4" w:space="0"/>
              <w:left w:val="single" w:color="auto" w:sz="4" w:space="0"/>
              <w:bottom w:val="single" w:color="000000" w:sz="4" w:space="0"/>
              <w:right w:val="single" w:color="000000" w:sz="4" w:space="0"/>
            </w:tcBorders>
            <w:vAlign w:val="center"/>
          </w:tcPr>
          <w:p w14:paraId="03C12419">
            <w:pPr>
              <w:keepNext w:val="0"/>
              <w:keepLines w:val="0"/>
              <w:suppressLineNumbers w:val="0"/>
              <w:spacing w:before="0" w:beforeAutospacing="0" w:after="0" w:afterAutospacing="0" w:line="440" w:lineRule="exact"/>
              <w:ind w:left="0" w:right="0"/>
              <w:rPr>
                <w:rFonts w:hint="default"/>
                <w:color w:val="auto"/>
                <w:highlight w:val="none"/>
                <w:lang w:val="en-US" w:eastAsia="zh-CN"/>
              </w:rPr>
            </w:pPr>
            <w:r>
              <w:rPr>
                <w:rFonts w:hint="eastAsia" w:ascii="宋体" w:hAnsi="宋体" w:cs="宋体"/>
                <w:color w:val="auto"/>
                <w:kern w:val="0"/>
                <w:sz w:val="24"/>
                <w:szCs w:val="24"/>
                <w:lang w:val="en-US" w:eastAsia="zh-CN" w:bidi="ar-SA"/>
              </w:rPr>
              <w:t>货到初验合格后支付至合同总价的40%，货到安装调试合格后支付至合同总价的80%，验收合格后支付至合同总价的100%</w:t>
            </w:r>
          </w:p>
        </w:tc>
      </w:tr>
      <w:tr w14:paraId="289175C2">
        <w:tblPrEx>
          <w:tblCellMar>
            <w:top w:w="0" w:type="dxa"/>
            <w:left w:w="108" w:type="dxa"/>
            <w:bottom w:w="0" w:type="dxa"/>
            <w:right w:w="108" w:type="dxa"/>
          </w:tblCellMar>
        </w:tblPrEx>
        <w:trPr>
          <w:trHeight w:val="505" w:hRule="atLeast"/>
          <w:jc w:val="center"/>
        </w:trPr>
        <w:tc>
          <w:tcPr>
            <w:tcW w:w="704" w:type="dxa"/>
            <w:tcBorders>
              <w:top w:val="single" w:color="000000" w:sz="4" w:space="0"/>
              <w:left w:val="single" w:color="000000" w:sz="4" w:space="0"/>
              <w:right w:val="single" w:color="000000" w:sz="4" w:space="0"/>
            </w:tcBorders>
            <w:vAlign w:val="center"/>
          </w:tcPr>
          <w:p w14:paraId="1DCCDFAB">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auto"/>
                <w:kern w:val="0"/>
                <w:sz w:val="24"/>
                <w:szCs w:val="24"/>
                <w:lang w:eastAsia="zh-CN"/>
              </w:rPr>
            </w:pPr>
          </w:p>
        </w:tc>
        <w:tc>
          <w:tcPr>
            <w:tcW w:w="1701" w:type="dxa"/>
            <w:tcBorders>
              <w:top w:val="single" w:color="000000" w:sz="4" w:space="0"/>
              <w:left w:val="nil"/>
              <w:right w:val="single" w:color="auto" w:sz="4" w:space="0"/>
            </w:tcBorders>
            <w:vAlign w:val="center"/>
          </w:tcPr>
          <w:p w14:paraId="639FFD67">
            <w:pPr>
              <w:keepNext w:val="0"/>
              <w:keepLines w:val="0"/>
              <w:suppressLineNumbers w:val="0"/>
              <w:spacing w:before="0" w:beforeAutospacing="0" w:after="0" w:afterAutospacing="0" w:line="440" w:lineRule="exact"/>
              <w:ind w:left="0" w:right="0"/>
              <w:jc w:val="center"/>
              <w:rPr>
                <w:rFonts w:hint="default" w:ascii="宋体" w:hAnsi="宋体"/>
                <w:color w:val="auto"/>
                <w:sz w:val="24"/>
                <w:szCs w:val="24"/>
              </w:rPr>
            </w:pPr>
            <w:r>
              <w:rPr>
                <w:rFonts w:hint="eastAsia" w:ascii="宋体" w:hAnsi="宋体"/>
                <w:color w:val="auto"/>
                <w:sz w:val="24"/>
                <w:szCs w:val="24"/>
              </w:rPr>
              <w:t>投标保证金</w:t>
            </w:r>
          </w:p>
        </w:tc>
        <w:tc>
          <w:tcPr>
            <w:tcW w:w="7180" w:type="dxa"/>
            <w:tcBorders>
              <w:top w:val="single" w:color="000000" w:sz="4" w:space="0"/>
              <w:left w:val="single" w:color="auto" w:sz="4" w:space="0"/>
              <w:bottom w:val="single" w:color="000000" w:sz="4" w:space="0"/>
              <w:right w:val="single" w:color="000000" w:sz="4" w:space="0"/>
            </w:tcBorders>
            <w:vAlign w:val="center"/>
          </w:tcPr>
          <w:p w14:paraId="6004284B">
            <w:pPr>
              <w:keepNext w:val="0"/>
              <w:keepLines w:val="0"/>
              <w:numPr>
                <w:ilvl w:val="0"/>
                <w:numId w:val="0"/>
              </w:numPr>
              <w:suppressLineNumbers w:val="0"/>
              <w:spacing w:before="0" w:beforeAutospacing="0" w:after="0" w:afterAutospacing="0" w:line="460" w:lineRule="exact"/>
              <w:ind w:left="0" w:right="0"/>
              <w:rPr>
                <w:rFonts w:hint="eastAsia" w:ascii="宋体" w:hAnsi="宋体" w:eastAsia="宋体" w:cs="Times New Roman"/>
                <w:color w:val="auto"/>
                <w:kern w:val="0"/>
                <w:sz w:val="24"/>
                <w:szCs w:val="24"/>
                <w:lang w:val="en-US" w:eastAsia="zh-CN"/>
              </w:rPr>
            </w:pPr>
            <w:r>
              <w:rPr>
                <w:rFonts w:hint="eastAsia" w:ascii="宋体" w:hAnsi="宋体" w:eastAsia="宋体" w:cs="Times New Roman"/>
                <w:color w:val="auto"/>
                <w:kern w:val="0"/>
                <w:sz w:val="24"/>
                <w:szCs w:val="24"/>
                <w:lang w:val="en-US" w:eastAsia="zh-CN"/>
              </w:rPr>
              <w:t>本项目不设置投标保证金</w:t>
            </w:r>
          </w:p>
        </w:tc>
      </w:tr>
      <w:tr w14:paraId="056848C5">
        <w:tblPrEx>
          <w:tblCellMar>
            <w:top w:w="0" w:type="dxa"/>
            <w:left w:w="108" w:type="dxa"/>
            <w:bottom w:w="0" w:type="dxa"/>
            <w:right w:w="108" w:type="dxa"/>
          </w:tblCellMar>
        </w:tblPrEx>
        <w:trPr>
          <w:trHeight w:val="490"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EAB774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kern w:val="0"/>
                <w:sz w:val="24"/>
                <w:szCs w:val="24"/>
                <w:lang w:val="en-US" w:eastAsia="zh-CN"/>
              </w:rPr>
            </w:pPr>
          </w:p>
        </w:tc>
        <w:tc>
          <w:tcPr>
            <w:tcW w:w="1701" w:type="dxa"/>
            <w:tcBorders>
              <w:top w:val="single" w:color="000000" w:sz="4" w:space="0"/>
              <w:left w:val="nil"/>
              <w:bottom w:val="single" w:color="000000" w:sz="4" w:space="0"/>
              <w:right w:val="single" w:color="auto" w:sz="4" w:space="0"/>
            </w:tcBorders>
            <w:vAlign w:val="center"/>
          </w:tcPr>
          <w:p w14:paraId="47F5945A">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eastAsia" w:ascii="宋体" w:hAnsi="宋体"/>
                <w:color w:val="auto"/>
                <w:kern w:val="0"/>
                <w:sz w:val="24"/>
                <w:szCs w:val="24"/>
              </w:rPr>
              <w:t>投标有效期</w:t>
            </w:r>
          </w:p>
        </w:tc>
        <w:tc>
          <w:tcPr>
            <w:tcW w:w="7180" w:type="dxa"/>
            <w:tcBorders>
              <w:top w:val="single" w:color="000000" w:sz="4" w:space="0"/>
              <w:left w:val="single" w:color="auto" w:sz="4" w:space="0"/>
              <w:bottom w:val="single" w:color="000000" w:sz="4" w:space="0"/>
              <w:right w:val="single" w:color="000000" w:sz="4" w:space="0"/>
            </w:tcBorders>
            <w:vAlign w:val="center"/>
          </w:tcPr>
          <w:p w14:paraId="5C984783">
            <w:pPr>
              <w:keepNext w:val="0"/>
              <w:keepLines w:val="0"/>
              <w:widowControl/>
              <w:suppressLineNumbers w:val="0"/>
              <w:spacing w:before="0" w:beforeAutospacing="0" w:after="0" w:afterAutospacing="0" w:line="440" w:lineRule="exact"/>
              <w:ind w:left="0" w:right="0"/>
              <w:rPr>
                <w:rFonts w:hint="default" w:ascii="宋体" w:hAnsi="宋体"/>
                <w:color w:val="auto"/>
                <w:kern w:val="0"/>
                <w:sz w:val="24"/>
                <w:szCs w:val="24"/>
              </w:rPr>
            </w:pPr>
            <w:r>
              <w:rPr>
                <w:rFonts w:hint="eastAsia" w:ascii="宋体" w:hAnsi="宋体"/>
                <w:color w:val="auto"/>
                <w:kern w:val="0"/>
                <w:sz w:val="24"/>
                <w:szCs w:val="24"/>
              </w:rPr>
              <w:t>投标文件递交截止时间起算，投标有效期为90日历天</w:t>
            </w:r>
          </w:p>
        </w:tc>
      </w:tr>
      <w:tr w14:paraId="45D1E280">
        <w:tblPrEx>
          <w:tblCellMar>
            <w:top w:w="0" w:type="dxa"/>
            <w:left w:w="108" w:type="dxa"/>
            <w:bottom w:w="0" w:type="dxa"/>
            <w:right w:w="108" w:type="dxa"/>
          </w:tblCellMar>
        </w:tblPrEx>
        <w:trPr>
          <w:trHeight w:val="90" w:hRule="atLeast"/>
          <w:jc w:val="center"/>
        </w:trPr>
        <w:tc>
          <w:tcPr>
            <w:tcW w:w="704" w:type="dxa"/>
            <w:tcBorders>
              <w:top w:val="single" w:color="000000" w:sz="4" w:space="0"/>
              <w:left w:val="single" w:color="000000" w:sz="4" w:space="0"/>
              <w:right w:val="single" w:color="000000" w:sz="4" w:space="0"/>
            </w:tcBorders>
            <w:vAlign w:val="center"/>
          </w:tcPr>
          <w:p w14:paraId="06B907CD">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kern w:val="0"/>
                <w:sz w:val="24"/>
                <w:szCs w:val="24"/>
                <w:lang w:val="en-US" w:eastAsia="zh-CN"/>
              </w:rPr>
            </w:pPr>
          </w:p>
        </w:tc>
        <w:tc>
          <w:tcPr>
            <w:tcW w:w="1701" w:type="dxa"/>
            <w:tcBorders>
              <w:top w:val="single" w:color="000000" w:sz="4" w:space="0"/>
              <w:left w:val="nil"/>
              <w:right w:val="single" w:color="auto" w:sz="4" w:space="0"/>
            </w:tcBorders>
            <w:vAlign w:val="center"/>
          </w:tcPr>
          <w:p w14:paraId="1D6F2995">
            <w:pPr>
              <w:keepNext w:val="0"/>
              <w:keepLines w:val="0"/>
              <w:suppressLineNumbers w:val="0"/>
              <w:tabs>
                <w:tab w:val="center" w:pos="4153"/>
                <w:tab w:val="right" w:pos="8306"/>
              </w:tabs>
              <w:snapToGrid w:val="0"/>
              <w:spacing w:before="0" w:beforeAutospacing="0" w:after="0" w:afterAutospacing="0" w:line="440" w:lineRule="exact"/>
              <w:ind w:left="0" w:right="0"/>
              <w:jc w:val="center"/>
              <w:rPr>
                <w:rFonts w:hint="default" w:ascii="宋体" w:hAnsi="宋体"/>
                <w:color w:val="auto"/>
                <w:sz w:val="24"/>
                <w:szCs w:val="24"/>
              </w:rPr>
            </w:pPr>
            <w:r>
              <w:rPr>
                <w:rFonts w:hint="eastAsia" w:ascii="宋体" w:hAnsi="宋体"/>
                <w:color w:val="auto"/>
                <w:sz w:val="24"/>
                <w:szCs w:val="24"/>
              </w:rPr>
              <w:t>资格证明文件</w:t>
            </w:r>
          </w:p>
        </w:tc>
        <w:tc>
          <w:tcPr>
            <w:tcW w:w="7180" w:type="dxa"/>
            <w:tcBorders>
              <w:top w:val="single" w:color="000000" w:sz="4" w:space="0"/>
              <w:left w:val="single" w:color="auto" w:sz="4" w:space="0"/>
              <w:right w:val="single" w:color="000000" w:sz="4" w:space="0"/>
            </w:tcBorders>
            <w:vAlign w:val="center"/>
          </w:tcPr>
          <w:p w14:paraId="4E4482EC">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67F6F58D">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）法定代表人授权书及被授权人身份证</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lang w:eastAsia="zh-CN"/>
              </w:rPr>
              <w:t>（法定代表人直接投标只需提交其身份证明资料）。</w:t>
            </w:r>
          </w:p>
          <w:p w14:paraId="2EB48FF6">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0DCF49DB">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lang w:eastAsia="zh-CN"/>
              </w:rPr>
              <w:t>）书面声明：投标人必须提供参加政府采购活动前3年内在经营活动中没有重大违法记录的书面声明。 </w:t>
            </w:r>
          </w:p>
          <w:p w14:paraId="464C6F17">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lang w:eastAsia="zh-CN"/>
              </w:rPr>
              <w:t>）财务状况报告：提供2024年度或2025年度经审计的财务审计报告或投标截止时间前六个月内基本开户银行出具的资信证明（成立时间至提交投标文件截止时间不足一年的可提供成立后任意时段的资产负债表）。</w:t>
            </w:r>
          </w:p>
          <w:p w14:paraId="3AEF01C7">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lang w:eastAsia="zh-CN"/>
              </w:rPr>
              <w:t>）税收缴纳证明：提供投标截止时间前半年内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708DEF8B">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lang w:eastAsia="zh-CN"/>
              </w:rPr>
              <w:t>）社会保障资金缴纳证明：提供投标截止时间前半年内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2D18CF4E">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420" w:leftChars="200" w:right="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lang w:eastAsia="zh-CN"/>
              </w:rPr>
              <w:t>）提供具有履行合同所必需的设备和专业技术能力的承诺书（格式自拟）。</w:t>
            </w:r>
          </w:p>
          <w:p w14:paraId="35DE1458">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lang w:eastAsia="zh-CN"/>
              </w:rPr>
              <w:t>）本项目不接受联合体投标。</w:t>
            </w:r>
          </w:p>
          <w:p w14:paraId="6CAA62A1">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80" w:lineRule="exact"/>
              <w:ind w:left="0" w:right="0" w:firstLine="480" w:firstLineChars="200"/>
              <w:textAlignment w:val="auto"/>
              <w:rPr>
                <w:rFonts w:hint="default"/>
                <w:color w:val="auto"/>
                <w:lang w:val="en-US"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10</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lang w:val="en-US" w:eastAsia="zh-CN" w:bidi="ar-SA"/>
              </w:rPr>
              <w:t>本项目专门面向中小企业采购，投标人须提供《中小企业声明函》。</w:t>
            </w:r>
          </w:p>
        </w:tc>
      </w:tr>
      <w:tr w14:paraId="2313BFD8">
        <w:tblPrEx>
          <w:tblCellMar>
            <w:top w:w="0" w:type="dxa"/>
            <w:left w:w="108" w:type="dxa"/>
            <w:bottom w:w="0" w:type="dxa"/>
            <w:right w:w="108" w:type="dxa"/>
          </w:tblCellMar>
        </w:tblPrEx>
        <w:trPr>
          <w:trHeight w:val="50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C4F3F5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kern w:val="0"/>
                <w:sz w:val="24"/>
                <w:szCs w:val="24"/>
                <w:lang w:val="en-US" w:eastAsia="zh-CN"/>
              </w:rPr>
            </w:pPr>
          </w:p>
        </w:tc>
        <w:tc>
          <w:tcPr>
            <w:tcW w:w="1701" w:type="dxa"/>
            <w:tcBorders>
              <w:top w:val="single" w:color="000000" w:sz="4" w:space="0"/>
              <w:left w:val="nil"/>
              <w:bottom w:val="single" w:color="000000" w:sz="4" w:space="0"/>
              <w:right w:val="single" w:color="auto" w:sz="4" w:space="0"/>
            </w:tcBorders>
            <w:vAlign w:val="center"/>
          </w:tcPr>
          <w:p w14:paraId="5807DD6A">
            <w:pPr>
              <w:keepNext w:val="0"/>
              <w:keepLines w:val="0"/>
              <w:widowControl/>
              <w:suppressLineNumbers w:val="0"/>
              <w:spacing w:before="0" w:beforeAutospacing="0" w:after="0" w:afterAutospacing="0" w:line="440" w:lineRule="exact"/>
              <w:ind w:left="0" w:right="0"/>
              <w:jc w:val="center"/>
              <w:rPr>
                <w:rFonts w:hint="default" w:ascii="宋体" w:hAnsi="宋体"/>
                <w:color w:val="auto"/>
                <w:kern w:val="0"/>
                <w:sz w:val="24"/>
                <w:szCs w:val="24"/>
              </w:rPr>
            </w:pPr>
            <w:r>
              <w:rPr>
                <w:rFonts w:hint="default" w:ascii="宋体" w:hAnsi="宋体"/>
                <w:color w:val="auto"/>
                <w:kern w:val="0"/>
                <w:sz w:val="24"/>
                <w:szCs w:val="24"/>
              </w:rPr>
              <w:t>采购方式</w:t>
            </w:r>
          </w:p>
        </w:tc>
        <w:tc>
          <w:tcPr>
            <w:tcW w:w="7180" w:type="dxa"/>
            <w:tcBorders>
              <w:top w:val="single" w:color="000000" w:sz="4" w:space="0"/>
              <w:left w:val="single" w:color="auto" w:sz="4" w:space="0"/>
              <w:bottom w:val="single" w:color="000000" w:sz="4" w:space="0"/>
              <w:right w:val="single" w:color="000000" w:sz="4" w:space="0"/>
            </w:tcBorders>
            <w:vAlign w:val="center"/>
          </w:tcPr>
          <w:p w14:paraId="75B7E7EC">
            <w:pPr>
              <w:keepNext w:val="0"/>
              <w:keepLines w:val="0"/>
              <w:widowControl/>
              <w:suppressLineNumbers w:val="0"/>
              <w:spacing w:before="0" w:beforeAutospacing="0" w:after="0" w:afterAutospacing="0" w:line="440" w:lineRule="exact"/>
              <w:ind w:left="0" w:right="0"/>
              <w:rPr>
                <w:rFonts w:hint="default" w:ascii="宋体" w:hAnsi="宋体"/>
                <w:color w:val="auto"/>
                <w:kern w:val="0"/>
                <w:sz w:val="24"/>
                <w:szCs w:val="24"/>
              </w:rPr>
            </w:pPr>
            <w:r>
              <w:rPr>
                <w:rFonts w:hint="eastAsia" w:ascii="宋体" w:hAnsi="宋体"/>
                <w:color w:val="auto"/>
                <w:sz w:val="24"/>
                <w:szCs w:val="24"/>
              </w:rPr>
              <w:t>公开招标</w:t>
            </w:r>
          </w:p>
        </w:tc>
      </w:tr>
      <w:tr w14:paraId="3E586393">
        <w:tblPrEx>
          <w:tblCellMar>
            <w:top w:w="0" w:type="dxa"/>
            <w:left w:w="108" w:type="dxa"/>
            <w:bottom w:w="0" w:type="dxa"/>
            <w:right w:w="108" w:type="dxa"/>
          </w:tblCellMar>
        </w:tblPrEx>
        <w:trPr>
          <w:trHeight w:val="44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29CAF3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auto"/>
                <w:sz w:val="24"/>
                <w:szCs w:val="24"/>
                <w:lang w:eastAsia="zh-CN"/>
              </w:rPr>
            </w:pPr>
          </w:p>
        </w:tc>
        <w:tc>
          <w:tcPr>
            <w:tcW w:w="1701" w:type="dxa"/>
            <w:tcBorders>
              <w:top w:val="single" w:color="000000" w:sz="4" w:space="0"/>
              <w:left w:val="nil"/>
              <w:bottom w:val="single" w:color="000000" w:sz="4" w:space="0"/>
              <w:right w:val="single" w:color="auto" w:sz="4" w:space="0"/>
            </w:tcBorders>
            <w:vAlign w:val="center"/>
          </w:tcPr>
          <w:p w14:paraId="69D69356">
            <w:pPr>
              <w:keepNext w:val="0"/>
              <w:keepLines w:val="0"/>
              <w:widowControl/>
              <w:suppressLineNumbers w:val="0"/>
              <w:spacing w:before="0" w:beforeAutospacing="0" w:after="0" w:afterAutospacing="0" w:line="440" w:lineRule="exact"/>
              <w:ind w:left="0" w:right="0"/>
              <w:jc w:val="center"/>
              <w:rPr>
                <w:rFonts w:hint="default" w:ascii="宋体" w:hAnsi="宋体"/>
                <w:color w:val="auto"/>
                <w:sz w:val="24"/>
                <w:szCs w:val="24"/>
              </w:rPr>
            </w:pPr>
            <w:r>
              <w:rPr>
                <w:rFonts w:hint="eastAsia" w:ascii="宋体" w:hAnsi="宋体"/>
                <w:color w:val="auto"/>
                <w:sz w:val="24"/>
                <w:szCs w:val="24"/>
              </w:rPr>
              <w:t>评标办法</w:t>
            </w:r>
          </w:p>
        </w:tc>
        <w:tc>
          <w:tcPr>
            <w:tcW w:w="7180" w:type="dxa"/>
            <w:tcBorders>
              <w:top w:val="single" w:color="000000" w:sz="4" w:space="0"/>
              <w:left w:val="single" w:color="auto" w:sz="4" w:space="0"/>
              <w:bottom w:val="single" w:color="000000" w:sz="4" w:space="0"/>
              <w:right w:val="single" w:color="000000" w:sz="4" w:space="0"/>
            </w:tcBorders>
            <w:vAlign w:val="center"/>
          </w:tcPr>
          <w:p w14:paraId="1364CEAC">
            <w:pPr>
              <w:keepNext w:val="0"/>
              <w:keepLines w:val="0"/>
              <w:suppressLineNumbers w:val="0"/>
              <w:spacing w:before="0" w:beforeAutospacing="0" w:after="0" w:afterAutospacing="0" w:line="440" w:lineRule="exact"/>
              <w:ind w:left="0" w:right="0"/>
              <w:rPr>
                <w:rFonts w:hint="default" w:ascii="宋体" w:hAnsi="宋体"/>
                <w:color w:val="auto"/>
                <w:sz w:val="24"/>
                <w:szCs w:val="24"/>
              </w:rPr>
            </w:pPr>
            <w:r>
              <w:rPr>
                <w:rFonts w:hint="eastAsia" w:ascii="宋体" w:hAnsi="宋体"/>
                <w:color w:val="auto"/>
                <w:sz w:val="24"/>
                <w:szCs w:val="24"/>
              </w:rPr>
              <w:t>综合评分法</w:t>
            </w:r>
          </w:p>
        </w:tc>
      </w:tr>
      <w:tr w14:paraId="075ED169">
        <w:tblPrEx>
          <w:tblCellMar>
            <w:top w:w="0" w:type="dxa"/>
            <w:left w:w="108" w:type="dxa"/>
            <w:bottom w:w="0" w:type="dxa"/>
            <w:right w:w="108" w:type="dxa"/>
          </w:tblCellMar>
        </w:tblPrEx>
        <w:trPr>
          <w:trHeight w:val="48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68046C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auto"/>
                <w:kern w:val="0"/>
                <w:sz w:val="24"/>
                <w:szCs w:val="24"/>
                <w:lang w:eastAsia="zh-CN"/>
              </w:rPr>
            </w:pPr>
          </w:p>
        </w:tc>
        <w:tc>
          <w:tcPr>
            <w:tcW w:w="1701" w:type="dxa"/>
            <w:tcBorders>
              <w:top w:val="single" w:color="000000" w:sz="4" w:space="0"/>
              <w:left w:val="nil"/>
              <w:bottom w:val="single" w:color="000000" w:sz="4" w:space="0"/>
              <w:right w:val="single" w:color="auto" w:sz="4" w:space="0"/>
            </w:tcBorders>
            <w:vAlign w:val="center"/>
          </w:tcPr>
          <w:p w14:paraId="5CF498E5">
            <w:pPr>
              <w:keepNext w:val="0"/>
              <w:keepLines w:val="0"/>
              <w:widowControl/>
              <w:suppressLineNumbers w:val="0"/>
              <w:spacing w:before="0" w:beforeAutospacing="0" w:after="0" w:afterAutospacing="0" w:line="440" w:lineRule="exact"/>
              <w:ind w:left="0" w:right="0"/>
              <w:jc w:val="center"/>
              <w:rPr>
                <w:rFonts w:hint="default" w:ascii="宋体" w:hAnsi="宋体"/>
                <w:color w:val="auto"/>
                <w:sz w:val="24"/>
                <w:szCs w:val="24"/>
              </w:rPr>
            </w:pPr>
            <w:r>
              <w:rPr>
                <w:rFonts w:hint="eastAsia" w:ascii="宋体" w:hAnsi="宋体"/>
                <w:color w:val="auto"/>
                <w:sz w:val="24"/>
                <w:szCs w:val="24"/>
              </w:rPr>
              <w:t>特殊情况处理</w:t>
            </w:r>
          </w:p>
        </w:tc>
        <w:tc>
          <w:tcPr>
            <w:tcW w:w="7180" w:type="dxa"/>
            <w:tcBorders>
              <w:top w:val="single" w:color="000000" w:sz="4" w:space="0"/>
              <w:left w:val="single" w:color="auto" w:sz="4" w:space="0"/>
              <w:bottom w:val="single" w:color="000000" w:sz="4" w:space="0"/>
              <w:right w:val="single" w:color="000000" w:sz="4" w:space="0"/>
            </w:tcBorders>
            <w:vAlign w:val="center"/>
          </w:tcPr>
          <w:p w14:paraId="157B1E3E">
            <w:pPr>
              <w:keepNext w:val="0"/>
              <w:keepLines w:val="0"/>
              <w:suppressLineNumbers w:val="0"/>
              <w:spacing w:before="0" w:beforeAutospacing="0" w:after="0" w:afterAutospacing="0" w:line="440" w:lineRule="exact"/>
              <w:ind w:left="0" w:right="0"/>
              <w:rPr>
                <w:rFonts w:hint="default" w:ascii="宋体" w:hAnsi="宋体"/>
                <w:color w:val="auto"/>
                <w:sz w:val="24"/>
                <w:szCs w:val="24"/>
              </w:rPr>
            </w:pPr>
            <w:r>
              <w:rPr>
                <w:rFonts w:hint="eastAsia" w:ascii="宋体" w:hAnsi="宋体"/>
                <w:color w:val="auto"/>
                <w:sz w:val="24"/>
                <w:szCs w:val="24"/>
              </w:rPr>
              <w:t>投标截止时间结束后参加投标的供应商不足三家的，除采购任务取消情形外，招标采购单位应当报告财政管理部门，由财政管理部门按照以下原则处理：</w:t>
            </w:r>
          </w:p>
          <w:p w14:paraId="1AEEB44E">
            <w:pPr>
              <w:keepNext w:val="0"/>
              <w:keepLines w:val="0"/>
              <w:suppressLineNumbers w:val="0"/>
              <w:spacing w:before="0" w:beforeAutospacing="0" w:after="0" w:afterAutospacing="0" w:line="440" w:lineRule="exact"/>
              <w:ind w:left="0" w:right="0" w:firstLine="480" w:firstLineChars="200"/>
              <w:rPr>
                <w:rFonts w:hint="eastAsia" w:ascii="宋体" w:hAnsi="宋体" w:eastAsia="宋体"/>
                <w:color w:val="auto"/>
                <w:sz w:val="24"/>
                <w:szCs w:val="24"/>
                <w:lang w:eastAsia="zh-CN"/>
              </w:rPr>
            </w:pPr>
            <w:r>
              <w:rPr>
                <w:rFonts w:hint="eastAsia" w:ascii="宋体" w:hAnsi="宋体"/>
                <w:color w:val="auto"/>
                <w:sz w:val="24"/>
                <w:szCs w:val="24"/>
              </w:rPr>
              <w:t>（1）招标文件没有不合理条款、招标公告时间及程序符合规定的，同意采取竞争性谈判、询价或者单一来源方式采购</w:t>
            </w:r>
            <w:r>
              <w:rPr>
                <w:rFonts w:hint="eastAsia" w:ascii="宋体" w:hAnsi="宋体"/>
                <w:color w:val="auto"/>
                <w:sz w:val="24"/>
                <w:szCs w:val="24"/>
                <w:lang w:eastAsia="zh-CN"/>
              </w:rPr>
              <w:t>。</w:t>
            </w:r>
          </w:p>
          <w:p w14:paraId="2A2BF58F">
            <w:pPr>
              <w:keepNext w:val="0"/>
              <w:keepLines w:val="0"/>
              <w:suppressLineNumbers w:val="0"/>
              <w:spacing w:before="0" w:beforeAutospacing="0" w:after="0" w:afterAutospacing="0" w:line="440" w:lineRule="exact"/>
              <w:ind w:left="0" w:right="0" w:firstLine="480" w:firstLineChars="200"/>
              <w:rPr>
                <w:rFonts w:hint="default" w:ascii="宋体" w:hAnsi="宋体"/>
                <w:color w:val="auto"/>
                <w:sz w:val="24"/>
                <w:szCs w:val="24"/>
              </w:rPr>
            </w:pPr>
            <w:r>
              <w:rPr>
                <w:rFonts w:hint="eastAsia" w:ascii="宋体" w:hAnsi="宋体"/>
                <w:color w:val="auto"/>
                <w:sz w:val="24"/>
                <w:szCs w:val="24"/>
              </w:rPr>
              <w:t>（2）招标文件存在不合理条款的，招标公告时间及程序不符合规定的，应予废标，并责成招标采购单位依法重新招标。</w:t>
            </w:r>
          </w:p>
          <w:p w14:paraId="2FB08B8D">
            <w:pPr>
              <w:keepNext w:val="0"/>
              <w:keepLines w:val="0"/>
              <w:suppressLineNumbers w:val="0"/>
              <w:spacing w:before="0" w:beforeAutospacing="0" w:after="0" w:afterAutospacing="0" w:line="440" w:lineRule="exact"/>
              <w:ind w:left="0" w:right="0" w:firstLine="480" w:firstLineChars="200"/>
              <w:rPr>
                <w:rFonts w:hint="default" w:ascii="宋体" w:hAnsi="宋体"/>
                <w:color w:val="auto"/>
                <w:sz w:val="24"/>
                <w:szCs w:val="24"/>
              </w:rPr>
            </w:pPr>
            <w:r>
              <w:rPr>
                <w:rFonts w:hint="eastAsia" w:ascii="宋体" w:hAnsi="宋体"/>
                <w:color w:val="auto"/>
                <w:sz w:val="24"/>
                <w:szCs w:val="24"/>
              </w:rPr>
              <w:t>（3）在评标期间，出现符合专业条件的供应商或者对招标文件作出实质响应的供应商不足三家情形的，可以比照前款规定执行。</w:t>
            </w:r>
          </w:p>
        </w:tc>
      </w:tr>
      <w:tr w14:paraId="4F1C1EBE">
        <w:tblPrEx>
          <w:tblCellMar>
            <w:top w:w="0" w:type="dxa"/>
            <w:left w:w="108" w:type="dxa"/>
            <w:bottom w:w="0" w:type="dxa"/>
            <w:right w:w="108" w:type="dxa"/>
          </w:tblCellMar>
        </w:tblPrEx>
        <w:trPr>
          <w:trHeight w:val="612"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5D2076AE">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eastAsia" w:ascii="宋体" w:hAnsi="宋体" w:eastAsia="宋体"/>
                <w:color w:val="auto"/>
                <w:sz w:val="24"/>
                <w:szCs w:val="24"/>
                <w:lang w:eastAsia="zh-CN"/>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34B1D200">
            <w:pPr>
              <w:keepNext w:val="0"/>
              <w:keepLines w:val="0"/>
              <w:suppressLineNumbers w:val="0"/>
              <w:spacing w:before="0" w:beforeAutospacing="0" w:after="0" w:afterAutospacing="0" w:line="440" w:lineRule="exact"/>
              <w:ind w:left="0" w:right="0"/>
              <w:jc w:val="center"/>
              <w:rPr>
                <w:rFonts w:hint="default" w:asciiTheme="minorEastAsia" w:hAnsiTheme="minorEastAsia"/>
                <w:color w:val="auto"/>
                <w:sz w:val="24"/>
                <w:szCs w:val="24"/>
              </w:rPr>
            </w:pPr>
            <w:r>
              <w:rPr>
                <w:rFonts w:hint="eastAsia" w:asciiTheme="minorEastAsia" w:hAnsiTheme="minorEastAsia"/>
                <w:color w:val="auto"/>
                <w:sz w:val="24"/>
                <w:szCs w:val="24"/>
              </w:rPr>
              <w:t>开标</w:t>
            </w:r>
            <w:r>
              <w:rPr>
                <w:rFonts w:hint="default" w:asciiTheme="minorEastAsia" w:hAnsiTheme="minorEastAsia"/>
                <w:color w:val="auto"/>
                <w:sz w:val="24"/>
                <w:szCs w:val="24"/>
              </w:rPr>
              <w:t>时间</w:t>
            </w:r>
            <w:r>
              <w:rPr>
                <w:rFonts w:hint="eastAsia" w:asciiTheme="minorEastAsia" w:hAnsiTheme="minorEastAsia"/>
                <w:color w:val="auto"/>
                <w:sz w:val="24"/>
                <w:szCs w:val="24"/>
              </w:rPr>
              <w:t>、</w:t>
            </w:r>
          </w:p>
          <w:p w14:paraId="5AB9216E">
            <w:pPr>
              <w:keepNext w:val="0"/>
              <w:keepLines w:val="0"/>
              <w:suppressLineNumbers w:val="0"/>
              <w:spacing w:before="0" w:beforeAutospacing="0" w:after="0" w:afterAutospacing="0" w:line="440" w:lineRule="exact"/>
              <w:ind w:left="0" w:right="0"/>
              <w:jc w:val="center"/>
              <w:rPr>
                <w:rFonts w:hint="default" w:asciiTheme="minorEastAsia" w:hAnsiTheme="minorEastAsia"/>
                <w:color w:val="auto"/>
                <w:sz w:val="24"/>
                <w:szCs w:val="24"/>
              </w:rPr>
            </w:pPr>
            <w:r>
              <w:rPr>
                <w:rFonts w:hint="default" w:asciiTheme="minorEastAsia" w:hAnsiTheme="minorEastAsia"/>
                <w:color w:val="auto"/>
                <w:sz w:val="24"/>
                <w:szCs w:val="24"/>
              </w:rPr>
              <w:t>地点</w:t>
            </w:r>
          </w:p>
        </w:tc>
        <w:tc>
          <w:tcPr>
            <w:tcW w:w="7180" w:type="dxa"/>
            <w:tcBorders>
              <w:top w:val="single" w:color="000000" w:sz="4" w:space="0"/>
              <w:left w:val="single" w:color="auto" w:sz="4" w:space="0"/>
              <w:bottom w:val="single" w:color="000000" w:sz="4" w:space="0"/>
              <w:right w:val="single" w:color="000000" w:sz="4" w:space="0"/>
            </w:tcBorders>
            <w:vAlign w:val="center"/>
          </w:tcPr>
          <w:p w14:paraId="76DED15F">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s="宋体"/>
                <w:color w:val="auto"/>
                <w:kern w:val="0"/>
                <w:sz w:val="24"/>
                <w:szCs w:val="28"/>
              </w:rPr>
            </w:pPr>
            <w:r>
              <w:rPr>
                <w:rFonts w:hint="eastAsia" w:ascii="宋体" w:hAnsi="宋体"/>
                <w:color w:val="auto"/>
                <w:sz w:val="24"/>
                <w:szCs w:val="24"/>
              </w:rPr>
              <w:t>开标时间：</w:t>
            </w:r>
            <w:r>
              <w:rPr>
                <w:rFonts w:hint="eastAsia" w:ascii="宋体" w:hAnsi="宋体" w:cs="宋体"/>
                <w:color w:val="auto"/>
                <w:kern w:val="0"/>
                <w:sz w:val="24"/>
                <w:szCs w:val="24"/>
                <w:lang w:eastAsia="zh-CN"/>
              </w:rPr>
              <w:t>2026年5月15日09时00分</w:t>
            </w:r>
          </w:p>
          <w:p w14:paraId="2AC8DC08">
            <w:pPr>
              <w:pStyle w:val="37"/>
              <w:keepNext w:val="0"/>
              <w:keepLines w:val="0"/>
              <w:suppressLineNumbers w:val="0"/>
              <w:shd w:val="clear" w:color="auto" w:fill="FFFFFF"/>
              <w:spacing w:before="0" w:beforeAutospacing="0" w:after="0" w:afterAutospacing="0" w:line="440" w:lineRule="exact"/>
              <w:ind w:left="0" w:right="0"/>
              <w:rPr>
                <w:rFonts w:hint="default"/>
                <w:color w:val="auto"/>
                <w:szCs w:val="24"/>
              </w:rPr>
            </w:pPr>
            <w:r>
              <w:rPr>
                <w:rFonts w:hint="eastAsia"/>
                <w:color w:val="auto"/>
                <w:szCs w:val="24"/>
              </w:rPr>
              <w:t>开标地点：</w:t>
            </w:r>
            <w:r>
              <w:rPr>
                <w:rFonts w:hint="eastAsia" w:cs="宋体"/>
                <w:color w:val="auto"/>
                <w:szCs w:val="24"/>
                <w:lang w:val="en-US" w:eastAsia="zh-CN"/>
              </w:rPr>
              <w:t>安康不见面开标大厅系统</w:t>
            </w:r>
            <w:r>
              <w:rPr>
                <w:rFonts w:hint="eastAsia" w:cs="宋体"/>
                <w:color w:val="auto"/>
                <w:szCs w:val="24"/>
              </w:rPr>
              <w:t xml:space="preserve">（采用电子化投标及远程不见面开标方式）  </w:t>
            </w:r>
          </w:p>
          <w:p w14:paraId="30D0C588">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olor w:val="auto"/>
                <w:sz w:val="24"/>
                <w:szCs w:val="24"/>
              </w:rPr>
            </w:pPr>
            <w:r>
              <w:rPr>
                <w:rFonts w:hint="eastAsia" w:ascii="宋体" w:hAnsi="宋体"/>
                <w:color w:val="auto"/>
                <w:sz w:val="24"/>
                <w:szCs w:val="24"/>
              </w:rPr>
              <w:t>（如有变动，另行通知）。</w:t>
            </w:r>
          </w:p>
        </w:tc>
      </w:tr>
      <w:tr w14:paraId="7794536F">
        <w:tblPrEx>
          <w:tblCellMar>
            <w:top w:w="0" w:type="dxa"/>
            <w:left w:w="108" w:type="dxa"/>
            <w:bottom w:w="0" w:type="dxa"/>
            <w:right w:w="108" w:type="dxa"/>
          </w:tblCellMar>
        </w:tblPrEx>
        <w:trPr>
          <w:trHeight w:val="737"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71F86DA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sz w:val="24"/>
                <w:szCs w:val="24"/>
                <w:lang w:val="en-US" w:eastAsia="zh-CN"/>
              </w:rPr>
            </w:pPr>
          </w:p>
        </w:tc>
        <w:tc>
          <w:tcPr>
            <w:tcW w:w="1701" w:type="dxa"/>
            <w:tcBorders>
              <w:top w:val="single" w:color="000000" w:sz="4" w:space="0"/>
              <w:left w:val="single" w:color="000000" w:sz="4" w:space="0"/>
              <w:bottom w:val="single" w:color="000000" w:sz="4" w:space="0"/>
              <w:right w:val="single" w:color="000000" w:sz="4" w:space="0"/>
            </w:tcBorders>
          </w:tcPr>
          <w:p w14:paraId="16E2BFEA">
            <w:pPr>
              <w:keepNext w:val="0"/>
              <w:keepLines w:val="0"/>
              <w:suppressLineNumbers w:val="0"/>
              <w:spacing w:before="0" w:beforeAutospacing="0" w:after="0" w:afterAutospacing="0" w:line="440" w:lineRule="exact"/>
              <w:ind w:left="0" w:right="0"/>
              <w:jc w:val="center"/>
              <w:rPr>
                <w:rFonts w:hint="default" w:asciiTheme="minorEastAsia" w:hAnsiTheme="minorEastAsia"/>
                <w:color w:val="auto"/>
                <w:sz w:val="24"/>
                <w:szCs w:val="24"/>
              </w:rPr>
            </w:pPr>
            <w:r>
              <w:rPr>
                <w:rFonts w:hint="eastAsia" w:asciiTheme="minorEastAsia" w:hAnsiTheme="minorEastAsia"/>
                <w:color w:val="auto"/>
                <w:sz w:val="24"/>
                <w:szCs w:val="24"/>
              </w:rPr>
              <w:t>招标</w:t>
            </w:r>
            <w:r>
              <w:rPr>
                <w:rFonts w:hint="default" w:asciiTheme="minorEastAsia" w:hAnsiTheme="minorEastAsia"/>
                <w:color w:val="auto"/>
                <w:sz w:val="24"/>
                <w:szCs w:val="24"/>
              </w:rPr>
              <w:t>文件</w:t>
            </w:r>
          </w:p>
          <w:p w14:paraId="1CF12004">
            <w:pPr>
              <w:keepNext w:val="0"/>
              <w:keepLines w:val="0"/>
              <w:suppressLineNumbers w:val="0"/>
              <w:spacing w:before="0" w:beforeAutospacing="0" w:after="0" w:afterAutospacing="0" w:line="440" w:lineRule="exact"/>
              <w:ind w:left="0" w:right="0"/>
              <w:jc w:val="center"/>
              <w:rPr>
                <w:rFonts w:hint="default" w:asciiTheme="minorEastAsia" w:hAnsiTheme="minorEastAsia"/>
                <w:color w:val="auto"/>
                <w:sz w:val="24"/>
                <w:szCs w:val="24"/>
              </w:rPr>
            </w:pPr>
            <w:r>
              <w:rPr>
                <w:rFonts w:hint="default" w:asciiTheme="minorEastAsia" w:hAnsiTheme="minorEastAsia"/>
                <w:color w:val="auto"/>
                <w:sz w:val="24"/>
                <w:szCs w:val="24"/>
              </w:rPr>
              <w:t>递交截止时间</w:t>
            </w:r>
          </w:p>
        </w:tc>
        <w:tc>
          <w:tcPr>
            <w:tcW w:w="7180" w:type="dxa"/>
            <w:tcBorders>
              <w:top w:val="single" w:color="000000" w:sz="4" w:space="0"/>
              <w:left w:val="single" w:color="auto" w:sz="4" w:space="0"/>
              <w:bottom w:val="single" w:color="000000" w:sz="4" w:space="0"/>
              <w:right w:val="single" w:color="000000" w:sz="4" w:space="0"/>
            </w:tcBorders>
            <w:vAlign w:val="center"/>
          </w:tcPr>
          <w:p w14:paraId="04B3D3F8">
            <w:pPr>
              <w:keepNext w:val="0"/>
              <w:keepLines w:val="0"/>
              <w:suppressLineNumbers w:val="0"/>
              <w:overflowPunct w:val="0"/>
              <w:adjustRightInd w:val="0"/>
              <w:snapToGrid w:val="0"/>
              <w:spacing w:before="0" w:beforeAutospacing="0" w:after="0" w:afterAutospacing="0" w:line="440" w:lineRule="exact"/>
              <w:ind w:left="0" w:right="0"/>
              <w:rPr>
                <w:rFonts w:hint="default" w:ascii="宋体" w:hAnsi="宋体"/>
                <w:color w:val="auto"/>
                <w:sz w:val="24"/>
                <w:szCs w:val="24"/>
              </w:rPr>
            </w:pPr>
            <w:r>
              <w:rPr>
                <w:rFonts w:hint="eastAsia" w:ascii="宋体" w:hAnsi="宋体" w:cs="宋体"/>
                <w:color w:val="auto"/>
                <w:kern w:val="0"/>
                <w:sz w:val="24"/>
                <w:szCs w:val="24"/>
                <w:lang w:eastAsia="zh-CN"/>
              </w:rPr>
              <w:t>2026年5月15日09时00分</w:t>
            </w:r>
            <w:r>
              <w:rPr>
                <w:rFonts w:hint="eastAsia" w:ascii="宋体" w:hAnsi="宋体"/>
                <w:color w:val="auto"/>
                <w:sz w:val="24"/>
                <w:szCs w:val="24"/>
              </w:rPr>
              <w:t>止</w:t>
            </w:r>
          </w:p>
        </w:tc>
      </w:tr>
      <w:tr w14:paraId="6E48B697">
        <w:tblPrEx>
          <w:tblCellMar>
            <w:top w:w="0" w:type="dxa"/>
            <w:left w:w="108" w:type="dxa"/>
            <w:bottom w:w="0" w:type="dxa"/>
            <w:right w:w="108" w:type="dxa"/>
          </w:tblCellMar>
        </w:tblPrEx>
        <w:trPr>
          <w:trHeight w:val="614"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27B7903C">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sz w:val="24"/>
                <w:szCs w:val="24"/>
                <w:lang w:val="en-US" w:eastAsia="zh-CN"/>
              </w:rPr>
            </w:pPr>
          </w:p>
        </w:tc>
        <w:tc>
          <w:tcPr>
            <w:tcW w:w="1701" w:type="dxa"/>
            <w:tcBorders>
              <w:top w:val="single" w:color="000000" w:sz="4" w:space="0"/>
              <w:left w:val="nil"/>
              <w:bottom w:val="single" w:color="000000" w:sz="4" w:space="0"/>
              <w:right w:val="single" w:color="auto" w:sz="4" w:space="0"/>
            </w:tcBorders>
            <w:vAlign w:val="center"/>
          </w:tcPr>
          <w:p w14:paraId="79C68EBC">
            <w:pPr>
              <w:keepNext w:val="0"/>
              <w:keepLines w:val="0"/>
              <w:widowControl/>
              <w:suppressLineNumbers w:val="0"/>
              <w:spacing w:before="0" w:beforeAutospacing="0" w:after="0" w:afterAutospacing="0" w:line="440" w:lineRule="exact"/>
              <w:ind w:left="0" w:right="0"/>
              <w:jc w:val="center"/>
              <w:rPr>
                <w:rFonts w:hint="default" w:ascii="宋体" w:hAnsi="宋体"/>
                <w:color w:val="auto"/>
                <w:sz w:val="24"/>
                <w:szCs w:val="24"/>
              </w:rPr>
            </w:pPr>
            <w:r>
              <w:rPr>
                <w:rFonts w:hint="eastAsia" w:ascii="宋体" w:hAnsi="宋体"/>
                <w:color w:val="auto"/>
                <w:sz w:val="24"/>
                <w:szCs w:val="24"/>
              </w:rPr>
              <w:t>评标小组构成</w:t>
            </w:r>
          </w:p>
        </w:tc>
        <w:tc>
          <w:tcPr>
            <w:tcW w:w="7180" w:type="dxa"/>
            <w:tcBorders>
              <w:top w:val="single" w:color="000000" w:sz="4" w:space="0"/>
              <w:left w:val="single" w:color="auto" w:sz="4" w:space="0"/>
              <w:bottom w:val="single" w:color="000000" w:sz="4" w:space="0"/>
              <w:right w:val="single" w:color="000000" w:sz="4" w:space="0"/>
            </w:tcBorders>
            <w:vAlign w:val="center"/>
          </w:tcPr>
          <w:p w14:paraId="0F0AD80A">
            <w:pPr>
              <w:keepNext w:val="0"/>
              <w:keepLines w:val="0"/>
              <w:suppressLineNumbers w:val="0"/>
              <w:spacing w:before="0" w:beforeAutospacing="0" w:after="0" w:afterAutospacing="0" w:line="440" w:lineRule="exact"/>
              <w:ind w:left="0" w:right="0"/>
              <w:rPr>
                <w:rFonts w:hint="default" w:ascii="宋体" w:hAnsi="宋体"/>
                <w:color w:val="auto"/>
                <w:sz w:val="24"/>
                <w:szCs w:val="24"/>
              </w:rPr>
            </w:pPr>
            <w:r>
              <w:rPr>
                <w:rFonts w:hint="eastAsia" w:ascii="宋体" w:hAnsi="宋体"/>
                <w:color w:val="auto"/>
                <w:sz w:val="24"/>
                <w:szCs w:val="24"/>
              </w:rPr>
              <w:t>根据《中华人民共和国政府采购法》《</w:t>
            </w:r>
            <w:r>
              <w:rPr>
                <w:rFonts w:hint="eastAsia" w:ascii="宋体" w:hAnsi="宋体"/>
                <w:color w:val="auto"/>
                <w:sz w:val="24"/>
                <w:szCs w:val="24"/>
                <w:lang w:val="en-US" w:eastAsia="zh-CN"/>
              </w:rPr>
              <w:t>政府</w:t>
            </w:r>
            <w:r>
              <w:rPr>
                <w:rFonts w:hint="eastAsia" w:ascii="宋体" w:hAnsi="宋体"/>
                <w:color w:val="auto"/>
                <w:sz w:val="24"/>
                <w:szCs w:val="24"/>
              </w:rPr>
              <w:t>采购</w:t>
            </w:r>
            <w:r>
              <w:rPr>
                <w:rFonts w:hint="eastAsia" w:ascii="宋体" w:hAnsi="宋体"/>
                <w:color w:val="auto"/>
                <w:sz w:val="24"/>
                <w:szCs w:val="24"/>
                <w:lang w:val="en-US" w:eastAsia="zh-CN"/>
              </w:rPr>
              <w:t>货物和服务招标投标管理办法</w:t>
            </w:r>
            <w:r>
              <w:rPr>
                <w:rFonts w:hint="eastAsia" w:ascii="宋体" w:hAnsi="宋体"/>
                <w:color w:val="auto"/>
                <w:sz w:val="24"/>
                <w:szCs w:val="24"/>
              </w:rPr>
              <w:t>》等有关法律规定组建评标小组。</w:t>
            </w:r>
          </w:p>
        </w:tc>
      </w:tr>
      <w:tr w14:paraId="516158B4">
        <w:tblPrEx>
          <w:tblCellMar>
            <w:top w:w="0" w:type="dxa"/>
            <w:left w:w="108" w:type="dxa"/>
            <w:bottom w:w="0" w:type="dxa"/>
            <w:right w:w="108" w:type="dxa"/>
          </w:tblCellMar>
        </w:tblPrEx>
        <w:trPr>
          <w:trHeight w:val="203"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4FF1068F">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sz w:val="24"/>
                <w:szCs w:val="24"/>
                <w:lang w:val="en-US" w:eastAsia="zh-CN"/>
              </w:rPr>
            </w:pPr>
          </w:p>
        </w:tc>
        <w:tc>
          <w:tcPr>
            <w:tcW w:w="1701" w:type="dxa"/>
            <w:tcBorders>
              <w:top w:val="single" w:color="000000" w:sz="4" w:space="0"/>
              <w:left w:val="single" w:color="000000" w:sz="4" w:space="0"/>
              <w:bottom w:val="single" w:color="000000" w:sz="4" w:space="0"/>
              <w:right w:val="single" w:color="000000" w:sz="4" w:space="0"/>
            </w:tcBorders>
          </w:tcPr>
          <w:p w14:paraId="21E8A005">
            <w:pPr>
              <w:keepNext w:val="0"/>
              <w:keepLines w:val="0"/>
              <w:suppressLineNumbers w:val="0"/>
              <w:spacing w:before="0" w:beforeAutospacing="0" w:after="0" w:afterAutospacing="0" w:line="440" w:lineRule="exact"/>
              <w:ind w:left="0" w:right="109"/>
              <w:jc w:val="center"/>
              <w:rPr>
                <w:rFonts w:hint="default" w:ascii="宋体" w:hAnsi="宋体"/>
                <w:color w:val="auto"/>
                <w:sz w:val="24"/>
                <w:szCs w:val="24"/>
              </w:rPr>
            </w:pPr>
            <w:r>
              <w:rPr>
                <w:rFonts w:hint="eastAsia" w:ascii="宋体" w:hAnsi="宋体"/>
                <w:color w:val="auto"/>
                <w:sz w:val="24"/>
                <w:szCs w:val="24"/>
              </w:rPr>
              <w:t xml:space="preserve">  </w:t>
            </w:r>
          </w:p>
          <w:p w14:paraId="0BD06930">
            <w:pPr>
              <w:keepNext w:val="0"/>
              <w:keepLines w:val="0"/>
              <w:suppressLineNumbers w:val="0"/>
              <w:spacing w:before="0" w:beforeAutospacing="0" w:after="0" w:afterAutospacing="0" w:line="440" w:lineRule="exact"/>
              <w:ind w:left="0" w:right="109"/>
              <w:jc w:val="center"/>
              <w:rPr>
                <w:rFonts w:hint="default" w:asciiTheme="minorEastAsia" w:hAnsiTheme="minorEastAsia"/>
                <w:color w:val="auto"/>
                <w:sz w:val="24"/>
                <w:szCs w:val="24"/>
              </w:rPr>
            </w:pPr>
            <w:r>
              <w:rPr>
                <w:rFonts w:hint="eastAsia" w:ascii="宋体" w:hAnsi="宋体"/>
                <w:color w:val="auto"/>
                <w:sz w:val="24"/>
                <w:szCs w:val="24"/>
              </w:rPr>
              <w:t>勘查</w:t>
            </w:r>
          </w:p>
        </w:tc>
        <w:tc>
          <w:tcPr>
            <w:tcW w:w="7180" w:type="dxa"/>
            <w:tcBorders>
              <w:top w:val="single" w:color="000000" w:sz="4" w:space="0"/>
              <w:left w:val="single" w:color="000000" w:sz="4" w:space="0"/>
              <w:bottom w:val="single" w:color="000000" w:sz="4" w:space="0"/>
              <w:right w:val="single" w:color="000000" w:sz="4" w:space="0"/>
            </w:tcBorders>
          </w:tcPr>
          <w:p w14:paraId="65A7D9AF">
            <w:pPr>
              <w:keepNext w:val="0"/>
              <w:keepLines w:val="0"/>
              <w:widowControl/>
              <w:suppressLineNumbers w:val="0"/>
              <w:spacing w:before="0" w:beforeAutospacing="0" w:after="0" w:afterAutospacing="0" w:line="440" w:lineRule="exact"/>
              <w:ind w:left="0" w:right="0"/>
              <w:rPr>
                <w:rFonts w:hint="default" w:ascii="宋体" w:hAnsi="宋体"/>
                <w:color w:val="auto"/>
                <w:sz w:val="24"/>
                <w:szCs w:val="24"/>
              </w:rPr>
            </w:pPr>
            <w:r>
              <w:rPr>
                <w:rFonts w:hint="eastAsia" w:ascii="宋体" w:hAnsi="宋体"/>
                <w:color w:val="auto"/>
                <w:sz w:val="24"/>
                <w:szCs w:val="24"/>
              </w:rPr>
              <w:t>1.采购代理机构不组织统一现场勘察，由供应商自行安排。</w:t>
            </w:r>
          </w:p>
          <w:p w14:paraId="4175A011">
            <w:pPr>
              <w:keepNext w:val="0"/>
              <w:keepLines w:val="0"/>
              <w:widowControl/>
              <w:suppressLineNumbers w:val="0"/>
              <w:spacing w:before="0" w:beforeAutospacing="0" w:after="0" w:afterAutospacing="0" w:line="440" w:lineRule="exact"/>
              <w:ind w:left="0" w:right="0"/>
              <w:jc w:val="left"/>
              <w:rPr>
                <w:rFonts w:hint="default" w:asciiTheme="minorEastAsia" w:hAnsiTheme="minorEastAsia"/>
                <w:color w:val="auto"/>
                <w:sz w:val="24"/>
                <w:szCs w:val="24"/>
              </w:rPr>
            </w:pPr>
            <w:r>
              <w:rPr>
                <w:rFonts w:hint="eastAsia" w:ascii="宋体" w:hAnsi="宋体"/>
                <w:color w:val="auto"/>
                <w:sz w:val="24"/>
                <w:szCs w:val="24"/>
              </w:rPr>
              <w:t>2.供应商</w:t>
            </w:r>
            <w:r>
              <w:rPr>
                <w:rFonts w:hint="eastAsia" w:ascii="宋体" w:hAnsi="宋体"/>
                <w:color w:val="auto"/>
                <w:sz w:val="24"/>
                <w:szCs w:val="24"/>
                <w:lang w:eastAsia="zh-CN"/>
              </w:rPr>
              <w:t>勘查现场</w:t>
            </w:r>
            <w:r>
              <w:rPr>
                <w:rFonts w:hint="eastAsia" w:ascii="宋体" w:hAnsi="宋体"/>
                <w:color w:val="auto"/>
                <w:sz w:val="24"/>
                <w:szCs w:val="24"/>
              </w:rPr>
              <w:t>发生的一切费用自理，并自行负责在</w:t>
            </w:r>
            <w:r>
              <w:rPr>
                <w:rFonts w:hint="eastAsia" w:ascii="宋体" w:hAnsi="宋体"/>
                <w:color w:val="auto"/>
                <w:sz w:val="24"/>
                <w:szCs w:val="24"/>
                <w:lang w:eastAsia="zh-CN"/>
              </w:rPr>
              <w:t>勘查现场</w:t>
            </w:r>
            <w:r>
              <w:rPr>
                <w:rFonts w:hint="eastAsia" w:ascii="宋体" w:hAnsi="宋体"/>
                <w:color w:val="auto"/>
                <w:sz w:val="24"/>
                <w:szCs w:val="24"/>
              </w:rPr>
              <w:t>发生的人员伤亡和财产损失。</w:t>
            </w:r>
          </w:p>
        </w:tc>
      </w:tr>
      <w:tr w14:paraId="47C5D197">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0BBB2743">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eastAsia="宋体"/>
                <w:color w:val="auto"/>
                <w:sz w:val="24"/>
                <w:szCs w:val="24"/>
                <w:lang w:val="en-US" w:eastAsia="zh-CN"/>
              </w:rPr>
            </w:pPr>
          </w:p>
        </w:tc>
        <w:tc>
          <w:tcPr>
            <w:tcW w:w="1701" w:type="dxa"/>
            <w:tcBorders>
              <w:top w:val="single" w:color="000000" w:sz="4" w:space="0"/>
              <w:left w:val="single" w:color="000000" w:sz="4" w:space="0"/>
              <w:bottom w:val="single" w:color="000000" w:sz="4" w:space="0"/>
              <w:right w:val="single" w:color="000000" w:sz="4" w:space="0"/>
            </w:tcBorders>
          </w:tcPr>
          <w:p w14:paraId="45044372">
            <w:pPr>
              <w:keepNext w:val="0"/>
              <w:keepLines w:val="0"/>
              <w:suppressLineNumbers w:val="0"/>
              <w:spacing w:before="0" w:beforeAutospacing="0" w:after="0" w:afterAutospacing="0" w:line="440" w:lineRule="exact"/>
              <w:ind w:left="0" w:right="109"/>
              <w:jc w:val="center"/>
              <w:rPr>
                <w:rFonts w:hint="default" w:asciiTheme="minorEastAsia" w:hAnsiTheme="minorEastAsia"/>
                <w:color w:val="auto"/>
                <w:sz w:val="24"/>
                <w:szCs w:val="24"/>
              </w:rPr>
            </w:pPr>
            <w:r>
              <w:rPr>
                <w:rFonts w:hint="default" w:ascii="宋体" w:hAnsi="宋体"/>
                <w:color w:val="auto"/>
                <w:sz w:val="24"/>
                <w:szCs w:val="24"/>
              </w:rPr>
              <w:t>答疑</w:t>
            </w:r>
          </w:p>
        </w:tc>
        <w:tc>
          <w:tcPr>
            <w:tcW w:w="7180" w:type="dxa"/>
            <w:tcBorders>
              <w:top w:val="single" w:color="000000" w:sz="4" w:space="0"/>
              <w:left w:val="single" w:color="000000" w:sz="4" w:space="0"/>
              <w:bottom w:val="single" w:color="000000" w:sz="4" w:space="0"/>
              <w:right w:val="single" w:color="000000" w:sz="4" w:space="0"/>
            </w:tcBorders>
          </w:tcPr>
          <w:p w14:paraId="0838CE1A">
            <w:pPr>
              <w:keepNext w:val="0"/>
              <w:keepLines w:val="0"/>
              <w:suppressLineNumbers w:val="0"/>
              <w:spacing w:before="0" w:beforeAutospacing="0" w:after="0" w:afterAutospacing="0" w:line="440" w:lineRule="exact"/>
              <w:ind w:left="0" w:right="-11"/>
              <w:rPr>
                <w:rFonts w:hint="default" w:asciiTheme="minorEastAsia" w:hAnsiTheme="minorEastAsia"/>
                <w:color w:val="auto"/>
                <w:sz w:val="24"/>
                <w:szCs w:val="24"/>
              </w:rPr>
            </w:pPr>
            <w:r>
              <w:rPr>
                <w:rFonts w:hint="default" w:asciiTheme="minorEastAsia" w:hAnsiTheme="minorEastAsia"/>
                <w:color w:val="auto"/>
                <w:sz w:val="24"/>
                <w:szCs w:val="24"/>
              </w:rPr>
              <w:t xml:space="preserve">如有疑问，投标人需书面提出，经采购人收集问题后，统一答疑。 </w:t>
            </w:r>
          </w:p>
        </w:tc>
      </w:tr>
      <w:tr w14:paraId="00CF9A2D">
        <w:tblPrEx>
          <w:tblCellMar>
            <w:top w:w="0" w:type="dxa"/>
            <w:left w:w="108" w:type="dxa"/>
            <w:bottom w:w="0" w:type="dxa"/>
            <w:right w:w="108" w:type="dxa"/>
          </w:tblCellMar>
        </w:tblPrEx>
        <w:trPr>
          <w:trHeight w:val="291" w:hRule="atLeast"/>
          <w:jc w:val="center"/>
        </w:trPr>
        <w:tc>
          <w:tcPr>
            <w:tcW w:w="704" w:type="dxa"/>
            <w:tcBorders>
              <w:top w:val="single" w:color="000000" w:sz="4" w:space="0"/>
              <w:left w:val="single" w:color="000000" w:sz="4" w:space="0"/>
              <w:bottom w:val="single" w:color="000000" w:sz="4" w:space="0"/>
              <w:right w:val="single" w:color="000000" w:sz="4" w:space="0"/>
            </w:tcBorders>
            <w:vAlign w:val="center"/>
          </w:tcPr>
          <w:p w14:paraId="1EE5BC29">
            <w:pPr>
              <w:keepNext w:val="0"/>
              <w:keepLines w:val="0"/>
              <w:widowControl/>
              <w:numPr>
                <w:ilvl w:val="0"/>
                <w:numId w:val="3"/>
              </w:numPr>
              <w:suppressLineNumbers w:val="0"/>
              <w:spacing w:before="0" w:beforeAutospacing="0" w:after="0" w:afterAutospacing="0" w:line="440" w:lineRule="exact"/>
              <w:ind w:left="425" w:leftChars="0" w:right="0" w:hanging="425" w:firstLineChars="0"/>
              <w:jc w:val="center"/>
              <w:rPr>
                <w:rFonts w:hint="default" w:ascii="宋体" w:hAnsi="宋体"/>
                <w:color w:val="auto"/>
                <w:sz w:val="24"/>
                <w:szCs w:val="24"/>
                <w:lang w:val="en-US" w:eastAsia="zh-CN"/>
              </w:rPr>
            </w:pPr>
          </w:p>
        </w:tc>
        <w:tc>
          <w:tcPr>
            <w:tcW w:w="1701" w:type="dxa"/>
            <w:tcBorders>
              <w:top w:val="single" w:color="000000" w:sz="4" w:space="0"/>
              <w:left w:val="single" w:color="000000" w:sz="4" w:space="0"/>
              <w:bottom w:val="single" w:color="000000" w:sz="4" w:space="0"/>
              <w:right w:val="single" w:color="000000" w:sz="4" w:space="0"/>
            </w:tcBorders>
            <w:vAlign w:val="center"/>
          </w:tcPr>
          <w:p w14:paraId="67C9A57C">
            <w:pPr>
              <w:keepNext w:val="0"/>
              <w:keepLines w:val="0"/>
              <w:widowControl/>
              <w:suppressLineNumbers w:val="0"/>
              <w:spacing w:before="0" w:beforeAutospacing="0" w:after="0" w:afterAutospacing="0"/>
              <w:ind w:left="0" w:right="0"/>
              <w:jc w:val="center"/>
              <w:rPr>
                <w:rFonts w:hint="eastAsia" w:ascii="宋体" w:hAnsi="宋体" w:eastAsia="宋体" w:cs="宋体"/>
                <w:color w:val="auto"/>
                <w:kern w:val="0"/>
                <w:sz w:val="24"/>
                <w:szCs w:val="24"/>
                <w:lang w:val="en-US" w:eastAsia="zh-CN" w:bidi="ar"/>
              </w:rPr>
            </w:pPr>
          </w:p>
          <w:p w14:paraId="29FB6BEC">
            <w:pPr>
              <w:keepNext w:val="0"/>
              <w:keepLines w:val="0"/>
              <w:suppressLineNumbers w:val="0"/>
              <w:spacing w:before="0" w:beforeAutospacing="0" w:after="0" w:afterAutospacing="0" w:line="440" w:lineRule="exact"/>
              <w:ind w:left="0" w:right="109"/>
              <w:jc w:val="center"/>
              <w:rPr>
                <w:rFonts w:hint="default" w:ascii="宋体" w:hAnsi="宋体"/>
                <w:color w:val="auto"/>
                <w:sz w:val="24"/>
                <w:szCs w:val="24"/>
                <w:lang w:val="en-US"/>
              </w:rPr>
            </w:pPr>
            <w:r>
              <w:rPr>
                <w:rFonts w:hint="eastAsia" w:ascii="宋体" w:hAnsi="宋体" w:cs="宋体"/>
                <w:color w:val="auto"/>
                <w:kern w:val="0"/>
                <w:sz w:val="24"/>
                <w:szCs w:val="24"/>
                <w:lang w:val="en-US" w:eastAsia="zh-CN" w:bidi="ar"/>
              </w:rPr>
              <w:t>中小企业划分</w:t>
            </w:r>
          </w:p>
        </w:tc>
        <w:tc>
          <w:tcPr>
            <w:tcW w:w="7180" w:type="dxa"/>
            <w:tcBorders>
              <w:top w:val="single" w:color="000000" w:sz="4" w:space="0"/>
              <w:left w:val="single" w:color="000000" w:sz="4" w:space="0"/>
              <w:bottom w:val="single" w:color="000000" w:sz="4" w:space="0"/>
              <w:right w:val="single" w:color="000000" w:sz="4" w:space="0"/>
            </w:tcBorders>
          </w:tcPr>
          <w:p w14:paraId="371F3E29">
            <w:pPr>
              <w:keepNext w:val="0"/>
              <w:keepLines w:val="0"/>
              <w:widowControl/>
              <w:suppressLineNumbers w:val="0"/>
              <w:spacing w:before="0" w:beforeAutospacing="0" w:after="0" w:afterAutospacing="0" w:line="440" w:lineRule="exact"/>
              <w:ind w:left="0" w:right="0"/>
              <w:rPr>
                <w:rFonts w:hint="eastAsia" w:ascii="宋体" w:hAnsi="宋体" w:cs="Times New Roman"/>
                <w:color w:val="auto"/>
                <w:sz w:val="24"/>
                <w:szCs w:val="24"/>
                <w:lang w:val="en-US" w:eastAsia="zh-CN"/>
              </w:rPr>
            </w:pPr>
            <w:r>
              <w:rPr>
                <w:rFonts w:hint="eastAsia" w:ascii="宋体" w:hAnsi="宋体" w:cs="Times New Roman"/>
                <w:color w:val="auto"/>
                <w:sz w:val="24"/>
                <w:szCs w:val="24"/>
                <w:lang w:val="en-US" w:eastAsia="zh-CN"/>
              </w:rPr>
              <w:t>根据《中小企业划型标准规定》（工信部联企业〔2011〕300号），采购标的对应的中小企业划分标准所属行业为工业。</w:t>
            </w:r>
          </w:p>
          <w:p w14:paraId="4EE08E71">
            <w:pPr>
              <w:keepNext w:val="0"/>
              <w:keepLines w:val="0"/>
              <w:widowControl/>
              <w:suppressLineNumbers w:val="0"/>
              <w:spacing w:before="0" w:beforeAutospacing="0" w:after="0" w:afterAutospacing="0" w:line="440" w:lineRule="exact"/>
              <w:ind w:left="0" w:right="0"/>
              <w:rPr>
                <w:rFonts w:hint="default" w:asciiTheme="minorEastAsia" w:hAnsiTheme="minorEastAsia"/>
                <w:color w:val="auto"/>
                <w:sz w:val="24"/>
                <w:szCs w:val="24"/>
              </w:rPr>
            </w:pPr>
            <w:r>
              <w:rPr>
                <w:rFonts w:hint="eastAsia" w:ascii="宋体" w:hAnsi="宋体" w:cs="Times New Roman"/>
                <w:color w:val="auto"/>
                <w:sz w:val="24"/>
                <w:szCs w:val="24"/>
                <w:lang w:val="en-US" w:eastAsia="zh-CN"/>
              </w:rPr>
              <w:t>工业的划型标准为：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bookmarkEnd w:id="11"/>
    </w:tbl>
    <w:p w14:paraId="647479EB">
      <w:pPr>
        <w:widowControl/>
        <w:jc w:val="left"/>
        <w:rPr>
          <w:rFonts w:ascii="宋体" w:hAnsi="宋体"/>
          <w:b/>
          <w:bCs/>
          <w:color w:val="auto"/>
          <w:kern w:val="44"/>
          <w:sz w:val="36"/>
          <w:szCs w:val="36"/>
        </w:rPr>
      </w:pPr>
      <w:r>
        <w:rPr>
          <w:rFonts w:ascii="宋体" w:hAnsi="宋体"/>
          <w:color w:val="auto"/>
          <w:sz w:val="36"/>
          <w:szCs w:val="36"/>
        </w:rPr>
        <w:br w:type="page"/>
      </w:r>
    </w:p>
    <w:p w14:paraId="6AEE1C9B">
      <w:pPr>
        <w:pStyle w:val="2"/>
        <w:spacing w:before="0" w:after="0" w:line="480" w:lineRule="exact"/>
        <w:jc w:val="center"/>
        <w:rPr>
          <w:rFonts w:ascii="宋体" w:hAnsi="宋体"/>
          <w:color w:val="auto"/>
          <w:sz w:val="36"/>
          <w:szCs w:val="36"/>
        </w:rPr>
      </w:pPr>
      <w:bookmarkStart w:id="15" w:name="_Toc29107"/>
      <w:bookmarkStart w:id="16" w:name="_Toc23258605"/>
      <w:bookmarkStart w:id="17" w:name="_Toc26541322"/>
      <w:r>
        <w:rPr>
          <w:rFonts w:hint="eastAsia" w:ascii="宋体" w:hAnsi="宋体"/>
          <w:color w:val="auto"/>
          <w:sz w:val="36"/>
          <w:szCs w:val="36"/>
        </w:rPr>
        <w:t>第三章 投标人须知</w:t>
      </w:r>
      <w:bookmarkEnd w:id="15"/>
      <w:bookmarkEnd w:id="16"/>
      <w:bookmarkEnd w:id="17"/>
    </w:p>
    <w:p w14:paraId="2BA94B6E">
      <w:pPr>
        <w:pStyle w:val="3"/>
        <w:spacing w:before="0" w:after="0" w:line="480" w:lineRule="exact"/>
        <w:jc w:val="center"/>
        <w:rPr>
          <w:rFonts w:hint="eastAsia"/>
          <w:color w:val="auto"/>
        </w:rPr>
      </w:pPr>
      <w:bookmarkStart w:id="18" w:name="_Toc26541323"/>
      <w:bookmarkStart w:id="19" w:name="_Toc23258606"/>
      <w:r>
        <w:rPr>
          <w:rFonts w:hint="eastAsia"/>
          <w:color w:val="auto"/>
        </w:rPr>
        <w:t>一、总则</w:t>
      </w:r>
      <w:bookmarkEnd w:id="18"/>
      <w:bookmarkEnd w:id="19"/>
      <w:bookmarkStart w:id="20" w:name="_Toc311415573"/>
      <w:bookmarkStart w:id="21" w:name="_Toc380336727"/>
      <w:bookmarkStart w:id="22" w:name="_Toc409689049"/>
      <w:bookmarkStart w:id="23" w:name="_Toc358364321"/>
    </w:p>
    <w:p w14:paraId="2D11E69F">
      <w:pPr>
        <w:pStyle w:val="3"/>
        <w:keepNext/>
        <w:keepLines/>
        <w:pageBreakBefore w:val="0"/>
        <w:widowControl w:val="0"/>
        <w:kinsoku/>
        <w:wordWrap/>
        <w:overflowPunct/>
        <w:topLinePunct w:val="0"/>
        <w:autoSpaceDE/>
        <w:autoSpaceDN/>
        <w:bidi w:val="0"/>
        <w:adjustRightInd/>
        <w:snapToGrid/>
        <w:spacing w:before="0" w:after="0" w:line="480" w:lineRule="exact"/>
        <w:ind w:firstLine="482" w:firstLineChars="200"/>
        <w:jc w:val="both"/>
        <w:textAlignment w:val="auto"/>
        <w:rPr>
          <w:rFonts w:ascii="宋体" w:hAnsi="宋体"/>
          <w:b/>
          <w:color w:val="auto"/>
          <w:sz w:val="24"/>
          <w:szCs w:val="24"/>
        </w:rPr>
      </w:pPr>
      <w:r>
        <w:rPr>
          <w:rFonts w:hint="eastAsia" w:ascii="宋体" w:hAnsi="宋体"/>
          <w:b/>
          <w:color w:val="auto"/>
          <w:sz w:val="24"/>
          <w:szCs w:val="24"/>
          <w:lang w:eastAsia="zh-CN"/>
        </w:rPr>
        <w:t>1.</w:t>
      </w:r>
      <w:r>
        <w:rPr>
          <w:rFonts w:hint="eastAsia" w:ascii="宋体" w:hAnsi="宋体"/>
          <w:b/>
          <w:color w:val="auto"/>
          <w:sz w:val="24"/>
          <w:szCs w:val="24"/>
        </w:rPr>
        <w:t xml:space="preserve"> 项目概况</w:t>
      </w:r>
    </w:p>
    <w:p w14:paraId="4EF605EA">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auto"/>
          <w:sz w:val="24"/>
          <w:szCs w:val="21"/>
          <w:lang w:val="zh-CN"/>
        </w:rPr>
      </w:pPr>
      <w:r>
        <w:rPr>
          <w:rFonts w:ascii="宋体" w:hAnsi="宋体"/>
          <w:color w:val="auto"/>
          <w:sz w:val="24"/>
          <w:szCs w:val="21"/>
          <w:lang w:val="zh-CN"/>
        </w:rPr>
        <w:t>1.</w:t>
      </w:r>
      <w:r>
        <w:rPr>
          <w:rFonts w:hint="eastAsia" w:ascii="宋体" w:hAnsi="宋体"/>
          <w:color w:val="auto"/>
          <w:sz w:val="24"/>
          <w:szCs w:val="21"/>
          <w:lang w:val="zh-CN"/>
        </w:rPr>
        <w:t>1根据《中华人民共和国政府采购法》《中华人民共和国政府采购法实施条例》等有关法律法规和规章，本项目已具备招标条件，现进行招标。</w:t>
      </w:r>
    </w:p>
    <w:p w14:paraId="6496D18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auto"/>
          <w:sz w:val="24"/>
          <w:szCs w:val="21"/>
        </w:rPr>
      </w:pPr>
      <w:r>
        <w:rPr>
          <w:rFonts w:ascii="宋体" w:hAnsi="宋体"/>
          <w:color w:val="auto"/>
          <w:sz w:val="24"/>
          <w:szCs w:val="21"/>
          <w:lang w:val="zh-CN"/>
        </w:rPr>
        <w:t>1.</w:t>
      </w:r>
      <w:r>
        <w:rPr>
          <w:rFonts w:hint="eastAsia" w:ascii="宋体" w:hAnsi="宋体"/>
          <w:color w:val="auto"/>
          <w:sz w:val="24"/>
          <w:szCs w:val="21"/>
          <w:lang w:val="zh-CN"/>
        </w:rPr>
        <w:t>2采购人：</w:t>
      </w:r>
      <w:r>
        <w:rPr>
          <w:rFonts w:hint="eastAsia" w:ascii="宋体" w:hAnsi="宋体" w:cs="宋体"/>
          <w:color w:val="auto"/>
          <w:kern w:val="0"/>
          <w:sz w:val="24"/>
          <w:szCs w:val="24"/>
          <w:lang w:val="en-US" w:eastAsia="zh-CN"/>
        </w:rPr>
        <w:t>安康市初级中学。</w:t>
      </w:r>
    </w:p>
    <w:p w14:paraId="69ED7E93">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auto"/>
          <w:sz w:val="24"/>
          <w:szCs w:val="21"/>
          <w:lang w:val="zh-CN"/>
        </w:rPr>
      </w:pPr>
      <w:r>
        <w:rPr>
          <w:rFonts w:ascii="宋体" w:hAnsi="宋体"/>
          <w:color w:val="auto"/>
          <w:sz w:val="24"/>
          <w:szCs w:val="21"/>
        </w:rPr>
        <w:t>1.3</w:t>
      </w:r>
      <w:r>
        <w:rPr>
          <w:rFonts w:hint="eastAsia" w:ascii="宋体" w:hAnsi="宋体"/>
          <w:color w:val="auto"/>
          <w:sz w:val="24"/>
          <w:szCs w:val="21"/>
          <w:lang w:val="zh-CN"/>
        </w:rPr>
        <w:t>采购代理机构：</w:t>
      </w:r>
      <w:r>
        <w:rPr>
          <w:rFonts w:hint="eastAsia" w:ascii="宋体" w:hAnsi="宋体"/>
          <w:color w:val="auto"/>
          <w:sz w:val="24"/>
          <w:szCs w:val="21"/>
        </w:rPr>
        <w:t>安康尚昊招标代理有限公司</w:t>
      </w:r>
      <w:r>
        <w:rPr>
          <w:rFonts w:hint="eastAsia" w:ascii="宋体" w:hAnsi="宋体"/>
          <w:color w:val="auto"/>
          <w:sz w:val="24"/>
          <w:szCs w:val="21"/>
          <w:lang w:val="zh-CN"/>
        </w:rPr>
        <w:t>。</w:t>
      </w:r>
    </w:p>
    <w:p w14:paraId="5A5668B1">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auto"/>
          <w:sz w:val="24"/>
          <w:szCs w:val="21"/>
          <w:lang w:val="zh-CN"/>
        </w:rPr>
      </w:pPr>
      <w:r>
        <w:rPr>
          <w:rFonts w:ascii="宋体" w:hAnsi="宋体"/>
          <w:color w:val="auto"/>
          <w:sz w:val="24"/>
          <w:szCs w:val="21"/>
          <w:lang w:val="zh-CN"/>
        </w:rPr>
        <w:t>1.4</w:t>
      </w:r>
      <w:r>
        <w:rPr>
          <w:rFonts w:hint="eastAsia" w:ascii="宋体" w:hAnsi="宋体"/>
          <w:color w:val="auto"/>
          <w:sz w:val="24"/>
          <w:szCs w:val="21"/>
          <w:lang w:val="zh-CN"/>
        </w:rPr>
        <w:t>采购项目名称：</w:t>
      </w:r>
      <w:r>
        <w:rPr>
          <w:rFonts w:hint="eastAsia" w:ascii="宋体" w:hAnsi="宋体"/>
          <w:color w:val="auto"/>
          <w:sz w:val="24"/>
          <w:szCs w:val="24"/>
          <w:lang w:eastAsia="zh-CN"/>
        </w:rPr>
        <w:t>安康市初级中学生成式人工智能学科融合智慧教室项目（二次）</w:t>
      </w:r>
      <w:r>
        <w:rPr>
          <w:rFonts w:hint="eastAsia" w:ascii="宋体" w:hAnsi="宋体"/>
          <w:color w:val="auto"/>
          <w:sz w:val="24"/>
          <w:szCs w:val="21"/>
          <w:lang w:val="zh-CN"/>
        </w:rPr>
        <w:t>。</w:t>
      </w:r>
    </w:p>
    <w:p w14:paraId="7DE4819E">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eastAsia="宋体"/>
          <w:b/>
          <w:color w:val="auto"/>
          <w:sz w:val="24"/>
          <w:szCs w:val="24"/>
          <w:lang w:eastAsia="zh-CN"/>
        </w:rPr>
      </w:pPr>
      <w:r>
        <w:rPr>
          <w:rFonts w:hint="eastAsia" w:ascii="宋体" w:hAnsi="宋体" w:eastAsia="宋体" w:cs="宋体"/>
          <w:bCs/>
          <w:color w:val="auto"/>
          <w:sz w:val="24"/>
          <w:szCs w:val="24"/>
          <w:lang w:val="en-US" w:eastAsia="zh-CN"/>
        </w:rPr>
        <w:t>1.5</w:t>
      </w:r>
      <w:r>
        <w:rPr>
          <w:rFonts w:hint="eastAsia" w:ascii="宋体" w:hAnsi="宋体" w:eastAsia="宋体" w:cs="宋体"/>
          <w:bCs/>
          <w:color w:val="auto"/>
          <w:sz w:val="24"/>
          <w:szCs w:val="24"/>
          <w:lang w:eastAsia="zh-CN"/>
        </w:rPr>
        <w:t>监管机构：安康市</w:t>
      </w:r>
      <w:r>
        <w:rPr>
          <w:rFonts w:hint="eastAsia" w:ascii="宋体" w:hAnsi="宋体" w:eastAsia="宋体" w:cs="宋体"/>
          <w:bCs/>
          <w:color w:val="auto"/>
          <w:sz w:val="24"/>
          <w:szCs w:val="24"/>
        </w:rPr>
        <w:t>财政局</w:t>
      </w:r>
      <w:r>
        <w:rPr>
          <w:rFonts w:hint="eastAsia" w:ascii="宋体" w:hAnsi="宋体" w:cs="宋体"/>
          <w:bCs/>
          <w:color w:val="auto"/>
          <w:sz w:val="24"/>
          <w:szCs w:val="24"/>
          <w:lang w:eastAsia="zh-CN"/>
        </w:rPr>
        <w:t>。</w:t>
      </w:r>
    </w:p>
    <w:p w14:paraId="1964C5C5">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ascii="宋体" w:hAnsi="宋体"/>
          <w:b/>
          <w:color w:val="auto"/>
          <w:sz w:val="24"/>
          <w:szCs w:val="24"/>
        </w:rPr>
      </w:pPr>
      <w:r>
        <w:rPr>
          <w:rFonts w:ascii="宋体" w:hAnsi="宋体"/>
          <w:b/>
          <w:color w:val="auto"/>
          <w:sz w:val="24"/>
          <w:szCs w:val="24"/>
        </w:rPr>
        <w:t>2.</w:t>
      </w:r>
      <w:r>
        <w:rPr>
          <w:rFonts w:hint="eastAsia" w:ascii="宋体" w:hAnsi="宋体"/>
          <w:b/>
          <w:color w:val="auto"/>
          <w:sz w:val="24"/>
          <w:szCs w:val="24"/>
        </w:rPr>
        <w:t>招标范围、服务期、项目地点</w:t>
      </w:r>
    </w:p>
    <w:p w14:paraId="18B972F3">
      <w:pPr>
        <w:pStyle w:val="73"/>
        <w:keepNext w:val="0"/>
        <w:keepLines w:val="0"/>
        <w:pageBreakBefore w:val="0"/>
        <w:widowControl w:val="0"/>
        <w:kinsoku/>
        <w:wordWrap/>
        <w:overflowPunct/>
        <w:topLinePunct w:val="0"/>
        <w:autoSpaceDE/>
        <w:autoSpaceDN/>
        <w:bidi w:val="0"/>
        <w:adjustRightInd/>
        <w:spacing w:line="460" w:lineRule="exact"/>
        <w:ind w:firstLine="480" w:firstLineChars="200"/>
        <w:textAlignment w:val="auto"/>
        <w:outlineLvl w:val="9"/>
        <w:rPr>
          <w:rFonts w:hint="eastAsia" w:ascii="宋体" w:hAnsi="宋体" w:eastAsia="宋体" w:cs="宋体"/>
          <w:color w:val="auto"/>
          <w:kern w:val="0"/>
          <w:sz w:val="24"/>
          <w:szCs w:val="24"/>
          <w:lang w:val="en-US" w:eastAsia="zh-CN"/>
        </w:rPr>
      </w:pPr>
      <w:r>
        <w:rPr>
          <w:rFonts w:ascii="宋体" w:hAnsi="宋体"/>
          <w:color w:val="auto"/>
          <w:sz w:val="24"/>
          <w:szCs w:val="21"/>
          <w:lang w:val="zh-CN"/>
        </w:rPr>
        <w:t>2.1</w:t>
      </w:r>
      <w:r>
        <w:rPr>
          <w:rFonts w:hint="eastAsia" w:ascii="宋体" w:hAnsi="宋体"/>
          <w:color w:val="auto"/>
          <w:sz w:val="24"/>
          <w:szCs w:val="21"/>
          <w:lang w:val="zh-CN"/>
        </w:rPr>
        <w:t>招标范围：</w:t>
      </w:r>
      <w:r>
        <w:rPr>
          <w:rFonts w:hint="eastAsia" w:ascii="宋体" w:hAnsi="宋体" w:cs="宋体"/>
          <w:color w:val="auto"/>
          <w:kern w:val="0"/>
          <w:sz w:val="24"/>
          <w:szCs w:val="24"/>
          <w:lang w:eastAsia="zh-CN"/>
        </w:rPr>
        <w:t>安康市初级中学生成式人工智能学科融合智慧教室项目（二次）</w:t>
      </w:r>
      <w:r>
        <w:rPr>
          <w:rFonts w:hint="eastAsia" w:ascii="宋体" w:hAnsi="宋体" w:eastAsia="宋体" w:cs="宋体"/>
          <w:color w:val="auto"/>
          <w:kern w:val="0"/>
          <w:sz w:val="24"/>
          <w:szCs w:val="24"/>
          <w:lang w:val="en-US" w:eastAsia="zh-CN"/>
        </w:rPr>
        <w:t>，1项，</w:t>
      </w:r>
      <w:r>
        <w:rPr>
          <w:rFonts w:hint="eastAsia" w:ascii="宋体" w:hAnsi="宋体" w:eastAsia="宋体" w:cs="宋体"/>
          <w:color w:val="auto"/>
          <w:sz w:val="24"/>
          <w:szCs w:val="24"/>
          <w:lang w:val="en-US" w:eastAsia="zh-CN" w:bidi="ar"/>
        </w:rPr>
        <w:t>本项目为</w:t>
      </w:r>
      <w:r>
        <w:rPr>
          <w:rFonts w:hint="eastAsia" w:ascii="宋体" w:hAnsi="宋体" w:cs="宋体"/>
          <w:color w:val="auto"/>
          <w:kern w:val="0"/>
          <w:sz w:val="24"/>
          <w:szCs w:val="24"/>
          <w:lang w:eastAsia="zh-CN"/>
        </w:rPr>
        <w:t>安康市初级中学生成式人工智能学科融合智慧教室项目（二次）</w:t>
      </w:r>
      <w:r>
        <w:rPr>
          <w:rFonts w:hint="eastAsia" w:ascii="宋体" w:hAnsi="宋体" w:eastAsia="宋体" w:cs="宋体"/>
          <w:color w:val="auto"/>
          <w:sz w:val="24"/>
          <w:szCs w:val="24"/>
          <w:lang w:val="en-US" w:eastAsia="zh-CN" w:bidi="ar"/>
        </w:rPr>
        <w:t>，项目预算为</w:t>
      </w:r>
      <w:r>
        <w:rPr>
          <w:rFonts w:hint="eastAsia" w:ascii="宋体" w:hAnsi="宋体" w:cs="宋体"/>
          <w:color w:val="auto"/>
          <w:kern w:val="0"/>
          <w:sz w:val="24"/>
          <w:lang w:val="en-US" w:eastAsia="zh-CN"/>
        </w:rPr>
        <w:t>560000.00元</w:t>
      </w:r>
      <w:r>
        <w:rPr>
          <w:rFonts w:hint="eastAsia" w:ascii="宋体" w:hAnsi="宋体" w:eastAsia="宋体" w:cs="宋体"/>
          <w:color w:val="auto"/>
          <w:sz w:val="24"/>
          <w:szCs w:val="24"/>
          <w:lang w:val="en-US" w:eastAsia="zh-CN" w:bidi="ar"/>
        </w:rPr>
        <w:t>，</w:t>
      </w:r>
      <w:r>
        <w:rPr>
          <w:rFonts w:hint="eastAsia" w:ascii="宋体" w:hAnsi="宋体" w:cs="宋体"/>
          <w:color w:val="auto"/>
          <w:kern w:val="0"/>
          <w:sz w:val="24"/>
          <w:szCs w:val="24"/>
          <w:lang w:val="en-US" w:eastAsia="zh-CN"/>
        </w:rPr>
        <w:t>简要技术要求、用途：自用，详细技术要求详见招标文件第四章“采购内容及要求”</w:t>
      </w:r>
      <w:r>
        <w:rPr>
          <w:rFonts w:hint="eastAsia" w:ascii="宋体" w:hAnsi="宋体" w:eastAsia="宋体" w:cs="宋体"/>
          <w:color w:val="auto"/>
          <w:kern w:val="0"/>
          <w:sz w:val="24"/>
          <w:szCs w:val="24"/>
          <w:lang w:val="en-US" w:eastAsia="zh-CN"/>
        </w:rPr>
        <w:t>。</w:t>
      </w:r>
    </w:p>
    <w:p w14:paraId="6AD6F2F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auto"/>
          <w:kern w:val="0"/>
          <w:sz w:val="24"/>
          <w:szCs w:val="24"/>
          <w:lang w:val="en-US" w:eastAsia="zh-CN"/>
        </w:rPr>
      </w:pPr>
      <w:r>
        <w:rPr>
          <w:rFonts w:hint="eastAsia" w:ascii="宋体" w:hAnsi="宋体"/>
          <w:color w:val="auto"/>
          <w:kern w:val="0"/>
          <w:sz w:val="24"/>
          <w:szCs w:val="24"/>
        </w:rPr>
        <w:t>2.2合同履行期：</w:t>
      </w:r>
      <w:r>
        <w:rPr>
          <w:rFonts w:hint="eastAsia" w:ascii="宋体" w:hAnsi="宋体" w:cs="宋体"/>
          <w:color w:val="auto"/>
          <w:kern w:val="0"/>
          <w:sz w:val="24"/>
          <w:szCs w:val="24"/>
          <w:lang w:val="en-US" w:eastAsia="zh-CN" w:bidi="ar-SA"/>
        </w:rPr>
        <w:t>自合同签订生效之日起30个日历天内交付（包含调试验收）</w:t>
      </w:r>
      <w:r>
        <w:rPr>
          <w:rFonts w:hint="eastAsia" w:ascii="宋体" w:hAnsi="宋体" w:cs="宋体"/>
          <w:bCs w:val="0"/>
          <w:color w:val="auto"/>
          <w:spacing w:val="0"/>
          <w:sz w:val="24"/>
          <w:szCs w:val="24"/>
          <w:lang w:eastAsia="zh-CN"/>
        </w:rPr>
        <w:t>。</w:t>
      </w:r>
    </w:p>
    <w:p w14:paraId="6BC04279">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default"/>
          <w:color w:val="auto"/>
          <w:lang w:val="en-US"/>
        </w:rPr>
      </w:pPr>
      <w:r>
        <w:rPr>
          <w:rFonts w:hint="eastAsia" w:ascii="宋体" w:hAnsi="宋体"/>
          <w:color w:val="auto"/>
          <w:kern w:val="0"/>
          <w:sz w:val="24"/>
          <w:szCs w:val="24"/>
        </w:rPr>
        <w:t>2.3项目地点：</w:t>
      </w:r>
      <w:r>
        <w:rPr>
          <w:rFonts w:hint="eastAsia" w:ascii="宋体" w:hAnsi="宋体"/>
          <w:color w:val="auto"/>
          <w:kern w:val="0"/>
          <w:sz w:val="24"/>
          <w:szCs w:val="24"/>
          <w:lang w:val="en-US" w:eastAsia="zh-CN"/>
        </w:rPr>
        <w:t>采购人指定地点。</w:t>
      </w:r>
    </w:p>
    <w:p w14:paraId="78142DE5">
      <w:pPr>
        <w:keepNext w:val="0"/>
        <w:keepLines w:val="0"/>
        <w:pageBreakBefore w:val="0"/>
        <w:widowControl w:val="0"/>
        <w:kinsoku/>
        <w:wordWrap/>
        <w:overflowPunct/>
        <w:topLinePunct w:val="0"/>
        <w:autoSpaceDE w:val="0"/>
        <w:autoSpaceDN w:val="0"/>
        <w:bidi w:val="0"/>
        <w:adjustRightInd w:val="0"/>
        <w:spacing w:line="360" w:lineRule="auto"/>
        <w:ind w:firstLine="482" w:firstLineChars="200"/>
        <w:textAlignment w:val="auto"/>
        <w:rPr>
          <w:rFonts w:ascii="宋体" w:hAnsi="宋体"/>
          <w:b/>
          <w:color w:val="auto"/>
          <w:sz w:val="24"/>
          <w:szCs w:val="24"/>
        </w:rPr>
      </w:pPr>
      <w:r>
        <w:rPr>
          <w:rFonts w:ascii="宋体" w:hAnsi="宋体"/>
          <w:b/>
          <w:color w:val="auto"/>
          <w:sz w:val="24"/>
          <w:szCs w:val="24"/>
        </w:rPr>
        <w:t>3.</w:t>
      </w:r>
      <w:r>
        <w:rPr>
          <w:rFonts w:hint="eastAsia" w:ascii="宋体" w:hAnsi="宋体"/>
          <w:b/>
          <w:color w:val="auto"/>
          <w:sz w:val="24"/>
          <w:szCs w:val="24"/>
        </w:rPr>
        <w:t>投标人资格要求</w:t>
      </w:r>
    </w:p>
    <w:p w14:paraId="629631D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ascii="宋体" w:hAnsi="宋体"/>
          <w:color w:val="auto"/>
          <w:sz w:val="24"/>
          <w:szCs w:val="21"/>
          <w:lang w:val="zh-CN"/>
        </w:rPr>
      </w:pPr>
      <w:r>
        <w:rPr>
          <w:rFonts w:ascii="宋体" w:hAnsi="宋体"/>
          <w:color w:val="auto"/>
          <w:sz w:val="24"/>
          <w:szCs w:val="21"/>
          <w:lang w:val="zh-CN"/>
        </w:rPr>
        <w:t>3.1</w:t>
      </w:r>
      <w:r>
        <w:rPr>
          <w:rFonts w:hint="eastAsia" w:ascii="宋体" w:hAnsi="宋体"/>
          <w:color w:val="auto"/>
          <w:sz w:val="24"/>
          <w:szCs w:val="21"/>
          <w:lang w:val="zh-CN"/>
        </w:rPr>
        <w:t>投标人应具备的资格条件：见投标人须知前附表。</w:t>
      </w:r>
    </w:p>
    <w:p w14:paraId="0ED1DC37">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auto"/>
          <w:sz w:val="24"/>
          <w:szCs w:val="24"/>
        </w:rPr>
      </w:pPr>
      <w:r>
        <w:rPr>
          <w:rFonts w:ascii="宋体" w:hAnsi="宋体"/>
          <w:b/>
          <w:color w:val="auto"/>
          <w:sz w:val="24"/>
          <w:szCs w:val="24"/>
        </w:rPr>
        <w:t>4</w:t>
      </w:r>
      <w:r>
        <w:rPr>
          <w:rFonts w:hint="eastAsia" w:ascii="宋体" w:hAnsi="宋体"/>
          <w:b/>
          <w:color w:val="auto"/>
          <w:sz w:val="24"/>
          <w:szCs w:val="24"/>
          <w:lang w:val="en-US" w:eastAsia="zh-CN"/>
        </w:rPr>
        <w:t>.</w:t>
      </w:r>
      <w:r>
        <w:rPr>
          <w:rFonts w:hint="eastAsia" w:ascii="宋体" w:hAnsi="宋体"/>
          <w:b/>
          <w:color w:val="auto"/>
          <w:sz w:val="24"/>
          <w:szCs w:val="24"/>
        </w:rPr>
        <w:t>合格的投标人</w:t>
      </w:r>
      <w:bookmarkEnd w:id="20"/>
    </w:p>
    <w:p w14:paraId="7E551B04">
      <w:pPr>
        <w:keepNext w:val="0"/>
        <w:keepLines w:val="0"/>
        <w:pageBreakBefore w:val="0"/>
        <w:widowControl w:val="0"/>
        <w:kinsoku/>
        <w:wordWrap/>
        <w:overflowPunct/>
        <w:topLinePunct w:val="0"/>
        <w:bidi w:val="0"/>
        <w:spacing w:line="400" w:lineRule="exact"/>
        <w:ind w:firstLine="480" w:firstLineChars="200"/>
        <w:textAlignment w:val="auto"/>
        <w:rPr>
          <w:rFonts w:ascii="宋体" w:hAnsi="宋体" w:cs="宋体"/>
          <w:color w:val="auto"/>
          <w:kern w:val="0"/>
          <w:sz w:val="24"/>
          <w:szCs w:val="20"/>
        </w:rPr>
      </w:pPr>
      <w:bookmarkStart w:id="24" w:name="_Toc311415575"/>
      <w:r>
        <w:rPr>
          <w:rFonts w:hint="eastAsia" w:ascii="宋体" w:hAnsi="宋体" w:cs="宋体"/>
          <w:color w:val="auto"/>
          <w:kern w:val="0"/>
          <w:sz w:val="24"/>
          <w:szCs w:val="20"/>
        </w:rPr>
        <w:t>4.1符合《中华人民共和国政府采购法》第二十二条要求具备的条件、并具备</w:t>
      </w:r>
      <w:r>
        <w:rPr>
          <w:rFonts w:hint="eastAsia" w:ascii="宋体" w:hAnsi="宋体" w:cs="宋体"/>
          <w:bCs/>
          <w:color w:val="auto"/>
          <w:kern w:val="0"/>
          <w:sz w:val="24"/>
          <w:szCs w:val="20"/>
        </w:rPr>
        <w:t>国家规定的相关该行业必备资质，</w:t>
      </w:r>
      <w:r>
        <w:rPr>
          <w:rFonts w:hint="eastAsia" w:ascii="宋体" w:hAnsi="宋体" w:cs="宋体"/>
          <w:color w:val="auto"/>
          <w:kern w:val="0"/>
          <w:sz w:val="24"/>
          <w:szCs w:val="20"/>
        </w:rPr>
        <w:t>有能力提供本次招标采购货物和服务的制造商或授权投标人。</w:t>
      </w:r>
    </w:p>
    <w:p w14:paraId="34D95640">
      <w:pPr>
        <w:keepNext w:val="0"/>
        <w:keepLines w:val="0"/>
        <w:pageBreakBefore w:val="0"/>
        <w:widowControl w:val="0"/>
        <w:kinsoku/>
        <w:wordWrap/>
        <w:overflowPunct/>
        <w:topLinePunct w:val="0"/>
        <w:bidi w:val="0"/>
        <w:snapToGrid w:val="0"/>
        <w:spacing w:line="400" w:lineRule="exact"/>
        <w:ind w:firstLine="480" w:firstLineChars="200"/>
        <w:textAlignment w:val="auto"/>
        <w:rPr>
          <w:rFonts w:ascii="宋体" w:hAnsi="宋体" w:cs="宋体"/>
          <w:b/>
          <w:color w:val="auto"/>
          <w:sz w:val="24"/>
          <w:szCs w:val="24"/>
        </w:rPr>
      </w:pPr>
      <w:r>
        <w:rPr>
          <w:rFonts w:ascii="宋体" w:hAnsi="宋体" w:cs="宋体"/>
          <w:color w:val="auto"/>
          <w:kern w:val="0"/>
          <w:sz w:val="24"/>
          <w:szCs w:val="20"/>
        </w:rPr>
        <w:t>4.2</w:t>
      </w:r>
      <w:r>
        <w:rPr>
          <w:rFonts w:hint="eastAsia" w:ascii="宋体" w:hAnsi="宋体" w:cs="宋体"/>
          <w:color w:val="auto"/>
          <w:sz w:val="24"/>
          <w:szCs w:val="24"/>
        </w:rPr>
        <w:t>投标人如有下列情形之一的按废标处理：</w:t>
      </w:r>
    </w:p>
    <w:p w14:paraId="513B57FA">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（1）为招标人不具有独立法人资格的附属机构（单位）；</w:t>
      </w:r>
    </w:p>
    <w:p w14:paraId="1767FE94">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（2）为本招标项目提供采购代理服务的；</w:t>
      </w:r>
    </w:p>
    <w:p w14:paraId="084A15F9">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（3）与本招标项目的采购代理机构同为一个法定代表人的；</w:t>
      </w:r>
    </w:p>
    <w:p w14:paraId="25A496F4">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（4）与本招标项目采购代理机构相互控股或参股的；</w:t>
      </w:r>
    </w:p>
    <w:p w14:paraId="13A2B7EB">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（5）与本招标项目采购代理机构相互任职或工作的；</w:t>
      </w:r>
    </w:p>
    <w:p w14:paraId="4FA2B406">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（6）被责令停业的；</w:t>
      </w:r>
    </w:p>
    <w:p w14:paraId="2CDA126B">
      <w:pPr>
        <w:keepNext w:val="0"/>
        <w:keepLines w:val="0"/>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（7）被暂停或取消投标资格的；</w:t>
      </w:r>
    </w:p>
    <w:p w14:paraId="094421CE">
      <w:pPr>
        <w:keepNext w:val="0"/>
        <w:keepLines w:val="0"/>
        <w:pageBreakBefore w:val="0"/>
        <w:widowControl w:val="0"/>
        <w:kinsoku/>
        <w:wordWrap/>
        <w:overflowPunct/>
        <w:topLinePunct w:val="0"/>
        <w:bidi w:val="0"/>
        <w:snapToGrid w:val="0"/>
        <w:spacing w:line="440" w:lineRule="exact"/>
        <w:ind w:firstLine="480" w:firstLineChars="200"/>
        <w:textAlignment w:val="auto"/>
        <w:rPr>
          <w:color w:val="auto"/>
        </w:rPr>
      </w:pPr>
      <w:r>
        <w:rPr>
          <w:rFonts w:hint="eastAsia" w:ascii="宋体" w:hAnsi="宋体" w:cs="宋体"/>
          <w:color w:val="auto"/>
          <w:sz w:val="24"/>
          <w:szCs w:val="24"/>
        </w:rPr>
        <w:t>（8）被省级或招标项目备案地司法部门或财政监管部门作行政处罚（或不良行为记录），但不在其行政处罚期（或不良行为记录期）内的除外。</w:t>
      </w:r>
    </w:p>
    <w:p w14:paraId="682FF564">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auto"/>
          <w:sz w:val="24"/>
          <w:szCs w:val="24"/>
        </w:rPr>
      </w:pPr>
      <w:r>
        <w:rPr>
          <w:rFonts w:hint="eastAsia" w:ascii="宋体" w:hAnsi="宋体"/>
          <w:b/>
          <w:color w:val="auto"/>
          <w:sz w:val="24"/>
          <w:szCs w:val="24"/>
          <w:lang w:eastAsia="zh-CN"/>
        </w:rPr>
        <w:t>5.</w:t>
      </w:r>
      <w:r>
        <w:rPr>
          <w:rFonts w:hint="eastAsia" w:ascii="宋体" w:hAnsi="宋体"/>
          <w:b/>
          <w:color w:val="auto"/>
          <w:sz w:val="24"/>
          <w:szCs w:val="24"/>
        </w:rPr>
        <w:t>费用承担</w:t>
      </w:r>
    </w:p>
    <w:p w14:paraId="44A2B4C9">
      <w:pPr>
        <w:pStyle w:val="18"/>
        <w:keepNext w:val="0"/>
        <w:keepLines w:val="0"/>
        <w:pageBreakBefore w:val="0"/>
        <w:widowControl w:val="0"/>
        <w:kinsoku/>
        <w:wordWrap/>
        <w:overflowPunct/>
        <w:topLinePunct w:val="0"/>
        <w:bidi w:val="0"/>
        <w:ind w:firstLine="480" w:firstLineChars="200"/>
        <w:textAlignment w:val="auto"/>
        <w:rPr>
          <w:rFonts w:cs="Times New Roman"/>
          <w:color w:val="auto"/>
          <w:kern w:val="2"/>
          <w:sz w:val="24"/>
          <w:szCs w:val="24"/>
          <w:lang w:val="en-US" w:bidi="ar-SA"/>
        </w:rPr>
      </w:pPr>
      <w:r>
        <w:rPr>
          <w:rFonts w:hint="eastAsia" w:cs="Times New Roman"/>
          <w:color w:val="auto"/>
          <w:kern w:val="2"/>
          <w:sz w:val="24"/>
          <w:szCs w:val="24"/>
          <w:lang w:val="en-US" w:bidi="ar-SA"/>
        </w:rPr>
        <w:t>投标人准备和参加投标活动发生的费用自理。</w:t>
      </w:r>
    </w:p>
    <w:p w14:paraId="23C83E69">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auto"/>
          <w:sz w:val="24"/>
          <w:szCs w:val="24"/>
        </w:rPr>
      </w:pPr>
      <w:r>
        <w:rPr>
          <w:rFonts w:hint="eastAsia" w:ascii="宋体" w:hAnsi="宋体"/>
          <w:b/>
          <w:color w:val="auto"/>
          <w:sz w:val="24"/>
          <w:szCs w:val="24"/>
          <w:lang w:eastAsia="zh-CN"/>
        </w:rPr>
        <w:t>6.</w:t>
      </w:r>
      <w:r>
        <w:rPr>
          <w:rFonts w:hint="eastAsia" w:ascii="宋体" w:hAnsi="宋体"/>
          <w:b/>
          <w:color w:val="auto"/>
          <w:sz w:val="24"/>
          <w:szCs w:val="24"/>
        </w:rPr>
        <w:t>保密</w:t>
      </w:r>
    </w:p>
    <w:p w14:paraId="59A235B8">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auto"/>
          <w:sz w:val="24"/>
          <w:szCs w:val="21"/>
          <w:lang w:val="en-US"/>
        </w:rPr>
      </w:pPr>
      <w:r>
        <w:rPr>
          <w:rFonts w:hint="eastAsia" w:ascii="宋体" w:hAnsi="宋体"/>
          <w:color w:val="auto"/>
          <w:sz w:val="24"/>
          <w:szCs w:val="21"/>
          <w:lang w:val="en-US"/>
        </w:rPr>
        <w:t>参与政府采购活动的各方应对招标文件和投标文件中的商业和技术等秘密保密，否则应承担相应的法律责任。</w:t>
      </w:r>
    </w:p>
    <w:p w14:paraId="799B6C39">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auto"/>
          <w:sz w:val="24"/>
          <w:szCs w:val="24"/>
        </w:rPr>
      </w:pPr>
      <w:r>
        <w:rPr>
          <w:rFonts w:hint="eastAsia" w:ascii="宋体" w:hAnsi="宋体"/>
          <w:b/>
          <w:color w:val="auto"/>
          <w:sz w:val="24"/>
          <w:szCs w:val="24"/>
          <w:lang w:eastAsia="zh-CN"/>
        </w:rPr>
        <w:t>7.</w:t>
      </w:r>
      <w:r>
        <w:rPr>
          <w:rFonts w:hint="eastAsia" w:ascii="宋体" w:hAnsi="宋体"/>
          <w:b/>
          <w:color w:val="auto"/>
          <w:sz w:val="24"/>
          <w:szCs w:val="24"/>
        </w:rPr>
        <w:t>语言文字</w:t>
      </w:r>
    </w:p>
    <w:p w14:paraId="2EEB5EE1">
      <w:pPr>
        <w:pStyle w:val="18"/>
        <w:keepNext w:val="0"/>
        <w:keepLines w:val="0"/>
        <w:pageBreakBefore w:val="0"/>
        <w:widowControl w:val="0"/>
        <w:kinsoku/>
        <w:wordWrap/>
        <w:overflowPunct/>
        <w:topLinePunct w:val="0"/>
        <w:bidi w:val="0"/>
        <w:ind w:firstLine="480" w:firstLineChars="200"/>
        <w:textAlignment w:val="auto"/>
        <w:rPr>
          <w:rFonts w:cs="Times New Roman"/>
          <w:color w:val="auto"/>
          <w:kern w:val="2"/>
          <w:sz w:val="24"/>
          <w:szCs w:val="24"/>
          <w:lang w:val="en-US" w:bidi="ar-SA"/>
        </w:rPr>
      </w:pPr>
      <w:r>
        <w:rPr>
          <w:rFonts w:hint="eastAsia" w:cs="Times New Roman"/>
          <w:color w:val="auto"/>
          <w:kern w:val="2"/>
          <w:sz w:val="24"/>
          <w:szCs w:val="24"/>
          <w:lang w:val="en-US" w:bidi="ar-SA"/>
        </w:rPr>
        <w:t>招标文件和投标文件使用的语言文字为中文。专业术语使用外文的，应附有中文注释。</w:t>
      </w:r>
    </w:p>
    <w:p w14:paraId="75BB47C4">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auto"/>
          <w:sz w:val="24"/>
          <w:szCs w:val="24"/>
        </w:rPr>
      </w:pPr>
      <w:r>
        <w:rPr>
          <w:rFonts w:hint="eastAsia" w:ascii="宋体" w:hAnsi="宋体"/>
          <w:b/>
          <w:color w:val="auto"/>
          <w:sz w:val="24"/>
          <w:szCs w:val="24"/>
          <w:lang w:eastAsia="zh-CN"/>
        </w:rPr>
        <w:t>8.</w:t>
      </w:r>
      <w:r>
        <w:rPr>
          <w:rFonts w:hint="eastAsia" w:ascii="宋体" w:hAnsi="宋体"/>
          <w:b/>
          <w:color w:val="auto"/>
          <w:sz w:val="24"/>
          <w:szCs w:val="24"/>
        </w:rPr>
        <w:t>计量单位</w:t>
      </w:r>
    </w:p>
    <w:p w14:paraId="0B39C00B">
      <w:pPr>
        <w:keepNext w:val="0"/>
        <w:keepLines w:val="0"/>
        <w:pageBreakBefore w:val="0"/>
        <w:widowControl w:val="0"/>
        <w:kinsoku/>
        <w:wordWrap/>
        <w:overflowPunct/>
        <w:topLinePunct w:val="0"/>
        <w:autoSpaceDE w:val="0"/>
        <w:autoSpaceDN w:val="0"/>
        <w:bidi w:val="0"/>
        <w:adjustRightInd w:val="0"/>
        <w:spacing w:line="360" w:lineRule="auto"/>
        <w:ind w:firstLine="480" w:firstLineChars="200"/>
        <w:textAlignment w:val="auto"/>
        <w:rPr>
          <w:rFonts w:hint="eastAsia" w:ascii="宋体" w:hAnsi="宋体"/>
          <w:color w:val="auto"/>
          <w:sz w:val="24"/>
          <w:szCs w:val="21"/>
          <w:lang w:val="en-US"/>
        </w:rPr>
      </w:pPr>
      <w:r>
        <w:rPr>
          <w:rFonts w:hint="eastAsia" w:ascii="宋体" w:hAnsi="宋体"/>
          <w:color w:val="auto"/>
          <w:sz w:val="24"/>
          <w:szCs w:val="21"/>
          <w:lang w:val="en-US"/>
        </w:rPr>
        <w:t>所有计量均采用中华人民共和国法定计量单位。</w:t>
      </w:r>
    </w:p>
    <w:p w14:paraId="725884FE">
      <w:pPr>
        <w:keepNext w:val="0"/>
        <w:keepLines w:val="0"/>
        <w:pageBreakBefore w:val="0"/>
        <w:widowControl w:val="0"/>
        <w:kinsoku/>
        <w:wordWrap/>
        <w:overflowPunct/>
        <w:topLinePunct w:val="0"/>
        <w:bidi w:val="0"/>
        <w:spacing w:line="360" w:lineRule="auto"/>
        <w:ind w:firstLine="482" w:firstLineChars="200"/>
        <w:textAlignment w:val="auto"/>
        <w:rPr>
          <w:rFonts w:ascii="宋体" w:hAnsi="宋体"/>
          <w:b/>
          <w:color w:val="auto"/>
          <w:sz w:val="24"/>
          <w:szCs w:val="24"/>
        </w:rPr>
      </w:pPr>
      <w:r>
        <w:rPr>
          <w:rFonts w:hint="eastAsia" w:ascii="宋体" w:hAnsi="宋体"/>
          <w:b/>
          <w:color w:val="auto"/>
          <w:sz w:val="24"/>
          <w:szCs w:val="24"/>
          <w:lang w:eastAsia="zh-CN"/>
        </w:rPr>
        <w:t>9.</w:t>
      </w:r>
      <w:r>
        <w:rPr>
          <w:rFonts w:hint="eastAsia" w:ascii="宋体" w:hAnsi="宋体"/>
          <w:b/>
          <w:color w:val="auto"/>
          <w:sz w:val="24"/>
          <w:szCs w:val="24"/>
        </w:rPr>
        <w:t>响应和偏差</w:t>
      </w:r>
    </w:p>
    <w:p w14:paraId="3CE98CD7">
      <w:pPr>
        <w:pStyle w:val="18"/>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9.1投标文件应对招标文件的实质性要求和条件作出满足性或更有利于采购人的响应，否则投标人的投标按无效处理。</w:t>
      </w:r>
    </w:p>
    <w:p w14:paraId="2A4B4843">
      <w:pPr>
        <w:pStyle w:val="18"/>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9.2投标人应根据招标文件的要求提供详细的技术支持资料、服务计划等内容对招标文件作出响应。</w:t>
      </w:r>
    </w:p>
    <w:p w14:paraId="231C4A9A">
      <w:pPr>
        <w:pStyle w:val="18"/>
        <w:keepNext w:val="0"/>
        <w:keepLines w:val="0"/>
        <w:pageBreakBefore w:val="0"/>
        <w:widowControl w:val="0"/>
        <w:kinsoku/>
        <w:wordWrap/>
        <w:overflowPunct/>
        <w:topLinePunct w:val="0"/>
        <w:bidi w:val="0"/>
        <w:spacing w:line="360" w:lineRule="auto"/>
        <w:ind w:firstLine="480" w:firstLineChars="200"/>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9.3投标文件对招标文件的全部偏差，均应在投标文件的商务和技术偏差表中列明，除列明的内容外，视为投标人响应招标文件的全部要求。</w:t>
      </w:r>
    </w:p>
    <w:bookmarkEnd w:id="24"/>
    <w:p w14:paraId="03988E51">
      <w:pPr>
        <w:pStyle w:val="3"/>
        <w:spacing w:before="0" w:after="0" w:line="415" w:lineRule="auto"/>
        <w:jc w:val="center"/>
        <w:rPr>
          <w:color w:val="auto"/>
        </w:rPr>
      </w:pPr>
      <w:bookmarkStart w:id="25" w:name="_Toc23258607"/>
      <w:bookmarkStart w:id="26" w:name="_Toc26541324"/>
      <w:r>
        <w:rPr>
          <w:rFonts w:hint="eastAsia"/>
          <w:color w:val="auto"/>
        </w:rPr>
        <w:t>二、招标文件</w:t>
      </w:r>
      <w:bookmarkEnd w:id="25"/>
      <w:bookmarkEnd w:id="26"/>
    </w:p>
    <w:p w14:paraId="0DB82B8E">
      <w:pPr>
        <w:spacing w:line="360" w:lineRule="auto"/>
        <w:ind w:firstLine="482" w:firstLineChars="200"/>
        <w:rPr>
          <w:rFonts w:ascii="宋体" w:hAnsi="宋体"/>
          <w:b/>
          <w:color w:val="auto"/>
          <w:sz w:val="24"/>
          <w:szCs w:val="24"/>
        </w:rPr>
      </w:pPr>
      <w:bookmarkStart w:id="27" w:name="_Toc311415577"/>
      <w:r>
        <w:rPr>
          <w:rFonts w:hint="eastAsia" w:ascii="宋体" w:hAnsi="宋体"/>
          <w:b/>
          <w:color w:val="auto"/>
          <w:sz w:val="24"/>
          <w:szCs w:val="24"/>
          <w:lang w:eastAsia="zh-CN"/>
        </w:rPr>
        <w:t>10.</w:t>
      </w:r>
      <w:r>
        <w:rPr>
          <w:rFonts w:hint="eastAsia" w:ascii="宋体" w:hAnsi="宋体"/>
          <w:b/>
          <w:color w:val="auto"/>
          <w:sz w:val="24"/>
          <w:szCs w:val="24"/>
        </w:rPr>
        <w:t>招标文件的构成</w:t>
      </w:r>
      <w:bookmarkEnd w:id="27"/>
    </w:p>
    <w:p w14:paraId="3E48548E">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10.1招标文件用以阐明所需提供的货物及服务、采购、投标程序和合同条件。招标文件包括：</w:t>
      </w:r>
    </w:p>
    <w:p w14:paraId="66B03C3B">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（1）招标公告</w:t>
      </w:r>
    </w:p>
    <w:p w14:paraId="6475A36F">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（2）投标人须知前附表</w:t>
      </w:r>
    </w:p>
    <w:p w14:paraId="59197CC4">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（3）投标人须知</w:t>
      </w:r>
    </w:p>
    <w:p w14:paraId="7595F1E1">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（4）采购内容及要求</w:t>
      </w:r>
    </w:p>
    <w:p w14:paraId="3D16F24B">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（5）合同文本</w:t>
      </w:r>
    </w:p>
    <w:p w14:paraId="6350D5A5">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（6）投标文件格式</w:t>
      </w:r>
    </w:p>
    <w:p w14:paraId="6E0E1E0B">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10.2投标人应认真阅读招标文件中所有的事项、格式、条款和规范等要求。如果投标人没有按照招标文件要求提交全部资料，或者投标文件没有对招标文件在各方面都作出实质性响应，由此带来的不利于投标人的评标结果，其风险由投标人承担。</w:t>
      </w:r>
    </w:p>
    <w:p w14:paraId="469F7FE7">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10.3招标文件的获取：招标采购公告发布后，有意向的投标人应从采购代理机构获取招标文件，仅作为本次招标使用。</w:t>
      </w:r>
    </w:p>
    <w:p w14:paraId="0EF47245">
      <w:pPr>
        <w:keepNext w:val="0"/>
        <w:keepLines w:val="0"/>
        <w:pageBreakBefore w:val="0"/>
        <w:widowControl w:val="0"/>
        <w:kinsoku/>
        <w:wordWrap/>
        <w:overflowPunct/>
        <w:topLinePunct w:val="0"/>
        <w:bidi w:val="0"/>
        <w:snapToGrid w:val="0"/>
        <w:spacing w:line="440" w:lineRule="exact"/>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10.4本招标文件的解释权归安康尚昊招标代理有限公司。</w:t>
      </w:r>
    </w:p>
    <w:p w14:paraId="5B1F571A">
      <w:pPr>
        <w:spacing w:line="360" w:lineRule="auto"/>
        <w:ind w:firstLine="482" w:firstLineChars="200"/>
        <w:rPr>
          <w:rFonts w:ascii="宋体" w:hAnsi="宋体"/>
          <w:b/>
          <w:color w:val="auto"/>
          <w:sz w:val="24"/>
          <w:szCs w:val="24"/>
        </w:rPr>
      </w:pPr>
      <w:bookmarkStart w:id="28" w:name="_Toc311415578"/>
      <w:r>
        <w:rPr>
          <w:rFonts w:ascii="宋体" w:hAnsi="宋体"/>
          <w:b/>
          <w:color w:val="auto"/>
          <w:sz w:val="24"/>
          <w:szCs w:val="24"/>
        </w:rPr>
        <w:t>1</w:t>
      </w:r>
      <w:r>
        <w:rPr>
          <w:rFonts w:hint="eastAsia" w:ascii="宋体" w:hAnsi="宋体"/>
          <w:b/>
          <w:color w:val="auto"/>
          <w:sz w:val="24"/>
          <w:szCs w:val="24"/>
          <w:lang w:eastAsia="zh-CN"/>
        </w:rPr>
        <w:t>1.</w:t>
      </w:r>
      <w:r>
        <w:rPr>
          <w:rFonts w:hint="eastAsia" w:ascii="宋体" w:hAnsi="宋体"/>
          <w:b/>
          <w:color w:val="auto"/>
          <w:sz w:val="24"/>
          <w:szCs w:val="24"/>
        </w:rPr>
        <w:t>招标文件的澄清</w:t>
      </w:r>
      <w:bookmarkEnd w:id="28"/>
    </w:p>
    <w:p w14:paraId="384B8460">
      <w:pPr>
        <w:spacing w:line="500" w:lineRule="exact"/>
        <w:ind w:firstLine="480" w:firstLineChars="200"/>
        <w:rPr>
          <w:rFonts w:ascii="宋体" w:hAnsi="宋体"/>
          <w:color w:val="auto"/>
          <w:sz w:val="24"/>
          <w:szCs w:val="24"/>
        </w:rPr>
      </w:pPr>
      <w:r>
        <w:rPr>
          <w:rFonts w:ascii="宋体" w:hAnsi="宋体"/>
          <w:color w:val="auto"/>
          <w:sz w:val="24"/>
          <w:szCs w:val="24"/>
        </w:rPr>
        <w:t>11.1</w:t>
      </w:r>
      <w:r>
        <w:rPr>
          <w:rFonts w:hint="eastAsia" w:ascii="宋体" w:hAnsi="宋体"/>
          <w:color w:val="auto"/>
          <w:sz w:val="24"/>
          <w:szCs w:val="24"/>
        </w:rPr>
        <w:t>任何要求对招标文件澄清的投标人，应在本项目招标文件公告期限届满之日起七个工作日内，以书面形式通知采购代理机构。采购代理机构将视情况确定采用适当方式予以澄清或以书面形式予以答复，涉及变更或修正内容在政府采购发布媒体上发布变更公告。在此之后提出的询问或者质疑均为无效，采购代理机构不予受理。</w:t>
      </w:r>
    </w:p>
    <w:p w14:paraId="688DBBDD">
      <w:pPr>
        <w:spacing w:line="500" w:lineRule="exact"/>
        <w:ind w:firstLine="480" w:firstLineChars="200"/>
        <w:rPr>
          <w:rFonts w:ascii="宋体" w:hAnsi="宋体"/>
          <w:color w:val="auto"/>
          <w:sz w:val="24"/>
          <w:szCs w:val="24"/>
        </w:rPr>
      </w:pPr>
      <w:r>
        <w:rPr>
          <w:rFonts w:ascii="宋体" w:hAnsi="宋体"/>
          <w:color w:val="auto"/>
          <w:sz w:val="24"/>
          <w:szCs w:val="24"/>
        </w:rPr>
        <w:t>11.2</w:t>
      </w:r>
      <w:r>
        <w:rPr>
          <w:rFonts w:hint="eastAsia" w:ascii="宋体" w:hAnsi="宋体"/>
          <w:color w:val="auto"/>
          <w:sz w:val="24"/>
          <w:szCs w:val="24"/>
        </w:rPr>
        <w:t>对于在规定时间内收到的投标人依法提出的询问或者质疑，</w:t>
      </w:r>
      <w:r>
        <w:rPr>
          <w:rFonts w:ascii="宋体" w:hAnsi="宋体"/>
          <w:color w:val="auto"/>
          <w:sz w:val="24"/>
          <w:szCs w:val="24"/>
        </w:rPr>
        <w:t>采购代理机构将</w:t>
      </w:r>
      <w:r>
        <w:rPr>
          <w:rFonts w:hint="eastAsia" w:ascii="宋体" w:hAnsi="宋体"/>
          <w:color w:val="auto"/>
          <w:sz w:val="24"/>
          <w:szCs w:val="24"/>
        </w:rPr>
        <w:t>按程序及时</w:t>
      </w:r>
      <w:r>
        <w:rPr>
          <w:rFonts w:hint="eastAsia" w:ascii="宋体" w:hAnsi="宋体"/>
          <w:color w:val="auto"/>
          <w:sz w:val="24"/>
          <w:szCs w:val="24"/>
          <w:lang w:eastAsia="zh-CN"/>
        </w:rPr>
        <w:t>作出</w:t>
      </w:r>
      <w:r>
        <w:rPr>
          <w:rFonts w:hint="eastAsia" w:ascii="宋体" w:hAnsi="宋体"/>
          <w:color w:val="auto"/>
          <w:sz w:val="24"/>
          <w:szCs w:val="24"/>
        </w:rPr>
        <w:t>答复，若对招标文件做出实质性变动，则按照相关规定延长投标截止时间。</w:t>
      </w:r>
    </w:p>
    <w:p w14:paraId="4D86E492">
      <w:pPr>
        <w:spacing w:line="500" w:lineRule="exact"/>
        <w:ind w:firstLine="480" w:firstLineChars="200"/>
        <w:rPr>
          <w:rFonts w:ascii="宋体" w:hAnsi="宋体"/>
          <w:color w:val="auto"/>
          <w:sz w:val="24"/>
          <w:szCs w:val="24"/>
        </w:rPr>
      </w:pPr>
      <w:r>
        <w:rPr>
          <w:rFonts w:ascii="宋体" w:hAnsi="宋体"/>
          <w:color w:val="auto"/>
          <w:sz w:val="24"/>
          <w:szCs w:val="24"/>
        </w:rPr>
        <w:t>11.3</w:t>
      </w:r>
      <w:r>
        <w:rPr>
          <w:rFonts w:hint="eastAsia" w:ascii="宋体" w:hAnsi="宋体"/>
          <w:color w:val="auto"/>
          <w:sz w:val="24"/>
          <w:szCs w:val="24"/>
        </w:rPr>
        <w:t>投标人提出质疑应当有明确的请求和必要的证明材料。</w:t>
      </w:r>
    </w:p>
    <w:p w14:paraId="4A8A70EB">
      <w:pPr>
        <w:spacing w:line="360" w:lineRule="auto"/>
        <w:ind w:firstLine="482" w:firstLineChars="200"/>
        <w:rPr>
          <w:rFonts w:ascii="宋体" w:hAnsi="宋体"/>
          <w:b/>
          <w:color w:val="auto"/>
          <w:sz w:val="24"/>
          <w:szCs w:val="24"/>
        </w:rPr>
      </w:pPr>
      <w:bookmarkStart w:id="29" w:name="_Toc311415579"/>
      <w:r>
        <w:rPr>
          <w:rFonts w:ascii="宋体" w:hAnsi="宋体"/>
          <w:b/>
          <w:color w:val="auto"/>
          <w:sz w:val="24"/>
          <w:szCs w:val="24"/>
        </w:rPr>
        <w:t>1</w:t>
      </w:r>
      <w:r>
        <w:rPr>
          <w:rFonts w:hint="eastAsia" w:ascii="宋体" w:hAnsi="宋体"/>
          <w:b/>
          <w:color w:val="auto"/>
          <w:sz w:val="24"/>
          <w:szCs w:val="24"/>
          <w:lang w:eastAsia="zh-CN"/>
        </w:rPr>
        <w:t>2.</w:t>
      </w:r>
      <w:r>
        <w:rPr>
          <w:rFonts w:hint="eastAsia" w:ascii="宋体" w:hAnsi="宋体"/>
          <w:b/>
          <w:color w:val="auto"/>
          <w:sz w:val="24"/>
          <w:szCs w:val="24"/>
        </w:rPr>
        <w:t>招标文件的修改</w:t>
      </w:r>
      <w:bookmarkEnd w:id="29"/>
    </w:p>
    <w:p w14:paraId="12F3B7DC">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12.1招标采购单位如果对已发出的招标文件进行</w:t>
      </w:r>
      <w:r>
        <w:rPr>
          <w:rFonts w:hint="eastAsia" w:ascii="宋体" w:hAnsi="宋体"/>
          <w:color w:val="auto"/>
          <w:sz w:val="24"/>
          <w:szCs w:val="24"/>
        </w:rPr>
        <w:t>必要的澄清或者</w:t>
      </w:r>
      <w:r>
        <w:rPr>
          <w:rFonts w:ascii="宋体" w:hAnsi="宋体"/>
          <w:color w:val="auto"/>
          <w:sz w:val="24"/>
          <w:szCs w:val="24"/>
        </w:rPr>
        <w:t>修改，将在招标文件要求提交投标文件截止时间</w:t>
      </w:r>
      <w:r>
        <w:rPr>
          <w:rFonts w:hint="eastAsia" w:ascii="宋体" w:hAnsi="宋体"/>
          <w:color w:val="auto"/>
          <w:sz w:val="24"/>
          <w:szCs w:val="24"/>
        </w:rPr>
        <w:t>15</w:t>
      </w:r>
      <w:r>
        <w:rPr>
          <w:rFonts w:ascii="宋体" w:hAnsi="宋体"/>
          <w:color w:val="auto"/>
          <w:sz w:val="24"/>
          <w:szCs w:val="24"/>
        </w:rPr>
        <w:t>日前，</w:t>
      </w:r>
      <w:r>
        <w:rPr>
          <w:rFonts w:hint="eastAsia" w:ascii="宋体" w:hAnsi="宋体"/>
          <w:color w:val="auto"/>
          <w:sz w:val="24"/>
          <w:szCs w:val="24"/>
        </w:rPr>
        <w:t>不足15日的，顺延提交投标文件的截止时间，</w:t>
      </w:r>
      <w:r>
        <w:rPr>
          <w:rFonts w:ascii="宋体" w:hAnsi="宋体"/>
          <w:color w:val="auto"/>
          <w:sz w:val="24"/>
          <w:szCs w:val="24"/>
        </w:rPr>
        <w:t>在发布招标公告的财政部门指定媒体上</w:t>
      </w:r>
      <w:r>
        <w:rPr>
          <w:rFonts w:hint="eastAsia" w:ascii="宋体" w:hAnsi="宋体"/>
          <w:color w:val="auto"/>
          <w:sz w:val="24"/>
          <w:szCs w:val="24"/>
        </w:rPr>
        <w:t>由采购代理机构</w:t>
      </w:r>
      <w:r>
        <w:rPr>
          <w:rFonts w:ascii="宋体" w:hAnsi="宋体"/>
          <w:color w:val="auto"/>
          <w:sz w:val="24"/>
          <w:szCs w:val="24"/>
        </w:rPr>
        <w:t>发布变更公告，并以书面形式通知所有</w:t>
      </w:r>
      <w:r>
        <w:rPr>
          <w:rFonts w:hint="eastAsia" w:ascii="宋体" w:hAnsi="宋体"/>
          <w:color w:val="auto"/>
          <w:sz w:val="24"/>
          <w:szCs w:val="24"/>
        </w:rPr>
        <w:t>获取</w:t>
      </w:r>
      <w:r>
        <w:rPr>
          <w:rFonts w:ascii="宋体" w:hAnsi="宋体"/>
          <w:color w:val="auto"/>
          <w:sz w:val="24"/>
          <w:szCs w:val="24"/>
        </w:rPr>
        <w:t>招标文件的单位。该澄清或者修改的内容为招标文件的组成部分。</w:t>
      </w:r>
    </w:p>
    <w:p w14:paraId="68C031C5">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12.2</w:t>
      </w:r>
      <w:r>
        <w:rPr>
          <w:rFonts w:hint="eastAsia" w:ascii="宋体" w:hAnsi="宋体"/>
          <w:color w:val="auto"/>
          <w:sz w:val="24"/>
          <w:szCs w:val="24"/>
        </w:rPr>
        <w:t>招标文件的修改书将构成招标文件的一部分，对采购人和投标人都具有约束力。</w:t>
      </w:r>
    </w:p>
    <w:p w14:paraId="022C4FA5">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12.3采购代理机构可以视采购具体情况，延长投标截止时间和开标时间。延长投标截止时间和开标时间将在财政部门指定的媒体上发布变更公告，同时将变更时间书面通知所有</w:t>
      </w:r>
      <w:r>
        <w:rPr>
          <w:rFonts w:hint="eastAsia" w:ascii="宋体" w:hAnsi="宋体"/>
          <w:color w:val="auto"/>
          <w:sz w:val="24"/>
          <w:szCs w:val="24"/>
        </w:rPr>
        <w:t>获取</w:t>
      </w:r>
      <w:r>
        <w:rPr>
          <w:rFonts w:ascii="宋体" w:hAnsi="宋体"/>
          <w:color w:val="auto"/>
          <w:sz w:val="24"/>
          <w:szCs w:val="24"/>
        </w:rPr>
        <w:t>招标文件的单位。</w:t>
      </w:r>
    </w:p>
    <w:p w14:paraId="44AC556D">
      <w:pPr>
        <w:pStyle w:val="3"/>
        <w:spacing w:before="0" w:after="0" w:line="480" w:lineRule="exact"/>
        <w:jc w:val="center"/>
        <w:rPr>
          <w:color w:val="auto"/>
        </w:rPr>
      </w:pPr>
      <w:bookmarkStart w:id="30" w:name="_Toc23258608"/>
      <w:bookmarkStart w:id="31" w:name="_Toc26541325"/>
      <w:r>
        <w:rPr>
          <w:rFonts w:hint="eastAsia"/>
          <w:color w:val="auto"/>
        </w:rPr>
        <w:t>三、投标文件</w:t>
      </w:r>
      <w:bookmarkEnd w:id="30"/>
      <w:bookmarkEnd w:id="31"/>
    </w:p>
    <w:p w14:paraId="33B79466">
      <w:pPr>
        <w:spacing w:line="360" w:lineRule="auto"/>
        <w:ind w:firstLine="482" w:firstLineChars="200"/>
        <w:rPr>
          <w:rFonts w:ascii="宋体" w:hAnsi="宋体"/>
          <w:b/>
          <w:color w:val="auto"/>
          <w:sz w:val="24"/>
          <w:szCs w:val="24"/>
        </w:rPr>
      </w:pPr>
      <w:bookmarkStart w:id="32" w:name="_Toc311415581"/>
      <w:r>
        <w:rPr>
          <w:rFonts w:ascii="宋体" w:hAnsi="宋体"/>
          <w:b/>
          <w:color w:val="auto"/>
          <w:sz w:val="24"/>
          <w:szCs w:val="24"/>
        </w:rPr>
        <w:t>1</w:t>
      </w:r>
      <w:r>
        <w:rPr>
          <w:rFonts w:hint="eastAsia" w:ascii="宋体" w:hAnsi="宋体"/>
          <w:b/>
          <w:color w:val="auto"/>
          <w:sz w:val="24"/>
          <w:szCs w:val="24"/>
          <w:lang w:eastAsia="zh-CN"/>
        </w:rPr>
        <w:t>3.</w:t>
      </w:r>
      <w:r>
        <w:rPr>
          <w:rFonts w:hint="eastAsia" w:ascii="宋体" w:hAnsi="宋体"/>
          <w:b/>
          <w:color w:val="auto"/>
          <w:sz w:val="24"/>
          <w:szCs w:val="24"/>
        </w:rPr>
        <w:t>投标文件编制的原则</w:t>
      </w:r>
      <w:bookmarkEnd w:id="32"/>
    </w:p>
    <w:p w14:paraId="7B1399A2">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13.1</w:t>
      </w:r>
      <w:r>
        <w:rPr>
          <w:rFonts w:hint="eastAsia" w:ascii="宋体" w:hAnsi="宋体"/>
          <w:color w:val="auto"/>
          <w:sz w:val="24"/>
          <w:szCs w:val="24"/>
        </w:rPr>
        <w:t>投标人应在认真阅读招标文件所有内容的基础上，按照招标文件的要求编制完整的投标文件。招标文件中对投标文件格式有要求的，应按格式编制并逐项填写内容，不准有空项；无相应内容可填的项应填写“无</w:t>
      </w:r>
      <w:r>
        <w:rPr>
          <w:rFonts w:hint="eastAsia" w:ascii="宋体" w:hAnsi="宋体"/>
          <w:color w:val="auto"/>
          <w:sz w:val="24"/>
          <w:szCs w:val="24"/>
          <w:lang w:eastAsia="zh-CN"/>
        </w:rPr>
        <w:t>”“</w:t>
      </w:r>
      <w:r>
        <w:rPr>
          <w:rFonts w:hint="eastAsia" w:ascii="宋体" w:hAnsi="宋体"/>
          <w:color w:val="auto"/>
          <w:sz w:val="24"/>
          <w:szCs w:val="24"/>
        </w:rPr>
        <w:t xml:space="preserve">没有相应指标”等明确的回答文字。投标文件中留有空项的或没有按格式制作的，将被视为不完整响应的投标文件，其投标将有可能被拒绝。 </w:t>
      </w:r>
    </w:p>
    <w:p w14:paraId="71A3EDF7">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13.2</w:t>
      </w:r>
      <w:r>
        <w:rPr>
          <w:rFonts w:hint="eastAsia" w:ascii="宋体" w:hAnsi="宋体"/>
          <w:color w:val="auto"/>
          <w:sz w:val="24"/>
          <w:szCs w:val="24"/>
        </w:rPr>
        <w:t>投标人必须保证投标文件所提供的全部资料真实可靠，并接受对其中任何资料进一步审查的要求。</w:t>
      </w:r>
    </w:p>
    <w:p w14:paraId="641A07F0">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13.3</w:t>
      </w:r>
      <w:r>
        <w:rPr>
          <w:rFonts w:hint="eastAsia" w:ascii="宋体" w:hAnsi="宋体"/>
          <w:color w:val="auto"/>
          <w:sz w:val="24"/>
          <w:szCs w:val="24"/>
        </w:rPr>
        <w:t>投标文件须对招标文件中的内容做出实质性和完整性的响应，否则其投标将被视为无效投标。</w:t>
      </w:r>
    </w:p>
    <w:p w14:paraId="147C6C81">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13.4</w:t>
      </w:r>
      <w:r>
        <w:rPr>
          <w:rFonts w:hint="eastAsia" w:ascii="宋体" w:hAnsi="宋体" w:cs="宋体"/>
          <w:color w:val="auto"/>
          <w:sz w:val="24"/>
          <w:szCs w:val="28"/>
        </w:rPr>
        <w:t>供应商应保证在本项目使用的任何产品和服务（包括部分使用）时，不会产生因第三方提出侵犯其专利权、商标权或其它知识产权而引起的法律和经济纠纷，如因专</w:t>
      </w:r>
      <w:r>
        <w:rPr>
          <w:rFonts w:hint="eastAsia" w:ascii="宋体" w:hAnsi="宋体"/>
          <w:color w:val="auto"/>
          <w:sz w:val="24"/>
          <w:szCs w:val="24"/>
        </w:rPr>
        <w:t>利权、商标权</w:t>
      </w:r>
      <w:r>
        <w:rPr>
          <w:rFonts w:hint="eastAsia" w:ascii="宋体" w:hAnsi="宋体"/>
          <w:color w:val="auto"/>
          <w:sz w:val="24"/>
          <w:szCs w:val="24"/>
          <w:lang w:eastAsia="zh-CN"/>
        </w:rPr>
        <w:t>或其他</w:t>
      </w:r>
      <w:r>
        <w:rPr>
          <w:rFonts w:hint="eastAsia" w:ascii="宋体" w:hAnsi="宋体"/>
          <w:color w:val="auto"/>
          <w:sz w:val="24"/>
          <w:szCs w:val="24"/>
        </w:rPr>
        <w:t>知识产权而引起法律纠纷和经济纠纷，由供应商承担所有相关责任。</w:t>
      </w:r>
    </w:p>
    <w:p w14:paraId="06D06FC0">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13.5采购人享有本项目在实施过程中产生的知识成果及知识产权。</w:t>
      </w:r>
    </w:p>
    <w:p w14:paraId="050DB848">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13.6供应商如欲在项目实施过程中采用自有知识成果，需在</w:t>
      </w:r>
      <w:r>
        <w:rPr>
          <w:rFonts w:hint="eastAsia" w:ascii="宋体" w:hAnsi="宋体"/>
          <w:color w:val="auto"/>
          <w:sz w:val="24"/>
          <w:szCs w:val="24"/>
          <w:lang w:eastAsia="zh-CN"/>
        </w:rPr>
        <w:t>投标文件</w:t>
      </w:r>
      <w:r>
        <w:rPr>
          <w:rFonts w:hint="eastAsia" w:ascii="宋体" w:hAnsi="宋体"/>
          <w:color w:val="auto"/>
          <w:sz w:val="24"/>
          <w:szCs w:val="24"/>
        </w:rPr>
        <w:t>中声明，并提供相关知识产权证明文件。使用该知识成果后，供应商须提供开发接口和开发手册等技术文档，并承诺提供无限期技术支持，采购人享有永久使用权。</w:t>
      </w:r>
    </w:p>
    <w:p w14:paraId="2C537A56">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13.7 如供应商所不拥有的知识产权，则在投标报价中必须包括合法获取该知识产权的相关费用。</w:t>
      </w:r>
    </w:p>
    <w:p w14:paraId="74508C17">
      <w:pPr>
        <w:overflowPunct w:val="0"/>
        <w:adjustRightInd w:val="0"/>
        <w:snapToGrid w:val="0"/>
        <w:spacing w:line="360" w:lineRule="auto"/>
        <w:ind w:firstLine="482" w:firstLineChars="200"/>
        <w:rPr>
          <w:rFonts w:hint="eastAsia" w:ascii="宋体" w:hAnsi="宋体"/>
          <w:color w:val="auto"/>
          <w:sz w:val="24"/>
          <w:szCs w:val="24"/>
        </w:rPr>
      </w:pPr>
      <w:r>
        <w:rPr>
          <w:rFonts w:hint="eastAsia" w:ascii="宋体" w:hAnsi="宋体"/>
          <w:b/>
          <w:bCs/>
          <w:color w:val="auto"/>
          <w:sz w:val="24"/>
          <w:szCs w:val="24"/>
        </w:rPr>
        <w:t>1</w:t>
      </w:r>
      <w:r>
        <w:rPr>
          <w:rFonts w:hint="eastAsia" w:ascii="宋体" w:hAnsi="宋体"/>
          <w:b/>
          <w:bCs/>
          <w:color w:val="auto"/>
          <w:sz w:val="24"/>
          <w:szCs w:val="24"/>
          <w:lang w:eastAsia="zh-CN"/>
        </w:rPr>
        <w:t>4.</w:t>
      </w:r>
      <w:r>
        <w:rPr>
          <w:rFonts w:hint="eastAsia" w:ascii="宋体" w:hAnsi="宋体"/>
          <w:b/>
          <w:bCs/>
          <w:color w:val="auto"/>
          <w:sz w:val="24"/>
          <w:szCs w:val="24"/>
        </w:rPr>
        <w:t>投标文件构成和格式</w:t>
      </w:r>
    </w:p>
    <w:p w14:paraId="33FA893B">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14.1文件的制作和签名</w:t>
      </w:r>
    </w:p>
    <w:p w14:paraId="0B0A3215">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14.1.1为确保采购项目顺利开展，本项目采用电子</w:t>
      </w:r>
      <w:bookmarkStart w:id="33" w:name="_Hlk34128658"/>
      <w:r>
        <w:rPr>
          <w:rFonts w:hint="eastAsia" w:ascii="宋体" w:hAnsi="宋体"/>
          <w:color w:val="auto"/>
          <w:sz w:val="24"/>
          <w:szCs w:val="24"/>
        </w:rPr>
        <w:t>投标文件</w:t>
      </w:r>
      <w:bookmarkEnd w:id="33"/>
      <w:r>
        <w:rPr>
          <w:rFonts w:hint="eastAsia" w:ascii="宋体" w:hAnsi="宋体"/>
          <w:color w:val="auto"/>
          <w:sz w:val="24"/>
          <w:szCs w:val="24"/>
        </w:rPr>
        <w:t>。投标人在投标前须提供电子投标文件。</w:t>
      </w:r>
    </w:p>
    <w:p w14:paraId="73961F9B">
      <w:pPr>
        <w:overflowPunct w:val="0"/>
        <w:adjustRightInd w:val="0"/>
        <w:snapToGrid w:val="0"/>
        <w:spacing w:line="360" w:lineRule="auto"/>
        <w:ind w:firstLine="480" w:firstLineChars="200"/>
        <w:rPr>
          <w:rFonts w:ascii="宋体" w:hAnsi="宋体"/>
          <w:color w:val="auto"/>
          <w:sz w:val="24"/>
        </w:rPr>
      </w:pPr>
      <w:r>
        <w:rPr>
          <w:rFonts w:hint="eastAsia" w:ascii="宋体" w:hAnsi="宋体"/>
          <w:color w:val="auto"/>
          <w:sz w:val="24"/>
          <w:szCs w:val="24"/>
        </w:rPr>
        <w:t>14.1.2编制电子投标文件时，应使用最新发布的电子招标文件及专用制作工具进行编制。并使用数字认证证书（CA）对电子投标文件进行签署、加密、递交及开标时解密等相关操作。投标文件中需要加盖法定代表人私章的地方，请使用“法人CA”进行签章；需要加盖供应商公章的地方，请使用“企业 CA”进行盖章。</w:t>
      </w:r>
      <w:r>
        <w:rPr>
          <w:rFonts w:hint="eastAsia" w:ascii="宋体" w:hAnsi="宋体"/>
          <w:color w:val="auto"/>
          <w:sz w:val="24"/>
        </w:rPr>
        <w:t>加密和解密应当使用同一 CA，否则将会导致解密失败。因供应商自身原因未使用最新发布的电子招标文件及专用制作工具进行编制，导致电子文件上传失败，由供应商自行承担全部责任。</w:t>
      </w:r>
    </w:p>
    <w:p w14:paraId="51203E3A">
      <w:pPr>
        <w:snapToGrid w:val="0"/>
        <w:spacing w:line="440" w:lineRule="exact"/>
        <w:ind w:firstLine="480" w:firstLineChars="200"/>
        <w:rPr>
          <w:rFonts w:ascii="宋体" w:hAnsi="宋体" w:cs="宋体"/>
          <w:color w:val="auto"/>
          <w:kern w:val="0"/>
          <w:sz w:val="24"/>
          <w:szCs w:val="24"/>
        </w:rPr>
      </w:pPr>
      <w:r>
        <w:rPr>
          <w:rFonts w:ascii="宋体" w:hAnsi="宋体" w:cs="宋体"/>
          <w:color w:val="auto"/>
          <w:kern w:val="0"/>
          <w:sz w:val="24"/>
          <w:szCs w:val="24"/>
        </w:rPr>
        <w:t>14.</w:t>
      </w:r>
      <w:r>
        <w:rPr>
          <w:rFonts w:hint="eastAsia" w:ascii="宋体" w:hAnsi="宋体" w:cs="宋体"/>
          <w:color w:val="auto"/>
          <w:kern w:val="0"/>
          <w:sz w:val="24"/>
          <w:szCs w:val="24"/>
        </w:rPr>
        <w:t>2投标人应按照本须知第</w:t>
      </w:r>
      <w:r>
        <w:rPr>
          <w:rFonts w:ascii="宋体" w:hAnsi="宋体" w:cs="宋体"/>
          <w:color w:val="auto"/>
          <w:kern w:val="0"/>
          <w:sz w:val="24"/>
          <w:szCs w:val="24"/>
        </w:rPr>
        <w:t>14</w:t>
      </w:r>
      <w:r>
        <w:rPr>
          <w:rFonts w:hint="eastAsia" w:ascii="宋体" w:hAnsi="宋体" w:cs="宋体"/>
          <w:color w:val="auto"/>
          <w:kern w:val="0"/>
          <w:sz w:val="24"/>
          <w:szCs w:val="24"/>
        </w:rPr>
        <w:t>.1条的内容及第六部分提供的格式编写投标文件，不得缺少招标文件要求填写的表格或提交的资料。</w:t>
      </w:r>
    </w:p>
    <w:bookmarkEnd w:id="21"/>
    <w:bookmarkEnd w:id="22"/>
    <w:bookmarkEnd w:id="23"/>
    <w:p w14:paraId="5C109B2E">
      <w:pPr>
        <w:spacing w:line="360" w:lineRule="auto"/>
        <w:ind w:firstLine="482" w:firstLineChars="200"/>
        <w:rPr>
          <w:rFonts w:ascii="宋体" w:hAnsi="宋体"/>
          <w:b/>
          <w:color w:val="auto"/>
          <w:sz w:val="24"/>
          <w:szCs w:val="24"/>
        </w:rPr>
      </w:pPr>
      <w:bookmarkStart w:id="34" w:name="_Toc311415586"/>
      <w:bookmarkStart w:id="35" w:name="_Toc409689060"/>
      <w:bookmarkStart w:id="36" w:name="_Toc358364332"/>
      <w:bookmarkStart w:id="37" w:name="_Toc380336738"/>
      <w:r>
        <w:rPr>
          <w:rFonts w:ascii="宋体" w:hAnsi="宋体"/>
          <w:b/>
          <w:color w:val="auto"/>
          <w:sz w:val="24"/>
          <w:szCs w:val="24"/>
        </w:rPr>
        <w:t>1</w:t>
      </w:r>
      <w:r>
        <w:rPr>
          <w:rFonts w:hint="eastAsia" w:ascii="宋体" w:hAnsi="宋体"/>
          <w:b/>
          <w:color w:val="auto"/>
          <w:sz w:val="24"/>
          <w:szCs w:val="24"/>
          <w:lang w:eastAsia="zh-CN"/>
        </w:rPr>
        <w:t>5.</w:t>
      </w:r>
      <w:r>
        <w:rPr>
          <w:rFonts w:hint="eastAsia" w:ascii="宋体" w:hAnsi="宋体"/>
          <w:b/>
          <w:color w:val="auto"/>
          <w:sz w:val="24"/>
          <w:szCs w:val="24"/>
        </w:rPr>
        <w:t>投标报价</w:t>
      </w:r>
      <w:bookmarkEnd w:id="34"/>
    </w:p>
    <w:bookmarkEnd w:id="35"/>
    <w:bookmarkEnd w:id="36"/>
    <w:bookmarkEnd w:id="37"/>
    <w:p w14:paraId="06806B91">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15.1</w:t>
      </w:r>
      <w:r>
        <w:rPr>
          <w:rFonts w:hint="eastAsia" w:ascii="宋体" w:hAnsi="宋体"/>
          <w:color w:val="auto"/>
          <w:sz w:val="24"/>
          <w:szCs w:val="24"/>
        </w:rPr>
        <w:t>“报价表”填写时应注意下列要求：</w:t>
      </w:r>
    </w:p>
    <w:p w14:paraId="03AC85BC">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（1）本项目的投标报价应结合市场自主报价并承担风险；</w:t>
      </w:r>
    </w:p>
    <w:p w14:paraId="1A7B831B">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（2）投标报价依据现行及省级有关规定并结合市场情况填报投标报价；</w:t>
      </w:r>
    </w:p>
    <w:p w14:paraId="1BBCA826">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 xml:space="preserve">（3）各投标人应在投标文件中标明分项报价；  </w:t>
      </w:r>
    </w:p>
    <w:p w14:paraId="2514CE16">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（4</w:t>
      </w:r>
      <w:bookmarkStart w:id="38" w:name="_Toc347478689"/>
      <w:bookmarkEnd w:id="38"/>
      <w:bookmarkStart w:id="39" w:name="_Toc30437"/>
      <w:bookmarkEnd w:id="39"/>
      <w:bookmarkStart w:id="40" w:name="_Toc311415587"/>
      <w:bookmarkStart w:id="41" w:name="_Toc358364333"/>
      <w:bookmarkStart w:id="42" w:name="_Toc380336739"/>
      <w:bookmarkStart w:id="43" w:name="_Toc409689061"/>
      <w:r>
        <w:rPr>
          <w:rFonts w:hint="eastAsia" w:ascii="宋体" w:hAnsi="宋体"/>
          <w:color w:val="auto"/>
          <w:sz w:val="24"/>
          <w:szCs w:val="24"/>
        </w:rPr>
        <w:t>）凡因投标人对招标阅读不深、理解不透、误解、疏漏</w:t>
      </w:r>
      <w:r>
        <w:rPr>
          <w:rFonts w:hint="eastAsia" w:ascii="宋体" w:hAnsi="宋体"/>
          <w:color w:val="auto"/>
          <w:sz w:val="24"/>
          <w:szCs w:val="24"/>
          <w:lang w:eastAsia="zh-CN"/>
        </w:rPr>
        <w:t>或</w:t>
      </w:r>
      <w:r>
        <w:rPr>
          <w:rFonts w:hint="eastAsia" w:ascii="宋体" w:hAnsi="宋体"/>
          <w:color w:val="auto"/>
          <w:sz w:val="24"/>
          <w:szCs w:val="24"/>
        </w:rPr>
        <w:t>因市场行情了解不清造成的后果和风险均由各投标人自负；</w:t>
      </w:r>
    </w:p>
    <w:p w14:paraId="4FF68C9A">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 xml:space="preserve">15.2 </w:t>
      </w:r>
      <w:r>
        <w:rPr>
          <w:rFonts w:hint="eastAsia" w:ascii="宋体" w:hAnsi="宋体"/>
          <w:color w:val="auto"/>
          <w:sz w:val="24"/>
          <w:szCs w:val="24"/>
        </w:rPr>
        <w:t>最低报价不作为中标的唯一条件。</w:t>
      </w:r>
    </w:p>
    <w:p w14:paraId="7285263A">
      <w:pPr>
        <w:overflowPunct w:val="0"/>
        <w:adjustRightInd w:val="0"/>
        <w:snapToGrid w:val="0"/>
        <w:spacing w:line="360" w:lineRule="auto"/>
        <w:ind w:firstLine="482" w:firstLineChars="200"/>
        <w:rPr>
          <w:rFonts w:ascii="宋体" w:hAnsi="宋体"/>
          <w:b/>
          <w:color w:val="auto"/>
          <w:sz w:val="24"/>
          <w:szCs w:val="24"/>
        </w:rPr>
      </w:pPr>
      <w:r>
        <w:rPr>
          <w:rFonts w:ascii="宋体" w:hAnsi="宋体"/>
          <w:b/>
          <w:color w:val="auto"/>
          <w:sz w:val="24"/>
          <w:szCs w:val="24"/>
        </w:rPr>
        <w:t>1</w:t>
      </w:r>
      <w:r>
        <w:rPr>
          <w:rFonts w:hint="eastAsia" w:ascii="宋体" w:hAnsi="宋体"/>
          <w:b/>
          <w:color w:val="auto"/>
          <w:sz w:val="24"/>
          <w:szCs w:val="24"/>
          <w:lang w:eastAsia="zh-CN"/>
        </w:rPr>
        <w:t>6.</w:t>
      </w:r>
      <w:r>
        <w:rPr>
          <w:rFonts w:hint="eastAsia" w:ascii="宋体" w:hAnsi="宋体"/>
          <w:b/>
          <w:color w:val="auto"/>
          <w:sz w:val="24"/>
          <w:szCs w:val="24"/>
        </w:rPr>
        <w:t>投标货币</w:t>
      </w:r>
      <w:bookmarkEnd w:id="40"/>
    </w:p>
    <w:p w14:paraId="3D04C466">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投标应以人民币报价。任何包含非人民币报价的投标</w:t>
      </w:r>
      <w:r>
        <w:rPr>
          <w:rFonts w:hint="eastAsia" w:ascii="宋体" w:hAnsi="宋体"/>
          <w:color w:val="auto"/>
          <w:sz w:val="24"/>
          <w:szCs w:val="24"/>
        </w:rPr>
        <w:t>均按照无效投标处理</w:t>
      </w:r>
      <w:r>
        <w:rPr>
          <w:rFonts w:ascii="宋体" w:hAnsi="宋体"/>
          <w:color w:val="auto"/>
          <w:sz w:val="24"/>
          <w:szCs w:val="24"/>
        </w:rPr>
        <w:t>。</w:t>
      </w:r>
    </w:p>
    <w:p w14:paraId="4DF1D739">
      <w:pPr>
        <w:spacing w:line="360" w:lineRule="auto"/>
        <w:ind w:firstLine="482" w:firstLineChars="200"/>
        <w:rPr>
          <w:rFonts w:ascii="宋体" w:hAnsi="宋体"/>
          <w:b/>
          <w:color w:val="auto"/>
          <w:sz w:val="24"/>
          <w:szCs w:val="24"/>
        </w:rPr>
      </w:pPr>
      <w:bookmarkStart w:id="44" w:name="_Toc311415588"/>
      <w:r>
        <w:rPr>
          <w:rFonts w:ascii="宋体" w:hAnsi="宋体"/>
          <w:b/>
          <w:color w:val="auto"/>
          <w:sz w:val="24"/>
          <w:szCs w:val="24"/>
        </w:rPr>
        <w:t>1</w:t>
      </w:r>
      <w:r>
        <w:rPr>
          <w:rFonts w:hint="eastAsia" w:ascii="宋体" w:hAnsi="宋体"/>
          <w:b/>
          <w:color w:val="auto"/>
          <w:sz w:val="24"/>
          <w:szCs w:val="24"/>
          <w:lang w:eastAsia="zh-CN"/>
        </w:rPr>
        <w:t>7.</w:t>
      </w:r>
      <w:r>
        <w:rPr>
          <w:rFonts w:hint="eastAsia" w:ascii="宋体" w:hAnsi="宋体"/>
          <w:b/>
          <w:color w:val="auto"/>
          <w:sz w:val="24"/>
          <w:szCs w:val="24"/>
        </w:rPr>
        <w:t>投标人资格的证明文件</w:t>
      </w:r>
      <w:bookmarkEnd w:id="44"/>
    </w:p>
    <w:p w14:paraId="6534956D">
      <w:pPr>
        <w:spacing w:line="360" w:lineRule="auto"/>
        <w:ind w:firstLine="480" w:firstLineChars="200"/>
        <w:rPr>
          <w:rFonts w:ascii="宋体" w:hAnsi="宋体"/>
          <w:color w:val="auto"/>
          <w:sz w:val="24"/>
          <w:szCs w:val="24"/>
        </w:rPr>
      </w:pPr>
      <w:r>
        <w:rPr>
          <w:rFonts w:ascii="宋体" w:hAnsi="宋体"/>
          <w:color w:val="auto"/>
          <w:sz w:val="24"/>
          <w:szCs w:val="24"/>
        </w:rPr>
        <w:t>17.1</w:t>
      </w:r>
      <w:r>
        <w:rPr>
          <w:rFonts w:hint="eastAsia" w:ascii="宋体" w:hAnsi="宋体"/>
          <w:color w:val="auto"/>
          <w:sz w:val="24"/>
          <w:szCs w:val="24"/>
        </w:rPr>
        <w:t>投标人</w:t>
      </w:r>
      <w:r>
        <w:rPr>
          <w:rFonts w:ascii="宋体" w:hAnsi="宋体"/>
          <w:color w:val="auto"/>
          <w:sz w:val="24"/>
          <w:szCs w:val="24"/>
        </w:rPr>
        <w:t>须</w:t>
      </w:r>
      <w:r>
        <w:rPr>
          <w:rFonts w:hint="eastAsia" w:ascii="宋体" w:hAnsi="宋体"/>
          <w:color w:val="auto"/>
          <w:sz w:val="24"/>
          <w:szCs w:val="24"/>
        </w:rPr>
        <w:t>按招标文件要求，</w:t>
      </w:r>
      <w:r>
        <w:rPr>
          <w:rFonts w:ascii="宋体" w:hAnsi="宋体"/>
          <w:color w:val="auto"/>
          <w:sz w:val="24"/>
          <w:szCs w:val="24"/>
        </w:rPr>
        <w:t>提</w:t>
      </w:r>
      <w:r>
        <w:rPr>
          <w:rFonts w:hint="eastAsia" w:ascii="宋体" w:hAnsi="宋体"/>
          <w:color w:val="auto"/>
          <w:sz w:val="24"/>
          <w:szCs w:val="24"/>
        </w:rPr>
        <w:t>供</w:t>
      </w:r>
      <w:r>
        <w:rPr>
          <w:rFonts w:ascii="宋体" w:hAnsi="宋体"/>
          <w:color w:val="auto"/>
          <w:sz w:val="24"/>
          <w:szCs w:val="24"/>
        </w:rPr>
        <w:t>资格</w:t>
      </w:r>
      <w:r>
        <w:rPr>
          <w:rFonts w:hint="eastAsia" w:ascii="宋体" w:hAnsi="宋体"/>
          <w:color w:val="auto"/>
          <w:sz w:val="24"/>
          <w:szCs w:val="24"/>
        </w:rPr>
        <w:t>证明文件，未按要求提供或提供不全的，其投标按照无效投标处理。</w:t>
      </w:r>
    </w:p>
    <w:p w14:paraId="2FF787D5">
      <w:pPr>
        <w:spacing w:line="360" w:lineRule="auto"/>
        <w:ind w:firstLine="480" w:firstLineChars="200"/>
        <w:rPr>
          <w:rFonts w:ascii="宋体" w:hAnsi="宋体"/>
          <w:color w:val="auto"/>
          <w:sz w:val="24"/>
          <w:szCs w:val="24"/>
        </w:rPr>
      </w:pPr>
      <w:r>
        <w:rPr>
          <w:rFonts w:ascii="宋体" w:hAnsi="宋体"/>
          <w:color w:val="auto"/>
          <w:sz w:val="24"/>
          <w:szCs w:val="24"/>
        </w:rPr>
        <w:t>17.2</w:t>
      </w:r>
      <w:r>
        <w:rPr>
          <w:rFonts w:hint="eastAsia" w:ascii="宋体" w:hAnsi="宋体"/>
          <w:color w:val="auto"/>
          <w:sz w:val="24"/>
          <w:szCs w:val="24"/>
        </w:rPr>
        <w:t>如果招标文件有要求统一格式的，必须按统一格式提供，未按要求提供的，其投标按照无效投标处理。</w:t>
      </w:r>
    </w:p>
    <w:p w14:paraId="3D3C4967">
      <w:pPr>
        <w:spacing w:line="360" w:lineRule="auto"/>
        <w:ind w:firstLine="480" w:firstLineChars="200"/>
        <w:rPr>
          <w:rFonts w:ascii="宋体" w:hAnsi="宋体"/>
          <w:color w:val="auto"/>
          <w:sz w:val="24"/>
          <w:szCs w:val="24"/>
        </w:rPr>
      </w:pPr>
      <w:r>
        <w:rPr>
          <w:rFonts w:ascii="宋体" w:hAnsi="宋体"/>
          <w:color w:val="auto"/>
          <w:sz w:val="24"/>
          <w:szCs w:val="24"/>
        </w:rPr>
        <w:t>17.3</w:t>
      </w:r>
      <w:r>
        <w:rPr>
          <w:rFonts w:hint="eastAsia" w:ascii="宋体" w:hAnsi="宋体"/>
          <w:color w:val="auto"/>
          <w:sz w:val="24"/>
          <w:szCs w:val="24"/>
        </w:rPr>
        <w:t>资格证明文件有效期从开标之日起算不得少于投标文件有效期。</w:t>
      </w:r>
    </w:p>
    <w:bookmarkEnd w:id="41"/>
    <w:bookmarkEnd w:id="42"/>
    <w:bookmarkEnd w:id="43"/>
    <w:p w14:paraId="17033A3D">
      <w:pPr>
        <w:numPr>
          <w:ilvl w:val="0"/>
          <w:numId w:val="0"/>
        </w:numPr>
        <w:spacing w:line="360" w:lineRule="auto"/>
        <w:ind w:firstLine="482" w:firstLineChars="200"/>
        <w:rPr>
          <w:rFonts w:ascii="宋体" w:hAnsi="宋体"/>
          <w:b/>
          <w:color w:val="auto"/>
          <w:sz w:val="24"/>
          <w:szCs w:val="24"/>
        </w:rPr>
      </w:pPr>
      <w:bookmarkStart w:id="45" w:name="_Toc311415590"/>
      <w:r>
        <w:rPr>
          <w:rFonts w:hint="eastAsia" w:ascii="宋体" w:hAnsi="宋体"/>
          <w:b/>
          <w:color w:val="auto"/>
          <w:sz w:val="24"/>
          <w:szCs w:val="24"/>
          <w:lang w:val="en-US" w:eastAsia="zh-CN"/>
        </w:rPr>
        <w:t>18.</w:t>
      </w:r>
      <w:r>
        <w:rPr>
          <w:rFonts w:hint="eastAsia" w:ascii="宋体" w:hAnsi="宋体"/>
          <w:b/>
          <w:color w:val="auto"/>
          <w:sz w:val="24"/>
          <w:szCs w:val="24"/>
        </w:rPr>
        <w:t>投标保证金</w:t>
      </w:r>
      <w:bookmarkEnd w:id="45"/>
    </w:p>
    <w:p w14:paraId="6306DBF4">
      <w:pPr>
        <w:pStyle w:val="35"/>
        <w:ind w:firstLine="480" w:firstLineChars="200"/>
        <w:jc w:val="both"/>
        <w:rPr>
          <w:rFonts w:hint="eastAsia" w:ascii="宋体" w:hAnsi="宋体" w:eastAsia="宋体"/>
          <w:b w:val="0"/>
          <w:bCs w:val="0"/>
          <w:color w:val="auto"/>
          <w:spacing w:val="0"/>
          <w:w w:val="100"/>
          <w:sz w:val="24"/>
          <w:szCs w:val="24"/>
          <w:lang w:eastAsia="zh-CN"/>
        </w:rPr>
      </w:pPr>
      <w:r>
        <w:rPr>
          <w:rFonts w:hint="eastAsia" w:ascii="宋体" w:hAnsi="宋体"/>
          <w:b w:val="0"/>
          <w:bCs w:val="0"/>
          <w:color w:val="auto"/>
          <w:spacing w:val="0"/>
          <w:w w:val="100"/>
          <w:sz w:val="24"/>
          <w:szCs w:val="24"/>
        </w:rPr>
        <w:t>本项目不设置投标保证金</w:t>
      </w:r>
      <w:r>
        <w:rPr>
          <w:rFonts w:hint="eastAsia" w:ascii="宋体" w:hAnsi="宋体"/>
          <w:b w:val="0"/>
          <w:bCs w:val="0"/>
          <w:color w:val="auto"/>
          <w:spacing w:val="0"/>
          <w:w w:val="100"/>
          <w:sz w:val="24"/>
          <w:szCs w:val="24"/>
          <w:lang w:eastAsia="zh-CN"/>
        </w:rPr>
        <w:t>。</w:t>
      </w:r>
    </w:p>
    <w:p w14:paraId="240C976C">
      <w:pPr>
        <w:spacing w:line="360" w:lineRule="auto"/>
        <w:ind w:firstLine="482" w:firstLineChars="200"/>
        <w:rPr>
          <w:rFonts w:ascii="宋体" w:hAnsi="宋体"/>
          <w:color w:val="auto"/>
          <w:sz w:val="24"/>
          <w:szCs w:val="24"/>
        </w:rPr>
      </w:pPr>
      <w:bookmarkStart w:id="46" w:name="_Toc311415591"/>
      <w:r>
        <w:rPr>
          <w:rFonts w:ascii="宋体" w:hAnsi="宋体"/>
          <w:b/>
          <w:color w:val="auto"/>
          <w:sz w:val="24"/>
          <w:szCs w:val="24"/>
        </w:rPr>
        <w:t>1</w:t>
      </w:r>
      <w:r>
        <w:rPr>
          <w:rFonts w:hint="eastAsia" w:ascii="宋体" w:hAnsi="宋体"/>
          <w:b/>
          <w:color w:val="auto"/>
          <w:sz w:val="24"/>
          <w:szCs w:val="24"/>
          <w:lang w:eastAsia="zh-CN"/>
        </w:rPr>
        <w:t>9.</w:t>
      </w:r>
      <w:r>
        <w:rPr>
          <w:rFonts w:hint="eastAsia" w:ascii="宋体" w:hAnsi="宋体"/>
          <w:b/>
          <w:color w:val="auto"/>
          <w:sz w:val="24"/>
          <w:szCs w:val="24"/>
        </w:rPr>
        <w:t>投标有效期</w:t>
      </w:r>
      <w:bookmarkEnd w:id="46"/>
    </w:p>
    <w:p w14:paraId="11ABB189">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19.1</w:t>
      </w:r>
      <w:r>
        <w:rPr>
          <w:rFonts w:hint="eastAsia" w:ascii="宋体" w:hAnsi="宋体"/>
          <w:color w:val="auto"/>
          <w:sz w:val="24"/>
          <w:szCs w:val="24"/>
        </w:rPr>
        <w:t>投标文件递交截止时间起算，投标有效期为90日历天。投标文件的有效期比本须知规定的有效期短的，</w:t>
      </w:r>
      <w:r>
        <w:rPr>
          <w:rFonts w:ascii="宋体" w:hAnsi="宋体"/>
          <w:color w:val="auto"/>
          <w:sz w:val="24"/>
          <w:szCs w:val="24"/>
        </w:rPr>
        <w:t>将</w:t>
      </w:r>
      <w:r>
        <w:rPr>
          <w:rFonts w:hint="eastAsia" w:ascii="宋体" w:hAnsi="宋体"/>
          <w:color w:val="auto"/>
          <w:sz w:val="24"/>
          <w:szCs w:val="24"/>
        </w:rPr>
        <w:t>按照无效投标处理</w:t>
      </w:r>
      <w:r>
        <w:rPr>
          <w:rFonts w:ascii="宋体" w:hAnsi="宋体"/>
          <w:color w:val="auto"/>
          <w:sz w:val="24"/>
          <w:szCs w:val="24"/>
        </w:rPr>
        <w:t>。</w:t>
      </w:r>
    </w:p>
    <w:p w14:paraId="2A46961D">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19.2</w:t>
      </w:r>
      <w:r>
        <w:rPr>
          <w:rFonts w:hint="eastAsia" w:ascii="宋体" w:hAnsi="宋体"/>
          <w:color w:val="auto"/>
          <w:sz w:val="24"/>
          <w:szCs w:val="24"/>
        </w:rPr>
        <w:t>在特殊情况下，在原投标有效期期满之前，采购人可征得投标人同意延长投标有效期。这种要求与答复均应为书面形式提交。</w:t>
      </w:r>
    </w:p>
    <w:p w14:paraId="7873EAA7">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19.3</w:t>
      </w:r>
      <w:r>
        <w:rPr>
          <w:rFonts w:hint="eastAsia" w:ascii="宋体" w:hAnsi="宋体"/>
          <w:color w:val="auto"/>
          <w:sz w:val="24"/>
          <w:szCs w:val="24"/>
        </w:rPr>
        <w:t>中标供应商投标文件有效期自动延长至合同执行完毕。</w:t>
      </w:r>
    </w:p>
    <w:p w14:paraId="0DB0BCEA">
      <w:pPr>
        <w:spacing w:line="360" w:lineRule="auto"/>
        <w:ind w:firstLine="482" w:firstLineChars="200"/>
        <w:rPr>
          <w:rFonts w:ascii="宋体" w:hAnsi="宋体"/>
          <w:b/>
          <w:color w:val="auto"/>
          <w:sz w:val="24"/>
          <w:szCs w:val="24"/>
        </w:rPr>
      </w:pPr>
      <w:bookmarkStart w:id="47" w:name="_Toc311415595"/>
      <w:r>
        <w:rPr>
          <w:rFonts w:ascii="宋体" w:hAnsi="宋体"/>
          <w:b/>
          <w:color w:val="auto"/>
          <w:sz w:val="24"/>
          <w:szCs w:val="24"/>
        </w:rPr>
        <w:t>20</w:t>
      </w:r>
      <w:r>
        <w:rPr>
          <w:rFonts w:hint="eastAsia" w:ascii="宋体" w:hAnsi="宋体"/>
          <w:b/>
          <w:color w:val="auto"/>
          <w:sz w:val="24"/>
          <w:szCs w:val="24"/>
          <w:lang w:val="en-US" w:eastAsia="zh-CN"/>
        </w:rPr>
        <w:t>.</w:t>
      </w:r>
      <w:r>
        <w:rPr>
          <w:rFonts w:hint="eastAsia" w:ascii="宋体" w:hAnsi="宋体"/>
          <w:b/>
          <w:color w:val="auto"/>
          <w:sz w:val="24"/>
          <w:szCs w:val="24"/>
        </w:rPr>
        <w:t>投标文件的格式</w:t>
      </w:r>
    </w:p>
    <w:p w14:paraId="54626D0F">
      <w:pPr>
        <w:spacing w:line="360" w:lineRule="auto"/>
        <w:ind w:firstLine="480" w:firstLineChars="200"/>
        <w:rPr>
          <w:rFonts w:ascii="宋体" w:hAnsi="宋体"/>
          <w:color w:val="auto"/>
          <w:sz w:val="24"/>
          <w:szCs w:val="24"/>
        </w:rPr>
      </w:pPr>
      <w:r>
        <w:rPr>
          <w:rFonts w:ascii="宋体" w:hAnsi="宋体"/>
          <w:color w:val="auto"/>
          <w:sz w:val="24"/>
          <w:szCs w:val="24"/>
        </w:rPr>
        <w:t>20.1</w:t>
      </w:r>
      <w:r>
        <w:rPr>
          <w:rFonts w:hint="eastAsia" w:ascii="宋体" w:hAnsi="宋体"/>
          <w:color w:val="auto"/>
          <w:sz w:val="24"/>
          <w:szCs w:val="24"/>
        </w:rPr>
        <w:t>供应商须依据招标文件内容和投标文件格式的要求编制投标文件；并编制目录和对应的页码。</w:t>
      </w:r>
    </w:p>
    <w:p w14:paraId="60ACC34E">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20.</w:t>
      </w:r>
      <w:r>
        <w:rPr>
          <w:rFonts w:hint="eastAsia" w:ascii="宋体" w:hAnsi="宋体"/>
          <w:color w:val="auto"/>
          <w:sz w:val="24"/>
          <w:szCs w:val="24"/>
        </w:rPr>
        <w:t>2本次招标只接受简体中文文字的投标文件；如投标文件中出现外文资料，必须配以中文译文。否则，由此引发的一切责任由供应商自负。</w:t>
      </w:r>
    </w:p>
    <w:p w14:paraId="77B1376A">
      <w:pPr>
        <w:overflowPunct w:val="0"/>
        <w:adjustRightInd w:val="0"/>
        <w:snapToGrid w:val="0"/>
        <w:spacing w:line="360" w:lineRule="auto"/>
        <w:ind w:firstLine="480" w:firstLineChars="200"/>
        <w:rPr>
          <w:color w:val="auto"/>
        </w:rPr>
      </w:pPr>
      <w:r>
        <w:rPr>
          <w:rFonts w:ascii="宋体" w:hAnsi="宋体"/>
          <w:color w:val="auto"/>
          <w:sz w:val="24"/>
          <w:szCs w:val="24"/>
        </w:rPr>
        <w:t>20.</w:t>
      </w:r>
      <w:r>
        <w:rPr>
          <w:rFonts w:hint="eastAsia" w:ascii="宋体" w:hAnsi="宋体"/>
          <w:color w:val="auto"/>
          <w:sz w:val="24"/>
          <w:szCs w:val="24"/>
        </w:rPr>
        <w:t>3拒绝接受以电话、传真、电子邮件形式的投标。</w:t>
      </w:r>
    </w:p>
    <w:p w14:paraId="0EE7ABB9">
      <w:pPr>
        <w:pStyle w:val="3"/>
        <w:spacing w:before="0" w:after="0" w:line="480" w:lineRule="exact"/>
        <w:jc w:val="center"/>
        <w:rPr>
          <w:color w:val="auto"/>
        </w:rPr>
      </w:pPr>
      <w:bookmarkStart w:id="48" w:name="_Toc536202382"/>
      <w:bookmarkStart w:id="49" w:name="_Toc19543339"/>
      <w:bookmarkStart w:id="50" w:name="_Toc536429322"/>
      <w:bookmarkStart w:id="51" w:name="_Toc4747"/>
      <w:bookmarkStart w:id="52" w:name="_Toc536429375"/>
      <w:bookmarkStart w:id="53" w:name="_Toc536202305"/>
      <w:bookmarkStart w:id="54" w:name="_Toc3565"/>
      <w:bookmarkStart w:id="55" w:name="_Toc3736"/>
      <w:r>
        <w:rPr>
          <w:rFonts w:hint="eastAsia"/>
          <w:color w:val="auto"/>
        </w:rPr>
        <w:t>四、</w:t>
      </w:r>
      <w:r>
        <w:rPr>
          <w:rFonts w:hint="eastAsia"/>
          <w:color w:val="auto"/>
          <w:lang w:eastAsia="zh-CN"/>
        </w:rPr>
        <w:t>投标文件</w:t>
      </w:r>
      <w:r>
        <w:rPr>
          <w:rFonts w:hint="eastAsia"/>
          <w:color w:val="auto"/>
        </w:rPr>
        <w:t>的递交</w:t>
      </w:r>
      <w:bookmarkEnd w:id="48"/>
      <w:bookmarkEnd w:id="49"/>
      <w:bookmarkEnd w:id="50"/>
      <w:bookmarkEnd w:id="51"/>
      <w:bookmarkEnd w:id="52"/>
      <w:bookmarkEnd w:id="53"/>
      <w:bookmarkEnd w:id="54"/>
    </w:p>
    <w:bookmarkEnd w:id="55"/>
    <w:p w14:paraId="14FDFD59">
      <w:pPr>
        <w:keepNext/>
        <w:keepLines/>
        <w:spacing w:line="400" w:lineRule="exact"/>
        <w:ind w:firstLine="482" w:firstLineChars="200"/>
        <w:outlineLvl w:val="2"/>
        <w:rPr>
          <w:rFonts w:ascii="宋体" w:hAnsi="宋体" w:cs="宋体"/>
          <w:b/>
          <w:bCs/>
          <w:color w:val="auto"/>
          <w:sz w:val="24"/>
          <w:szCs w:val="28"/>
        </w:rPr>
      </w:pPr>
      <w:bookmarkStart w:id="56" w:name="_Toc536202306"/>
      <w:bookmarkStart w:id="57" w:name="_Toc3685"/>
      <w:r>
        <w:rPr>
          <w:rFonts w:ascii="宋体" w:hAnsi="宋体" w:cs="宋体"/>
          <w:b/>
          <w:bCs/>
          <w:color w:val="auto"/>
          <w:sz w:val="24"/>
          <w:szCs w:val="28"/>
        </w:rPr>
        <w:t>2</w:t>
      </w:r>
      <w:r>
        <w:rPr>
          <w:rFonts w:hint="eastAsia" w:ascii="宋体" w:hAnsi="宋体" w:cs="宋体"/>
          <w:b/>
          <w:bCs/>
          <w:color w:val="auto"/>
          <w:sz w:val="24"/>
          <w:szCs w:val="28"/>
          <w:lang w:eastAsia="zh-CN"/>
        </w:rPr>
        <w:t>1.</w:t>
      </w:r>
      <w:r>
        <w:rPr>
          <w:rFonts w:hint="eastAsia" w:ascii="宋体" w:hAnsi="宋体" w:cs="宋体"/>
          <w:b/>
          <w:bCs/>
          <w:color w:val="auto"/>
          <w:sz w:val="24"/>
          <w:szCs w:val="28"/>
        </w:rPr>
        <w:t>投标文件递交</w:t>
      </w:r>
      <w:bookmarkEnd w:id="56"/>
      <w:bookmarkEnd w:id="57"/>
    </w:p>
    <w:p w14:paraId="3D1392C3">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21.1电子投标文件递交与解密</w:t>
      </w:r>
    </w:p>
    <w:p w14:paraId="4AB53B0E">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电子投标文件可于提交投标文件截止时间前任意时段登录全国公共资源交易平台（陕西省）网站[电子交易平台</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企业端]进行提交，逾期系统将拒绝接收。提交时，供应商应登录全国公共资源交易中心平台（陕西省），选择“首页</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电子交易平台</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企业端</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我的项目”，点击[项目流程]，在打开的[项目管理]对话框中选择[上传</w:t>
      </w:r>
      <w:r>
        <w:rPr>
          <w:rFonts w:hint="eastAsia" w:ascii="宋体" w:hAnsi="宋体" w:eastAsia="宋体" w:cs="Times New Roman"/>
          <w:color w:val="auto"/>
          <w:sz w:val="24"/>
          <w:szCs w:val="24"/>
          <w:lang w:eastAsia="zh-CN"/>
        </w:rPr>
        <w:t>投标文件</w:t>
      </w:r>
      <w:r>
        <w:rPr>
          <w:rFonts w:hint="eastAsia" w:ascii="宋体" w:hAnsi="宋体" w:eastAsia="宋体" w:cs="Times New Roman"/>
          <w:color w:val="auto"/>
          <w:sz w:val="24"/>
          <w:szCs w:val="24"/>
        </w:rPr>
        <w:t>]，上传加密的电子投标文件（*  .SXSTF），上传成功后，电子化平台将予以记录。</w:t>
      </w:r>
    </w:p>
    <w:p w14:paraId="7DB58BFC">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22.2代理机构不接受邮寄的投标文件；</w:t>
      </w:r>
    </w:p>
    <w:p w14:paraId="30CDEDA1">
      <w:pPr>
        <w:spacing w:line="360" w:lineRule="auto"/>
        <w:ind w:firstLine="480" w:firstLineChars="200"/>
        <w:rPr>
          <w:rFonts w:hint="eastAsia" w:ascii="宋体" w:hAnsi="宋体" w:eastAsia="宋体" w:cs="Times New Roman"/>
          <w:color w:val="auto"/>
          <w:sz w:val="24"/>
          <w:szCs w:val="24"/>
        </w:rPr>
      </w:pPr>
      <w:r>
        <w:rPr>
          <w:rFonts w:hint="eastAsia" w:ascii="宋体" w:hAnsi="宋体" w:eastAsia="宋体" w:cs="Times New Roman"/>
          <w:color w:val="auto"/>
          <w:sz w:val="24"/>
          <w:szCs w:val="24"/>
        </w:rPr>
        <w:t>22.3无论供应商成交与否，其投标文件恕不退还。</w:t>
      </w:r>
    </w:p>
    <w:p w14:paraId="477A02AE">
      <w:pPr>
        <w:keepNext/>
        <w:keepLines/>
        <w:spacing w:line="400" w:lineRule="exact"/>
        <w:ind w:firstLine="482" w:firstLineChars="200"/>
        <w:outlineLvl w:val="2"/>
        <w:rPr>
          <w:rFonts w:ascii="宋体" w:hAnsi="Calibri"/>
          <w:b/>
          <w:bCs/>
          <w:color w:val="auto"/>
          <w:sz w:val="24"/>
          <w:szCs w:val="28"/>
        </w:rPr>
      </w:pPr>
      <w:r>
        <w:rPr>
          <w:rFonts w:ascii="宋体" w:hAnsi="宋体" w:cs="宋体"/>
          <w:b/>
          <w:bCs/>
          <w:color w:val="auto"/>
          <w:sz w:val="24"/>
          <w:szCs w:val="28"/>
        </w:rPr>
        <w:t>2</w:t>
      </w:r>
      <w:r>
        <w:rPr>
          <w:rFonts w:hint="eastAsia" w:ascii="宋体" w:hAnsi="宋体" w:cs="宋体"/>
          <w:b/>
          <w:bCs/>
          <w:color w:val="auto"/>
          <w:sz w:val="24"/>
          <w:szCs w:val="28"/>
          <w:lang w:eastAsia="zh-CN"/>
        </w:rPr>
        <w:t>2.</w:t>
      </w:r>
      <w:r>
        <w:rPr>
          <w:rFonts w:hint="eastAsia" w:ascii="宋体" w:hAnsi="宋体" w:cs="宋体"/>
          <w:b/>
          <w:bCs/>
          <w:color w:val="auto"/>
          <w:sz w:val="24"/>
          <w:szCs w:val="28"/>
        </w:rPr>
        <w:t>投标文件的修改和撤回</w:t>
      </w:r>
    </w:p>
    <w:p w14:paraId="7B675A87">
      <w:pPr>
        <w:widowControl/>
        <w:tabs>
          <w:tab w:val="left" w:pos="0"/>
        </w:tabs>
        <w:spacing w:line="400" w:lineRule="exact"/>
        <w:ind w:firstLine="480" w:firstLineChars="200"/>
        <w:jc w:val="left"/>
        <w:rPr>
          <w:rFonts w:ascii="宋体" w:hAnsi="宋体" w:cs="宋体"/>
          <w:color w:val="auto"/>
          <w:sz w:val="24"/>
          <w:szCs w:val="28"/>
        </w:rPr>
      </w:pPr>
      <w:r>
        <w:rPr>
          <w:rFonts w:ascii="宋体" w:hAnsi="宋体" w:cs="宋体"/>
          <w:color w:val="auto"/>
          <w:sz w:val="24"/>
          <w:szCs w:val="28"/>
        </w:rPr>
        <w:t>22.1</w:t>
      </w:r>
      <w:r>
        <w:rPr>
          <w:rFonts w:hint="eastAsia" w:ascii="宋体" w:hAnsi="宋体" w:cs="宋体"/>
          <w:color w:val="auto"/>
          <w:sz w:val="24"/>
          <w:szCs w:val="28"/>
        </w:rPr>
        <w:t>供应商在上传投标文件以后，在规定的投标截止时间之前</w:t>
      </w:r>
      <w:r>
        <w:rPr>
          <w:rFonts w:hint="eastAsia" w:ascii="宋体" w:hAnsi="宋体" w:cs="宋体"/>
          <w:color w:val="auto"/>
          <w:sz w:val="24"/>
          <w:szCs w:val="28"/>
          <w:lang w:eastAsia="zh-CN"/>
        </w:rPr>
        <w:t>，</w:t>
      </w:r>
      <w:r>
        <w:rPr>
          <w:rFonts w:hint="eastAsia" w:ascii="宋体" w:hAnsi="宋体" w:cs="宋体"/>
          <w:color w:val="auto"/>
          <w:sz w:val="24"/>
          <w:szCs w:val="28"/>
        </w:rPr>
        <w:t>可以对已递交的投标文件进行修改、撤回。补充、修改的内容应当按招标文件要求签章、加密上传。</w:t>
      </w:r>
    </w:p>
    <w:p w14:paraId="215C1393">
      <w:pPr>
        <w:widowControl/>
        <w:tabs>
          <w:tab w:val="left" w:pos="0"/>
        </w:tabs>
        <w:spacing w:line="400" w:lineRule="exact"/>
        <w:ind w:firstLine="480" w:firstLineChars="200"/>
        <w:jc w:val="left"/>
        <w:rPr>
          <w:rFonts w:ascii="宋体" w:hAnsi="Calibri"/>
          <w:color w:val="auto"/>
          <w:sz w:val="24"/>
          <w:szCs w:val="28"/>
        </w:rPr>
      </w:pPr>
      <w:r>
        <w:rPr>
          <w:rFonts w:ascii="宋体" w:hAnsi="宋体" w:cs="宋体"/>
          <w:color w:val="auto"/>
          <w:sz w:val="24"/>
          <w:szCs w:val="28"/>
        </w:rPr>
        <w:t>22.4</w:t>
      </w:r>
      <w:r>
        <w:rPr>
          <w:rFonts w:hint="eastAsia" w:ascii="宋体" w:hAnsi="宋体" w:cs="宋体"/>
          <w:color w:val="auto"/>
          <w:sz w:val="24"/>
          <w:szCs w:val="28"/>
        </w:rPr>
        <w:t>投标截止时间之后，供应商不得补充、修改投标文件。</w:t>
      </w:r>
    </w:p>
    <w:p w14:paraId="5C06A3C1">
      <w:pPr>
        <w:pStyle w:val="18"/>
        <w:rPr>
          <w:color w:val="auto"/>
          <w:lang w:val="en-US" w:bidi="ar-SA"/>
        </w:rPr>
      </w:pPr>
    </w:p>
    <w:bookmarkEnd w:id="47"/>
    <w:p w14:paraId="62A8DC70">
      <w:pPr>
        <w:pStyle w:val="3"/>
        <w:spacing w:before="0" w:after="0" w:line="415" w:lineRule="auto"/>
        <w:jc w:val="center"/>
        <w:rPr>
          <w:color w:val="auto"/>
        </w:rPr>
      </w:pPr>
      <w:bookmarkStart w:id="58" w:name="_Toc23258609"/>
      <w:bookmarkStart w:id="59" w:name="_Toc26541326"/>
      <w:r>
        <w:rPr>
          <w:rFonts w:hint="eastAsia"/>
          <w:color w:val="auto"/>
        </w:rPr>
        <w:t>五、开标、评标、定标</w:t>
      </w:r>
      <w:bookmarkEnd w:id="58"/>
      <w:bookmarkEnd w:id="59"/>
    </w:p>
    <w:p w14:paraId="40DCCC32">
      <w:pPr>
        <w:overflowPunct w:val="0"/>
        <w:adjustRightInd w:val="0"/>
        <w:snapToGrid w:val="0"/>
        <w:spacing w:line="360" w:lineRule="auto"/>
        <w:ind w:firstLine="482" w:firstLineChars="200"/>
        <w:rPr>
          <w:rFonts w:ascii="宋体" w:hAnsi="宋体"/>
          <w:b/>
          <w:color w:val="auto"/>
          <w:sz w:val="24"/>
          <w:szCs w:val="24"/>
        </w:rPr>
      </w:pPr>
      <w:r>
        <w:rPr>
          <w:rFonts w:ascii="宋体" w:hAnsi="宋体"/>
          <w:b/>
          <w:color w:val="auto"/>
          <w:sz w:val="24"/>
          <w:szCs w:val="24"/>
        </w:rPr>
        <w:t>2</w:t>
      </w:r>
      <w:r>
        <w:rPr>
          <w:rFonts w:hint="eastAsia" w:ascii="宋体" w:hAnsi="宋体"/>
          <w:b/>
          <w:color w:val="auto"/>
          <w:sz w:val="24"/>
          <w:szCs w:val="24"/>
          <w:lang w:eastAsia="zh-CN"/>
        </w:rPr>
        <w:t>3.</w:t>
      </w:r>
      <w:r>
        <w:rPr>
          <w:rFonts w:hint="eastAsia" w:ascii="宋体" w:hAnsi="宋体"/>
          <w:b/>
          <w:color w:val="auto"/>
          <w:sz w:val="24"/>
          <w:szCs w:val="24"/>
        </w:rPr>
        <w:t>开标</w:t>
      </w:r>
    </w:p>
    <w:p w14:paraId="4A5EA46A">
      <w:pPr>
        <w:overflowPunct w:val="0"/>
        <w:adjustRightInd w:val="0"/>
        <w:snapToGrid w:val="0"/>
        <w:spacing w:line="360" w:lineRule="auto"/>
        <w:ind w:firstLine="480" w:firstLineChars="200"/>
        <w:rPr>
          <w:rFonts w:ascii="宋体" w:hAnsi="宋体"/>
          <w:color w:val="auto"/>
          <w:sz w:val="24"/>
          <w:szCs w:val="24"/>
        </w:rPr>
      </w:pPr>
      <w:bookmarkStart w:id="60" w:name="_Toc311415599"/>
      <w:r>
        <w:rPr>
          <w:rFonts w:ascii="宋体" w:hAnsi="宋体"/>
          <w:color w:val="auto"/>
          <w:sz w:val="24"/>
          <w:szCs w:val="24"/>
        </w:rPr>
        <w:t>23.1采购代理机构在</w:t>
      </w:r>
      <w:r>
        <w:rPr>
          <w:rFonts w:hint="eastAsia" w:ascii="宋体" w:hAnsi="宋体"/>
          <w:color w:val="auto"/>
          <w:sz w:val="24"/>
          <w:szCs w:val="24"/>
        </w:rPr>
        <w:t>招标文件</w:t>
      </w:r>
      <w:r>
        <w:rPr>
          <w:rFonts w:ascii="宋体" w:hAnsi="宋体"/>
          <w:color w:val="auto"/>
          <w:sz w:val="24"/>
          <w:szCs w:val="24"/>
        </w:rPr>
        <w:t>规定的时间和地点组织公开开标</w:t>
      </w:r>
      <w:r>
        <w:rPr>
          <w:rFonts w:hint="eastAsia" w:ascii="宋体" w:hAnsi="宋体"/>
          <w:color w:val="auto"/>
          <w:sz w:val="24"/>
          <w:szCs w:val="24"/>
        </w:rPr>
        <w:t>，</w:t>
      </w:r>
      <w:r>
        <w:rPr>
          <w:rFonts w:hint="eastAsia" w:ascii="宋体" w:hAnsi="宋体" w:cs="宋体"/>
          <w:color w:val="auto"/>
          <w:spacing w:val="-8"/>
          <w:sz w:val="24"/>
          <w:szCs w:val="24"/>
        </w:rPr>
        <w:t>整个过程受政府采购监管机构的监督、管理。</w:t>
      </w:r>
    </w:p>
    <w:p w14:paraId="5933BA00">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23.2</w:t>
      </w:r>
      <w:r>
        <w:rPr>
          <w:rFonts w:hint="eastAsia" w:ascii="宋体" w:hAnsi="宋体"/>
          <w:color w:val="auto"/>
          <w:sz w:val="24"/>
          <w:szCs w:val="24"/>
        </w:rPr>
        <w:t>开标仪式由采购代理机构主持，采购人代表及有关人员参加。</w:t>
      </w:r>
    </w:p>
    <w:p w14:paraId="429440A3">
      <w:pPr>
        <w:spacing w:line="460" w:lineRule="exact"/>
        <w:ind w:firstLine="480" w:firstLineChars="200"/>
        <w:rPr>
          <w:rFonts w:ascii="宋体" w:hAnsi="宋体" w:cs="宋体"/>
          <w:color w:val="auto"/>
          <w:spacing w:val="-8"/>
          <w:sz w:val="24"/>
          <w:szCs w:val="24"/>
        </w:rPr>
      </w:pPr>
      <w:r>
        <w:rPr>
          <w:rFonts w:ascii="宋体" w:hAnsi="宋体"/>
          <w:color w:val="auto"/>
          <w:sz w:val="24"/>
          <w:szCs w:val="24"/>
        </w:rPr>
        <w:t>23.</w:t>
      </w:r>
      <w:r>
        <w:rPr>
          <w:rFonts w:hint="eastAsia" w:ascii="宋体" w:hAnsi="宋体"/>
          <w:color w:val="auto"/>
          <w:sz w:val="24"/>
          <w:szCs w:val="24"/>
        </w:rPr>
        <w:t>3</w:t>
      </w:r>
      <w:r>
        <w:rPr>
          <w:rFonts w:hint="eastAsia" w:ascii="宋体" w:hAnsi="宋体" w:cs="宋体"/>
          <w:color w:val="auto"/>
          <w:spacing w:val="-8"/>
          <w:sz w:val="24"/>
          <w:szCs w:val="24"/>
        </w:rPr>
        <w:t>本项目采用远程不见面开标方式进行开标、采购代理机构在规定的时间和地点组织开标，投标单位授权代表不到现场参加开标，须自行在各自办公场所，自备电脑在投标截止时间前登录不见面开标大厅，进行远程开标。</w:t>
      </w:r>
    </w:p>
    <w:p w14:paraId="3C6A3664">
      <w:pPr>
        <w:spacing w:line="460" w:lineRule="exact"/>
        <w:ind w:firstLine="448" w:firstLineChars="200"/>
        <w:jc w:val="left"/>
        <w:rPr>
          <w:rFonts w:ascii="宋体" w:hAnsi="宋体" w:cs="宋体"/>
          <w:color w:val="auto"/>
          <w:spacing w:val="-8"/>
          <w:sz w:val="24"/>
          <w:szCs w:val="24"/>
        </w:rPr>
      </w:pPr>
      <w:r>
        <w:rPr>
          <w:rFonts w:hint="eastAsia" w:ascii="宋体" w:hAnsi="宋体" w:cs="宋体"/>
          <w:color w:val="auto"/>
          <w:spacing w:val="-8"/>
          <w:sz w:val="24"/>
          <w:szCs w:val="24"/>
        </w:rPr>
        <w:t>23.3.1投标供应商在获取</w:t>
      </w:r>
      <w:r>
        <w:rPr>
          <w:rFonts w:hint="eastAsia" w:ascii="宋体" w:hAnsi="宋体" w:cs="宋体"/>
          <w:color w:val="auto"/>
          <w:spacing w:val="-8"/>
          <w:sz w:val="24"/>
          <w:szCs w:val="24"/>
          <w:lang w:val="en-US" w:eastAsia="zh-CN"/>
        </w:rPr>
        <w:t>招标</w:t>
      </w:r>
      <w:r>
        <w:rPr>
          <w:rFonts w:hint="eastAsia" w:ascii="宋体" w:hAnsi="宋体" w:cs="宋体"/>
          <w:color w:val="auto"/>
          <w:spacing w:val="-8"/>
          <w:sz w:val="24"/>
          <w:szCs w:val="24"/>
        </w:rPr>
        <w:t>文件后应在全国公共资源交易平台(陕西省.安康市)网站[新闻资讯一通知公告]中下载并详细阅读安康公共资源交易中心不见面开标系统(投标人)操作 http</w:t>
      </w:r>
      <w:r>
        <w:rPr>
          <w:rFonts w:hint="eastAsia" w:ascii="宋体" w:hAnsi="宋体" w:cs="宋体"/>
          <w:color w:val="auto"/>
          <w:spacing w:val="-8"/>
          <w:sz w:val="24"/>
          <w:szCs w:val="24"/>
          <w:lang w:eastAsia="zh-CN"/>
        </w:rPr>
        <w:t>：</w:t>
      </w:r>
      <w:r>
        <w:rPr>
          <w:rFonts w:hint="eastAsia" w:ascii="宋体" w:hAnsi="宋体" w:cs="宋体"/>
          <w:color w:val="auto"/>
          <w:spacing w:val="-8"/>
          <w:sz w:val="24"/>
          <w:szCs w:val="24"/>
        </w:rPr>
        <w:t>//www.sxggzyjy.cn/xwzx/002002/subPage.html</w:t>
      </w:r>
      <w:r>
        <w:rPr>
          <w:rFonts w:hint="eastAsia" w:ascii="宋体" w:hAnsi="宋体" w:cs="宋体"/>
          <w:color w:val="auto"/>
          <w:spacing w:val="-8"/>
          <w:sz w:val="24"/>
          <w:szCs w:val="24"/>
          <w:lang w:eastAsia="zh-CN"/>
        </w:rPr>
        <w:t>，</w:t>
      </w:r>
      <w:r>
        <w:rPr>
          <w:rFonts w:hint="eastAsia" w:ascii="宋体" w:hAnsi="宋体" w:cs="宋体"/>
          <w:color w:val="auto"/>
          <w:spacing w:val="-8"/>
          <w:sz w:val="24"/>
          <w:szCs w:val="24"/>
        </w:rPr>
        <w:t>下载并详细阅读《关于陕西省公共</w:t>
      </w:r>
      <w:r>
        <w:rPr>
          <w:rFonts w:hint="eastAsia" w:ascii="宋体" w:hAnsi="宋体" w:eastAsia="宋体" w:cs="宋体"/>
          <w:color w:val="auto"/>
          <w:spacing w:val="-8"/>
          <w:sz w:val="24"/>
          <w:szCs w:val="24"/>
        </w:rPr>
        <w:t>资源交易平台多CA互认系统正式上线运行的通知》并下载最新版本驱动。不见面开标系统</w:t>
      </w:r>
      <w:r>
        <w:rPr>
          <w:rFonts w:hint="eastAsia" w:ascii="宋体" w:hAnsi="宋体" w:eastAsia="宋体" w:cs="宋体"/>
          <w:color w:val="auto"/>
          <w:spacing w:val="-8"/>
          <w:sz w:val="24"/>
          <w:szCs w:val="24"/>
          <w:lang w:eastAsia="zh-CN"/>
        </w:rPr>
        <w:t>：</w:t>
      </w:r>
      <w:r>
        <w:rPr>
          <w:rFonts w:hint="eastAsia" w:ascii="宋体" w:hAnsi="宋体" w:eastAsia="宋体" w:cs="宋体"/>
          <w:color w:val="auto"/>
          <w:spacing w:val="-8"/>
          <w:sz w:val="24"/>
          <w:szCs w:val="24"/>
        </w:rPr>
        <w:t>打开页面网址</w:t>
      </w:r>
      <w:r>
        <w:rPr>
          <w:rFonts w:hint="eastAsia" w:ascii="宋体" w:hAnsi="宋体" w:eastAsia="宋体" w:cs="宋体"/>
          <w:color w:val="auto"/>
          <w:spacing w:val="-8"/>
          <w:sz w:val="24"/>
          <w:szCs w:val="24"/>
          <w:lang w:eastAsia="zh-CN"/>
        </w:rPr>
        <w:t>：</w:t>
      </w:r>
      <w:r>
        <w:rPr>
          <w:rFonts w:hint="eastAsia" w:ascii="宋体" w:hAnsi="宋体" w:eastAsia="宋体" w:cs="宋体"/>
          <w:color w:val="auto"/>
          <w:spacing w:val="-8"/>
          <w:sz w:val="24"/>
          <w:szCs w:val="24"/>
        </w:rPr>
        <w:t>(http</w:t>
      </w:r>
      <w:r>
        <w:rPr>
          <w:rFonts w:hint="eastAsia" w:ascii="宋体" w:hAnsi="宋体" w:eastAsia="宋体" w:cs="宋体"/>
          <w:color w:val="auto"/>
          <w:spacing w:val="-8"/>
          <w:sz w:val="24"/>
          <w:szCs w:val="24"/>
          <w:lang w:eastAsia="zh-CN"/>
        </w:rPr>
        <w:t>：</w:t>
      </w:r>
      <w:r>
        <w:rPr>
          <w:rFonts w:hint="eastAsia" w:ascii="宋体" w:hAnsi="宋体" w:eastAsia="宋体" w:cs="宋体"/>
          <w:color w:val="auto"/>
          <w:spacing w:val="-8"/>
          <w:sz w:val="24"/>
          <w:szCs w:val="24"/>
        </w:rPr>
        <w:t>//219.145.206.209/Bid0peningHal1/bidopeninghallaction/hall/login)选择点击右上角“登录”，在左侧选择“投标人”身份，插入 CA锁登录，输入密码后，点击“登录”，</w:t>
      </w:r>
      <w:r>
        <w:rPr>
          <w:rFonts w:hint="eastAsia" w:ascii="宋体" w:hAnsi="宋体" w:cs="宋体"/>
          <w:color w:val="auto"/>
          <w:spacing w:val="-8"/>
          <w:sz w:val="24"/>
          <w:szCs w:val="24"/>
        </w:rPr>
        <w:t>投标人登录之后可以看到当前投标人今日开标项目</w:t>
      </w:r>
      <w:r>
        <w:rPr>
          <w:rFonts w:hint="eastAsia" w:ascii="宋体" w:hAnsi="宋体" w:cs="宋体"/>
          <w:color w:val="auto"/>
          <w:spacing w:val="-8"/>
          <w:sz w:val="24"/>
          <w:szCs w:val="24"/>
          <w:lang w:eastAsia="zh-CN"/>
        </w:rPr>
        <w:t>：</w:t>
      </w:r>
      <w:r>
        <w:rPr>
          <w:rFonts w:hint="eastAsia" w:ascii="宋体" w:hAnsi="宋体" w:cs="宋体"/>
          <w:color w:val="auto"/>
          <w:spacing w:val="-8"/>
          <w:sz w:val="24"/>
          <w:szCs w:val="24"/>
        </w:rPr>
        <w:t>选择要开标的项目，点击进入，页面首先阅读开标流程，点击“我已阅读”进入开标大厅，点击“取消”返回项目列表页面。</w:t>
      </w:r>
    </w:p>
    <w:p w14:paraId="329CAFED">
      <w:pPr>
        <w:spacing w:line="460" w:lineRule="exact"/>
        <w:ind w:firstLine="448" w:firstLineChars="200"/>
        <w:rPr>
          <w:rFonts w:ascii="宋体" w:hAnsi="宋体" w:cs="宋体"/>
          <w:color w:val="auto"/>
          <w:spacing w:val="-8"/>
          <w:sz w:val="24"/>
          <w:szCs w:val="24"/>
        </w:rPr>
      </w:pPr>
      <w:r>
        <w:rPr>
          <w:rFonts w:hint="eastAsia" w:ascii="宋体" w:hAnsi="宋体" w:cs="宋体"/>
          <w:color w:val="auto"/>
          <w:spacing w:val="-8"/>
          <w:sz w:val="24"/>
          <w:szCs w:val="24"/>
        </w:rPr>
        <w:t>23.3.2为顺利实现不见面开标系统的远程交互，建议投标人配置的软硬件设施有：高配置电脑、高速稳定的网络、电源（不间断）、CA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驱动。投标供应商需安装新点播放器，以便观看远程不见面开标直播画面(播放器下载链接为</w:t>
      </w:r>
      <w:r>
        <w:rPr>
          <w:rFonts w:hint="eastAsia" w:ascii="宋体" w:hAnsi="宋体" w:cs="宋体"/>
          <w:color w:val="auto"/>
          <w:spacing w:val="-8"/>
          <w:sz w:val="24"/>
          <w:szCs w:val="24"/>
          <w:lang w:eastAsia="zh-CN"/>
        </w:rPr>
        <w:t>：</w:t>
      </w:r>
      <w:r>
        <w:rPr>
          <w:rFonts w:hint="eastAsia" w:ascii="宋体" w:hAnsi="宋体" w:cs="宋体"/>
          <w:color w:val="auto"/>
          <w:spacing w:val="-8"/>
          <w:sz w:val="24"/>
          <w:szCs w:val="24"/>
        </w:rPr>
        <w:t>https</w:t>
      </w:r>
      <w:r>
        <w:rPr>
          <w:rFonts w:hint="eastAsia" w:ascii="宋体" w:hAnsi="宋体" w:cs="宋体"/>
          <w:color w:val="auto"/>
          <w:spacing w:val="-8"/>
          <w:sz w:val="24"/>
          <w:szCs w:val="24"/>
          <w:lang w:eastAsia="zh-CN"/>
        </w:rPr>
        <w:t>：</w:t>
      </w:r>
      <w:r>
        <w:rPr>
          <w:rFonts w:hint="eastAsia" w:ascii="宋体" w:hAnsi="宋体" w:cs="宋体"/>
          <w:color w:val="auto"/>
          <w:spacing w:val="-8"/>
          <w:sz w:val="24"/>
          <w:szCs w:val="24"/>
        </w:rPr>
        <w:t xml:space="preserve"> //dowload. bopoint. com/domload/dowloaddetail.html?SourceFron-Dow&amp;SoftGuid55aa4 e06-c384-4005-bcb9-48932d410fd4)。</w:t>
      </w:r>
    </w:p>
    <w:p w14:paraId="2203DDE5">
      <w:pPr>
        <w:spacing w:line="460" w:lineRule="exact"/>
        <w:ind w:firstLine="448" w:firstLineChars="200"/>
        <w:rPr>
          <w:rFonts w:ascii="宋体" w:hAnsi="宋体" w:cs="宋体"/>
          <w:color w:val="auto"/>
          <w:spacing w:val="-8"/>
          <w:sz w:val="24"/>
          <w:szCs w:val="24"/>
        </w:rPr>
      </w:pPr>
      <w:r>
        <w:rPr>
          <w:rFonts w:hint="eastAsia" w:ascii="宋体" w:hAnsi="宋体" w:cs="宋体"/>
          <w:color w:val="auto"/>
          <w:spacing w:val="-8"/>
          <w:sz w:val="24"/>
          <w:szCs w:val="24"/>
        </w:rPr>
        <w:t>23.3.3投标人需注意 CA 锁一定要提前准备好，并确保 CA 锁为制作投标文件的 CA 锁。</w:t>
      </w:r>
    </w:p>
    <w:p w14:paraId="38D1FEC0">
      <w:pPr>
        <w:spacing w:line="460" w:lineRule="exact"/>
        <w:ind w:firstLine="448" w:firstLineChars="200"/>
        <w:rPr>
          <w:rFonts w:ascii="宋体" w:hAnsi="宋体" w:cs="宋体"/>
          <w:color w:val="auto"/>
          <w:spacing w:val="-8"/>
          <w:sz w:val="24"/>
          <w:szCs w:val="24"/>
          <w:lang w:val="en-AU"/>
        </w:rPr>
      </w:pPr>
      <w:r>
        <w:rPr>
          <w:rFonts w:hint="eastAsia" w:ascii="宋体" w:hAnsi="宋体" w:cs="宋体"/>
          <w:color w:val="auto"/>
          <w:spacing w:val="-8"/>
          <w:sz w:val="24"/>
          <w:szCs w:val="24"/>
          <w:lang w:val="en-AU"/>
        </w:rPr>
        <w:t>不见面开标方式因投标人不来开标现场，资格审查如需提供复印件，请按文件中要求， 在</w:t>
      </w:r>
      <w:r>
        <w:rPr>
          <w:rFonts w:hint="eastAsia" w:ascii="宋体" w:hAnsi="宋体" w:cs="宋体"/>
          <w:color w:val="auto"/>
          <w:spacing w:val="-8"/>
          <w:sz w:val="24"/>
          <w:szCs w:val="24"/>
          <w:lang w:val="en-AU" w:eastAsia="zh-CN"/>
        </w:rPr>
        <w:t>投标文件</w:t>
      </w:r>
      <w:r>
        <w:rPr>
          <w:rFonts w:hint="eastAsia" w:ascii="宋体" w:hAnsi="宋体" w:cs="宋体"/>
          <w:color w:val="auto"/>
          <w:spacing w:val="-8"/>
          <w:sz w:val="24"/>
          <w:szCs w:val="24"/>
          <w:lang w:val="en-AU"/>
        </w:rPr>
        <w:t>中上传电子版。</w:t>
      </w:r>
    </w:p>
    <w:p w14:paraId="1475D6D7">
      <w:pPr>
        <w:spacing w:line="460" w:lineRule="exact"/>
        <w:ind w:firstLine="448" w:firstLineChars="200"/>
        <w:rPr>
          <w:rFonts w:ascii="宋体" w:hAnsi="宋体" w:cs="宋体"/>
          <w:color w:val="auto"/>
          <w:spacing w:val="-8"/>
          <w:sz w:val="24"/>
          <w:szCs w:val="24"/>
        </w:rPr>
      </w:pPr>
      <w:r>
        <w:rPr>
          <w:rFonts w:hint="eastAsia" w:ascii="宋体" w:hAnsi="宋体" w:cs="宋体"/>
          <w:color w:val="auto"/>
          <w:spacing w:val="-8"/>
          <w:sz w:val="24"/>
          <w:szCs w:val="24"/>
        </w:rPr>
        <w:t>23.3.4开标时间到了之后就不能签到，建议投标人在开标前半小时登录不见面开标大厅， 并及时签到（开标前 60 分钟即可签到），遇到问题及时联系客服029-8866129</w:t>
      </w:r>
      <w:r>
        <w:rPr>
          <w:rFonts w:hint="eastAsia" w:ascii="宋体" w:hAnsi="宋体" w:cs="宋体"/>
          <w:color w:val="auto"/>
          <w:spacing w:val="-8"/>
          <w:sz w:val="24"/>
          <w:szCs w:val="24"/>
          <w:lang w:eastAsia="zh-CN"/>
        </w:rPr>
        <w:t>2.</w:t>
      </w:r>
      <w:r>
        <w:rPr>
          <w:rFonts w:hint="eastAsia" w:ascii="宋体" w:hAnsi="宋体" w:cs="宋体"/>
          <w:color w:val="auto"/>
          <w:spacing w:val="-8"/>
          <w:sz w:val="24"/>
          <w:szCs w:val="24"/>
        </w:rPr>
        <w:t>8866126</w:t>
      </w:r>
      <w:r>
        <w:rPr>
          <w:rFonts w:hint="eastAsia" w:ascii="宋体" w:hAnsi="宋体" w:cs="宋体"/>
          <w:color w:val="auto"/>
          <w:spacing w:val="-8"/>
          <w:sz w:val="24"/>
          <w:szCs w:val="24"/>
          <w:lang w:eastAsia="zh-CN"/>
        </w:rPr>
        <w:t>7.</w:t>
      </w:r>
      <w:r>
        <w:rPr>
          <w:rFonts w:hint="eastAsia" w:ascii="宋体" w:hAnsi="宋体" w:cs="宋体"/>
          <w:color w:val="auto"/>
          <w:spacing w:val="-8"/>
          <w:sz w:val="24"/>
          <w:szCs w:val="24"/>
        </w:rPr>
        <w:t>88661241。</w:t>
      </w:r>
    </w:p>
    <w:p w14:paraId="2AD47444">
      <w:pPr>
        <w:spacing w:line="460" w:lineRule="exact"/>
        <w:ind w:firstLine="448" w:firstLineChars="200"/>
        <w:rPr>
          <w:rFonts w:ascii="宋体" w:hAnsi="宋体" w:cs="宋体"/>
          <w:color w:val="auto"/>
          <w:spacing w:val="-8"/>
          <w:sz w:val="24"/>
          <w:szCs w:val="24"/>
        </w:rPr>
      </w:pPr>
      <w:r>
        <w:rPr>
          <w:rFonts w:hint="eastAsia" w:ascii="宋体" w:hAnsi="宋体" w:cs="宋体"/>
          <w:color w:val="auto"/>
          <w:spacing w:val="-8"/>
          <w:sz w:val="24"/>
          <w:szCs w:val="24"/>
        </w:rPr>
        <w:t>23.3.5开标时，供应商须使用电子投标文件加密时所用的数字认证证书CA 锁在自备电脑上自行远程解密电子投标文件，由电子交易系统进行自动唱标。</w:t>
      </w:r>
    </w:p>
    <w:p w14:paraId="1ACE0B09">
      <w:pPr>
        <w:spacing w:line="460" w:lineRule="exact"/>
        <w:ind w:firstLine="448" w:firstLineChars="200"/>
        <w:rPr>
          <w:rFonts w:ascii="宋体" w:hAnsi="宋体" w:cs="宋体"/>
          <w:color w:val="auto"/>
          <w:spacing w:val="-8"/>
          <w:sz w:val="24"/>
          <w:szCs w:val="24"/>
        </w:rPr>
      </w:pPr>
      <w:r>
        <w:rPr>
          <w:rFonts w:hint="eastAsia" w:ascii="宋体" w:hAnsi="宋体" w:cs="宋体"/>
          <w:color w:val="auto"/>
          <w:spacing w:val="-8"/>
          <w:sz w:val="24"/>
          <w:szCs w:val="24"/>
        </w:rPr>
        <w:t>系统默认解密时长为</w:t>
      </w:r>
      <w:r>
        <w:rPr>
          <w:rFonts w:hint="eastAsia" w:ascii="宋体" w:hAnsi="宋体" w:cs="宋体"/>
          <w:color w:val="auto"/>
          <w:spacing w:val="-8"/>
          <w:sz w:val="24"/>
          <w:szCs w:val="24"/>
          <w:lang w:val="en-US" w:eastAsia="zh-CN"/>
        </w:rPr>
        <w:t>6</w:t>
      </w:r>
      <w:r>
        <w:rPr>
          <w:rFonts w:hint="eastAsia" w:ascii="宋体" w:hAnsi="宋体" w:cs="宋体"/>
          <w:color w:val="auto"/>
          <w:spacing w:val="-8"/>
          <w:sz w:val="24"/>
          <w:szCs w:val="24"/>
        </w:rPr>
        <w:t>0 分钟，投标单位需在</w:t>
      </w:r>
      <w:r>
        <w:rPr>
          <w:rFonts w:hint="eastAsia" w:ascii="宋体" w:hAnsi="宋体" w:cs="宋体"/>
          <w:color w:val="auto"/>
          <w:spacing w:val="-8"/>
          <w:sz w:val="24"/>
          <w:szCs w:val="24"/>
          <w:lang w:val="en-US" w:eastAsia="zh-CN"/>
        </w:rPr>
        <w:t>规定的</w:t>
      </w:r>
      <w:r>
        <w:rPr>
          <w:rFonts w:hint="eastAsia" w:ascii="宋体" w:hAnsi="宋体" w:cs="宋体"/>
          <w:color w:val="auto"/>
          <w:spacing w:val="-8"/>
          <w:sz w:val="24"/>
          <w:szCs w:val="24"/>
        </w:rPr>
        <w:t>解密时间</w:t>
      </w:r>
      <w:r>
        <w:rPr>
          <w:rFonts w:hint="eastAsia" w:ascii="宋体" w:hAnsi="宋体" w:cs="宋体"/>
          <w:color w:val="auto"/>
          <w:spacing w:val="-8"/>
          <w:sz w:val="24"/>
          <w:szCs w:val="24"/>
          <w:lang w:val="en-US" w:eastAsia="zh-CN"/>
        </w:rPr>
        <w:t>内</w:t>
      </w:r>
      <w:r>
        <w:rPr>
          <w:rFonts w:hint="eastAsia" w:ascii="宋体" w:hAnsi="宋体" w:cs="宋体"/>
          <w:color w:val="auto"/>
          <w:spacing w:val="-8"/>
          <w:sz w:val="24"/>
          <w:szCs w:val="24"/>
        </w:rPr>
        <w:t>完成标书解密。</w:t>
      </w:r>
      <w:r>
        <w:rPr>
          <w:rFonts w:hint="eastAsia" w:ascii="宋体" w:hAnsi="宋体" w:cs="宋体"/>
          <w:color w:val="auto"/>
          <w:spacing w:val="-8"/>
          <w:sz w:val="24"/>
          <w:szCs w:val="24"/>
          <w:lang w:val="en-US" w:eastAsia="zh-CN"/>
        </w:rPr>
        <w:t>如因供应商自身原因未在系统规定时长60分钟内完成投标文件解密，为保证开评标活动顺利进行，系统将对未解密的投标文件作退回处理，被退回的投标文件将无法参与后续开评标活动。</w:t>
      </w:r>
      <w:r>
        <w:rPr>
          <w:rFonts w:hint="eastAsia" w:ascii="宋体" w:hAnsi="宋体" w:cs="宋体"/>
          <w:color w:val="auto"/>
          <w:spacing w:val="-8"/>
          <w:sz w:val="24"/>
          <w:szCs w:val="24"/>
        </w:rPr>
        <w:t>所有投标单位解密完成后由开标人员将</w:t>
      </w:r>
      <w:r>
        <w:rPr>
          <w:rFonts w:hint="eastAsia" w:ascii="宋体" w:hAnsi="宋体" w:cs="宋体"/>
          <w:color w:val="auto"/>
          <w:spacing w:val="-8"/>
          <w:sz w:val="24"/>
          <w:szCs w:val="24"/>
          <w:lang w:eastAsia="zh-CN"/>
        </w:rPr>
        <w:t>投标文件</w:t>
      </w:r>
      <w:r>
        <w:rPr>
          <w:rFonts w:hint="eastAsia" w:ascii="宋体" w:hAnsi="宋体" w:cs="宋体"/>
          <w:color w:val="auto"/>
          <w:spacing w:val="-8"/>
          <w:sz w:val="24"/>
          <w:szCs w:val="24"/>
        </w:rPr>
        <w:t>导入开评标系统。</w:t>
      </w:r>
    </w:p>
    <w:p w14:paraId="13936524">
      <w:pPr>
        <w:spacing w:line="460" w:lineRule="exact"/>
        <w:ind w:firstLine="448" w:firstLineChars="200"/>
        <w:rPr>
          <w:rFonts w:ascii="宋体" w:hAnsi="宋体" w:cs="宋体"/>
          <w:color w:val="auto"/>
          <w:spacing w:val="-8"/>
          <w:sz w:val="24"/>
          <w:szCs w:val="24"/>
        </w:rPr>
      </w:pPr>
      <w:r>
        <w:rPr>
          <w:rFonts w:hint="eastAsia" w:ascii="宋体" w:hAnsi="宋体" w:cs="宋体"/>
          <w:color w:val="auto"/>
          <w:spacing w:val="-8"/>
          <w:sz w:val="24"/>
          <w:szCs w:val="24"/>
        </w:rPr>
        <w:t>23.4特殊情形下的应急处置</w:t>
      </w:r>
    </w:p>
    <w:p w14:paraId="7D19942E">
      <w:pPr>
        <w:spacing w:line="460" w:lineRule="exact"/>
        <w:ind w:firstLine="448" w:firstLineChars="200"/>
        <w:rPr>
          <w:rFonts w:hint="eastAsia" w:ascii="宋体" w:hAnsi="宋体" w:eastAsia="宋体" w:cs="宋体"/>
          <w:color w:val="auto"/>
          <w:spacing w:val="-8"/>
          <w:sz w:val="24"/>
          <w:szCs w:val="24"/>
          <w:lang w:val="en-US" w:eastAsia="zh-CN"/>
        </w:rPr>
      </w:pPr>
      <w:r>
        <w:rPr>
          <w:rFonts w:hint="eastAsia" w:ascii="宋体" w:hAnsi="宋体" w:eastAsia="宋体" w:cs="宋体"/>
          <w:color w:val="auto"/>
          <w:spacing w:val="-8"/>
          <w:sz w:val="24"/>
          <w:szCs w:val="24"/>
          <w:lang w:val="en-US" w:eastAsia="zh-CN"/>
        </w:rPr>
        <w:t>在开标、评审过程中，如因停电、断网、电子化系统故障等原因导致电子 化开、评标无法正常进行时，将按照采购监管机构及公共资源交易中心统一安排部署开展后续采购活动。</w:t>
      </w:r>
    </w:p>
    <w:p w14:paraId="578EFC74">
      <w:pPr>
        <w:spacing w:line="460" w:lineRule="exact"/>
        <w:ind w:firstLine="450" w:firstLineChars="200"/>
        <w:rPr>
          <w:rFonts w:hint="eastAsia" w:ascii="宋体" w:hAnsi="宋体" w:eastAsia="宋体" w:cs="宋体"/>
          <w:color w:val="auto"/>
          <w:spacing w:val="-8"/>
          <w:sz w:val="24"/>
          <w:szCs w:val="24"/>
          <w:lang w:val="en-US" w:eastAsia="zh-CN"/>
        </w:rPr>
      </w:pPr>
      <w:r>
        <w:rPr>
          <w:rFonts w:hint="eastAsia" w:ascii="宋体" w:hAnsi="宋体" w:eastAsia="宋体" w:cs="宋体"/>
          <w:b/>
          <w:bCs/>
          <w:color w:val="auto"/>
          <w:spacing w:val="-8"/>
          <w:sz w:val="24"/>
          <w:szCs w:val="24"/>
          <w:lang w:val="en-US" w:eastAsia="zh-CN"/>
        </w:rPr>
        <w:t>24.采购人或采购代理机构</w:t>
      </w:r>
    </w:p>
    <w:p w14:paraId="17F6E666">
      <w:pPr>
        <w:spacing w:line="460" w:lineRule="exact"/>
        <w:ind w:firstLine="448" w:firstLineChars="200"/>
        <w:rPr>
          <w:rFonts w:ascii="宋体" w:hAnsi="宋体"/>
          <w:color w:val="auto"/>
          <w:sz w:val="24"/>
          <w:szCs w:val="24"/>
        </w:rPr>
      </w:pPr>
      <w:r>
        <w:rPr>
          <w:rFonts w:hint="eastAsia" w:ascii="宋体" w:hAnsi="宋体" w:eastAsia="宋体" w:cs="宋体"/>
          <w:color w:val="auto"/>
          <w:spacing w:val="-8"/>
          <w:sz w:val="24"/>
          <w:szCs w:val="24"/>
          <w:lang w:val="en-US" w:eastAsia="zh-CN"/>
        </w:rPr>
        <w:t>24.1核对评审专家身份和采购人</w:t>
      </w:r>
      <w:r>
        <w:rPr>
          <w:rFonts w:ascii="宋体" w:hAnsi="宋体"/>
          <w:color w:val="auto"/>
          <w:sz w:val="24"/>
          <w:szCs w:val="24"/>
        </w:rPr>
        <w:t>代表授权函，对评审专家在政府采购活动中的职责履行情况予以记录，并及时将有关违法违规行为向财政部门报告；</w:t>
      </w:r>
    </w:p>
    <w:p w14:paraId="55C13EA9">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24.2宣布评标纪律；</w:t>
      </w:r>
    </w:p>
    <w:p w14:paraId="0459A43C">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3</w:t>
      </w:r>
      <w:r>
        <w:rPr>
          <w:rFonts w:ascii="宋体" w:hAnsi="宋体"/>
          <w:color w:val="auto"/>
          <w:sz w:val="24"/>
          <w:szCs w:val="24"/>
        </w:rPr>
        <w:t>公布投标人名单，告知评审专家应当回避的情形；</w:t>
      </w:r>
    </w:p>
    <w:p w14:paraId="23C95365">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.4</w:t>
      </w:r>
      <w:r>
        <w:rPr>
          <w:rFonts w:ascii="宋体" w:hAnsi="宋体"/>
          <w:color w:val="auto"/>
          <w:sz w:val="24"/>
          <w:szCs w:val="24"/>
        </w:rPr>
        <w:t>组织评标委员会推选评标组长，采购人代表不得担任组长；</w:t>
      </w:r>
    </w:p>
    <w:p w14:paraId="33EA99FB">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.5</w:t>
      </w:r>
      <w:r>
        <w:rPr>
          <w:rFonts w:ascii="宋体" w:hAnsi="宋体"/>
          <w:color w:val="auto"/>
          <w:sz w:val="24"/>
          <w:szCs w:val="24"/>
        </w:rPr>
        <w:t>根据评标委员会的要求介绍政府采购相关政策法规、招标文件</w:t>
      </w:r>
      <w:r>
        <w:rPr>
          <w:rFonts w:hint="eastAsia" w:ascii="宋体" w:hAnsi="宋体"/>
          <w:color w:val="auto"/>
          <w:sz w:val="24"/>
          <w:szCs w:val="24"/>
        </w:rPr>
        <w:t>；</w:t>
      </w:r>
    </w:p>
    <w:p w14:paraId="745AB2BF">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.6依法对投标人的资格进行审查；</w:t>
      </w:r>
    </w:p>
    <w:p w14:paraId="70CEA6F3">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.7依法维</w:t>
      </w:r>
      <w:r>
        <w:rPr>
          <w:rFonts w:ascii="宋体" w:hAnsi="宋体"/>
          <w:color w:val="auto"/>
          <w:sz w:val="24"/>
          <w:szCs w:val="24"/>
        </w:rPr>
        <w:t>护评标秩序，监督评标委员会依照招标文件规定的评标程序、方法和标准进行独立评审，及时制止和纠正采购人代表、评审专家的倾向性言论或者违法违规行为；</w:t>
      </w:r>
    </w:p>
    <w:p w14:paraId="56C521CD">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.8核</w:t>
      </w:r>
      <w:r>
        <w:rPr>
          <w:rFonts w:ascii="宋体" w:hAnsi="宋体"/>
          <w:color w:val="auto"/>
          <w:sz w:val="24"/>
          <w:szCs w:val="24"/>
        </w:rPr>
        <w:t>对评标结果</w:t>
      </w:r>
      <w:r>
        <w:rPr>
          <w:rFonts w:hint="eastAsia" w:ascii="宋体" w:hAnsi="宋体"/>
          <w:color w:val="auto"/>
          <w:sz w:val="24"/>
          <w:szCs w:val="24"/>
        </w:rPr>
        <w:t>，</w:t>
      </w:r>
      <w:r>
        <w:rPr>
          <w:rFonts w:ascii="宋体" w:hAnsi="宋体"/>
          <w:color w:val="auto"/>
          <w:sz w:val="24"/>
          <w:szCs w:val="24"/>
        </w:rPr>
        <w:t>有分值汇总计算错误的</w:t>
      </w:r>
      <w:r>
        <w:rPr>
          <w:rFonts w:hint="eastAsia" w:ascii="宋体" w:hAnsi="宋体"/>
          <w:color w:val="auto"/>
          <w:sz w:val="24"/>
          <w:szCs w:val="24"/>
        </w:rPr>
        <w:t>、</w:t>
      </w:r>
      <w:r>
        <w:rPr>
          <w:rFonts w:ascii="宋体" w:hAnsi="宋体"/>
          <w:color w:val="auto"/>
          <w:sz w:val="24"/>
          <w:szCs w:val="24"/>
        </w:rPr>
        <w:t>分项评分超出评分标准范围的</w:t>
      </w:r>
      <w:r>
        <w:rPr>
          <w:rFonts w:hint="eastAsia" w:ascii="宋体" w:hAnsi="宋体"/>
          <w:color w:val="auto"/>
          <w:sz w:val="24"/>
          <w:szCs w:val="24"/>
        </w:rPr>
        <w:t>、</w:t>
      </w:r>
      <w:r>
        <w:rPr>
          <w:rFonts w:ascii="宋体" w:hAnsi="宋体"/>
          <w:color w:val="auto"/>
          <w:sz w:val="24"/>
          <w:szCs w:val="24"/>
        </w:rPr>
        <w:t>评标委员会成员对客观评审因素评分不一致的</w:t>
      </w:r>
      <w:r>
        <w:rPr>
          <w:rFonts w:hint="eastAsia" w:ascii="宋体" w:hAnsi="宋体"/>
          <w:color w:val="auto"/>
          <w:sz w:val="24"/>
          <w:szCs w:val="24"/>
        </w:rPr>
        <w:t>、</w:t>
      </w:r>
      <w:r>
        <w:rPr>
          <w:rFonts w:ascii="宋体" w:hAnsi="宋体"/>
          <w:color w:val="auto"/>
          <w:sz w:val="24"/>
          <w:szCs w:val="24"/>
        </w:rPr>
        <w:t>经评标委员会认定评分畸高、畸低的</w:t>
      </w:r>
      <w:r>
        <w:rPr>
          <w:rFonts w:hint="eastAsia" w:ascii="宋体" w:hAnsi="宋体"/>
          <w:color w:val="auto"/>
          <w:sz w:val="24"/>
          <w:szCs w:val="24"/>
        </w:rPr>
        <w:t>，</w:t>
      </w:r>
      <w:r>
        <w:rPr>
          <w:rFonts w:ascii="宋体" w:hAnsi="宋体"/>
          <w:color w:val="auto"/>
          <w:sz w:val="24"/>
          <w:szCs w:val="24"/>
        </w:rPr>
        <w:t>要求评标委员会复核或者书面说明理由</w:t>
      </w:r>
      <w:r>
        <w:rPr>
          <w:rFonts w:hint="eastAsia" w:ascii="宋体" w:hAnsi="宋体"/>
          <w:color w:val="auto"/>
          <w:sz w:val="24"/>
          <w:szCs w:val="24"/>
        </w:rPr>
        <w:t>。</w:t>
      </w:r>
      <w:r>
        <w:rPr>
          <w:rFonts w:ascii="宋体" w:hAnsi="宋体"/>
          <w:color w:val="auto"/>
          <w:sz w:val="24"/>
          <w:szCs w:val="24"/>
        </w:rPr>
        <w:t>评标委员会拒绝的，应予记录并向本级财政部门报告；</w:t>
      </w:r>
    </w:p>
    <w:p w14:paraId="3F5424EE">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24</w:t>
      </w:r>
      <w:r>
        <w:rPr>
          <w:rFonts w:hint="eastAsia" w:ascii="宋体" w:hAnsi="宋体"/>
          <w:color w:val="auto"/>
          <w:sz w:val="24"/>
          <w:szCs w:val="24"/>
        </w:rPr>
        <w:t>.9</w:t>
      </w:r>
      <w:r>
        <w:rPr>
          <w:rFonts w:ascii="宋体" w:hAnsi="宋体"/>
          <w:color w:val="auto"/>
          <w:sz w:val="24"/>
          <w:szCs w:val="24"/>
        </w:rPr>
        <w:t>与评标有关的其他事项</w:t>
      </w:r>
      <w:r>
        <w:rPr>
          <w:rFonts w:hint="eastAsia" w:ascii="宋体" w:hAnsi="宋体"/>
          <w:color w:val="auto"/>
          <w:sz w:val="24"/>
          <w:szCs w:val="24"/>
        </w:rPr>
        <w:t>。</w:t>
      </w:r>
    </w:p>
    <w:p w14:paraId="2F8A1718">
      <w:pPr>
        <w:overflowPunct w:val="0"/>
        <w:adjustRightInd w:val="0"/>
        <w:snapToGrid w:val="0"/>
        <w:spacing w:line="360" w:lineRule="auto"/>
        <w:ind w:firstLine="482" w:firstLineChars="200"/>
        <w:rPr>
          <w:rFonts w:ascii="宋体" w:hAnsi="宋体"/>
          <w:color w:val="auto"/>
          <w:sz w:val="24"/>
          <w:szCs w:val="24"/>
        </w:rPr>
      </w:pPr>
      <w:r>
        <w:rPr>
          <w:rFonts w:ascii="宋体" w:hAnsi="宋体"/>
          <w:b/>
          <w:color w:val="auto"/>
          <w:sz w:val="24"/>
          <w:szCs w:val="24"/>
        </w:rPr>
        <w:t>2</w:t>
      </w:r>
      <w:r>
        <w:rPr>
          <w:rFonts w:hint="eastAsia" w:ascii="宋体" w:hAnsi="宋体"/>
          <w:b/>
          <w:color w:val="auto"/>
          <w:sz w:val="24"/>
          <w:szCs w:val="24"/>
          <w:lang w:eastAsia="zh-CN"/>
        </w:rPr>
        <w:t>5.</w:t>
      </w:r>
      <w:r>
        <w:rPr>
          <w:rFonts w:hint="eastAsia" w:ascii="宋体" w:hAnsi="宋体"/>
          <w:b/>
          <w:color w:val="auto"/>
          <w:sz w:val="24"/>
          <w:szCs w:val="24"/>
        </w:rPr>
        <w:t>评标委员会</w:t>
      </w:r>
      <w:bookmarkEnd w:id="60"/>
    </w:p>
    <w:p w14:paraId="2F7201FE">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.1 采购人将根据本次招标项目的特点，</w:t>
      </w:r>
      <w:r>
        <w:rPr>
          <w:rFonts w:hint="eastAsia" w:ascii="宋体" w:hAnsi="宋体"/>
          <w:color w:val="auto"/>
          <w:sz w:val="24"/>
          <w:szCs w:val="24"/>
          <w:lang w:val="en-US" w:eastAsia="zh-CN"/>
        </w:rPr>
        <w:t>按</w:t>
      </w:r>
      <w:r>
        <w:rPr>
          <w:rFonts w:hint="eastAsia" w:ascii="宋体" w:hAnsi="宋体"/>
          <w:color w:val="auto"/>
          <w:sz w:val="24"/>
          <w:szCs w:val="24"/>
        </w:rPr>
        <w:t>照《中华人民共和国政府采购法》</w:t>
      </w:r>
      <w:r>
        <w:rPr>
          <w:rFonts w:hint="eastAsia" w:ascii="宋体" w:hAnsi="宋体"/>
          <w:color w:val="auto"/>
          <w:sz w:val="24"/>
          <w:szCs w:val="24"/>
          <w:lang w:val="en-US" w:eastAsia="zh-CN"/>
        </w:rPr>
        <w:t>和</w:t>
      </w:r>
      <w:r>
        <w:rPr>
          <w:rFonts w:hint="eastAsia" w:ascii="宋体" w:hAnsi="宋体"/>
          <w:color w:val="auto"/>
          <w:sz w:val="24"/>
          <w:szCs w:val="24"/>
        </w:rPr>
        <w:t>《政府采购货物和服务招标管理办法》等有关规定组建评标委员会；</w:t>
      </w:r>
    </w:p>
    <w:p w14:paraId="7C8F177A">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.2 评标委员会成员由采购人及评审专家组成，负责评标活动。专家人选在专家库中随机抽取，</w:t>
      </w:r>
      <w:r>
        <w:rPr>
          <w:rFonts w:ascii="宋体" w:hAnsi="宋体"/>
          <w:color w:val="auto"/>
          <w:sz w:val="24"/>
          <w:szCs w:val="24"/>
        </w:rPr>
        <w:t>其中评审专家不得少于成员总数的三分之二</w:t>
      </w:r>
      <w:r>
        <w:rPr>
          <w:rFonts w:hint="eastAsia" w:ascii="宋体" w:hAnsi="宋体"/>
          <w:color w:val="auto"/>
          <w:sz w:val="24"/>
          <w:szCs w:val="24"/>
        </w:rPr>
        <w:t>；</w:t>
      </w:r>
    </w:p>
    <w:p w14:paraId="6F08C944">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.3评审专家从省级以上财政部门设立的政府采购评审专家库中，通过随机方式抽取评审专家；</w:t>
      </w:r>
    </w:p>
    <w:p w14:paraId="30700ABE">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.4 评标委员会成员对各投标人投标文件进行</w:t>
      </w:r>
      <w:r>
        <w:rPr>
          <w:rFonts w:ascii="宋体" w:hAnsi="宋体"/>
          <w:color w:val="auto"/>
          <w:sz w:val="24"/>
          <w:szCs w:val="24"/>
        </w:rPr>
        <w:t>审查、评价投标文件是否符合招标文件的商务、技术等实质性要求；</w:t>
      </w:r>
    </w:p>
    <w:p w14:paraId="40CA2BAC">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.5</w:t>
      </w:r>
      <w:r>
        <w:rPr>
          <w:rFonts w:ascii="宋体" w:hAnsi="宋体"/>
          <w:color w:val="auto"/>
          <w:sz w:val="24"/>
          <w:szCs w:val="24"/>
        </w:rPr>
        <w:t>要求投标人对投标文件有关事项作出澄清或者说明；</w:t>
      </w:r>
    </w:p>
    <w:p w14:paraId="0476E5FE">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.6</w:t>
      </w:r>
      <w:r>
        <w:rPr>
          <w:rFonts w:ascii="宋体" w:hAnsi="宋体"/>
          <w:color w:val="auto"/>
          <w:sz w:val="24"/>
          <w:szCs w:val="24"/>
        </w:rPr>
        <w:t>对投标文件进行比较和评价；</w:t>
      </w:r>
    </w:p>
    <w:p w14:paraId="247623D8">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.7</w:t>
      </w:r>
      <w:r>
        <w:rPr>
          <w:rFonts w:ascii="宋体" w:hAnsi="宋体"/>
          <w:color w:val="auto"/>
          <w:sz w:val="24"/>
          <w:szCs w:val="24"/>
        </w:rPr>
        <w:t>确定中标候选人名单，</w:t>
      </w:r>
      <w:r>
        <w:rPr>
          <w:rFonts w:hint="eastAsia" w:ascii="宋体" w:hAnsi="宋体"/>
          <w:color w:val="auto"/>
          <w:sz w:val="24"/>
          <w:szCs w:val="24"/>
        </w:rPr>
        <w:t>或</w:t>
      </w:r>
      <w:r>
        <w:rPr>
          <w:rFonts w:ascii="宋体" w:hAnsi="宋体"/>
          <w:color w:val="auto"/>
          <w:sz w:val="24"/>
          <w:szCs w:val="24"/>
        </w:rPr>
        <w:t>根据采购人委托直接确定中标人；</w:t>
      </w:r>
    </w:p>
    <w:p w14:paraId="6CB794A9">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.8</w:t>
      </w:r>
      <w:r>
        <w:rPr>
          <w:rFonts w:ascii="宋体" w:hAnsi="宋体"/>
          <w:color w:val="auto"/>
          <w:sz w:val="24"/>
          <w:szCs w:val="24"/>
        </w:rPr>
        <w:t>向采购人、采购代理机构或者有关部门报告评标中发现的违法行为</w:t>
      </w:r>
      <w:r>
        <w:rPr>
          <w:rFonts w:hint="eastAsia" w:ascii="宋体" w:hAnsi="宋体"/>
          <w:color w:val="auto"/>
          <w:sz w:val="24"/>
          <w:szCs w:val="24"/>
        </w:rPr>
        <w:t>（如果有）；</w:t>
      </w:r>
    </w:p>
    <w:p w14:paraId="68E70875">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25</w:t>
      </w:r>
      <w:r>
        <w:rPr>
          <w:rFonts w:hint="eastAsia" w:ascii="宋体" w:hAnsi="宋体"/>
          <w:color w:val="auto"/>
          <w:sz w:val="24"/>
          <w:szCs w:val="24"/>
        </w:rPr>
        <w:t>.9评标委员会有权对整个招标过程中出现的一切问题，根据《中华人民共和国政府采购法》和《政府采购货物和服务招标管理办法》的规定，本着公开、公平、公正的原则，进行处理。</w:t>
      </w:r>
    </w:p>
    <w:p w14:paraId="505648E5">
      <w:pPr>
        <w:overflowPunct w:val="0"/>
        <w:adjustRightInd w:val="0"/>
        <w:snapToGrid w:val="0"/>
        <w:spacing w:line="360" w:lineRule="auto"/>
        <w:ind w:firstLine="482" w:firstLineChars="200"/>
        <w:rPr>
          <w:rFonts w:ascii="宋体" w:hAnsi="宋体"/>
          <w:color w:val="auto"/>
          <w:sz w:val="24"/>
          <w:szCs w:val="24"/>
        </w:rPr>
      </w:pPr>
      <w:bookmarkStart w:id="61" w:name="_Toc311415601"/>
      <w:bookmarkStart w:id="62" w:name="_Toc311415600"/>
      <w:r>
        <w:rPr>
          <w:rFonts w:ascii="宋体" w:hAnsi="宋体"/>
          <w:b/>
          <w:color w:val="auto"/>
          <w:sz w:val="24"/>
          <w:szCs w:val="24"/>
        </w:rPr>
        <w:t>2</w:t>
      </w:r>
      <w:r>
        <w:rPr>
          <w:rFonts w:hint="eastAsia" w:ascii="宋体" w:hAnsi="宋体"/>
          <w:b/>
          <w:color w:val="auto"/>
          <w:sz w:val="24"/>
          <w:szCs w:val="24"/>
          <w:lang w:eastAsia="zh-CN"/>
        </w:rPr>
        <w:t>6.</w:t>
      </w:r>
      <w:r>
        <w:rPr>
          <w:rFonts w:hint="eastAsia" w:ascii="宋体" w:hAnsi="宋体"/>
          <w:b/>
          <w:color w:val="auto"/>
          <w:sz w:val="24"/>
          <w:szCs w:val="24"/>
        </w:rPr>
        <w:t>投标文件的初审</w:t>
      </w:r>
      <w:bookmarkEnd w:id="61"/>
    </w:p>
    <w:p w14:paraId="3B6E25CA">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26</w:t>
      </w:r>
      <w:r>
        <w:rPr>
          <w:rFonts w:hint="eastAsia" w:ascii="宋体" w:hAnsi="宋体"/>
          <w:color w:val="auto"/>
          <w:sz w:val="24"/>
          <w:szCs w:val="24"/>
        </w:rPr>
        <w:t>.1投标文件的资格性审查：依据法律法规和招标文件的规定，对投标人按照招标文件中投标人须知前附表第</w:t>
      </w:r>
      <w:r>
        <w:rPr>
          <w:rFonts w:hint="eastAsia" w:ascii="宋体" w:hAnsi="宋体"/>
          <w:color w:val="auto"/>
          <w:sz w:val="24"/>
          <w:szCs w:val="24"/>
          <w:lang w:val="en-US" w:eastAsia="zh-CN"/>
        </w:rPr>
        <w:t>13</w:t>
      </w:r>
      <w:r>
        <w:rPr>
          <w:rFonts w:hint="eastAsia" w:ascii="宋体" w:hAnsi="宋体"/>
          <w:color w:val="auto"/>
          <w:sz w:val="24"/>
          <w:szCs w:val="24"/>
        </w:rPr>
        <w:t>条要求进行资格审查，以确保投标人是否具备相应的投标资格，任意一条不符合要求的，按无效投标处理。</w:t>
      </w:r>
    </w:p>
    <w:p w14:paraId="24372364">
      <w:pPr>
        <w:overflowPunct w:val="0"/>
        <w:adjustRightInd w:val="0"/>
        <w:snapToGrid w:val="0"/>
        <w:spacing w:line="360" w:lineRule="auto"/>
        <w:ind w:firstLine="480" w:firstLineChars="200"/>
        <w:rPr>
          <w:rFonts w:hint="eastAsia" w:ascii="宋体" w:hAnsi="宋体" w:eastAsia="宋体" w:cs="Times New Roman"/>
          <w:color w:val="auto"/>
          <w:sz w:val="24"/>
          <w:szCs w:val="24"/>
        </w:rPr>
      </w:pPr>
      <w:r>
        <w:rPr>
          <w:rFonts w:ascii="宋体" w:hAnsi="宋体"/>
          <w:color w:val="auto"/>
          <w:sz w:val="24"/>
          <w:szCs w:val="24"/>
        </w:rPr>
        <w:t>26</w:t>
      </w:r>
      <w:r>
        <w:rPr>
          <w:rFonts w:hint="eastAsia" w:ascii="宋体" w:hAnsi="宋体"/>
          <w:color w:val="auto"/>
          <w:sz w:val="24"/>
          <w:szCs w:val="24"/>
        </w:rPr>
        <w:t>.2投标文件符合性审查：依据招标文件的规定，从投标文件的完整性、有效性和对招标文件的响应程度进行审查，以确定是否对招标文件的实质性内容作出响应</w:t>
      </w:r>
      <w:r>
        <w:rPr>
          <w:rFonts w:hint="eastAsia" w:ascii="宋体" w:hAnsi="宋体"/>
          <w:color w:val="auto"/>
          <w:sz w:val="24"/>
          <w:szCs w:val="24"/>
          <w:lang w:val="zh-CN"/>
        </w:rPr>
        <w:t>。</w:t>
      </w:r>
      <w:r>
        <w:rPr>
          <w:rFonts w:hint="eastAsia" w:ascii="宋体" w:hAnsi="宋体" w:eastAsia="宋体" w:cs="Times New Roman"/>
          <w:color w:val="auto"/>
          <w:sz w:val="24"/>
          <w:szCs w:val="24"/>
        </w:rPr>
        <w:t>审查应包含以下内容：</w:t>
      </w:r>
    </w:p>
    <w:tbl>
      <w:tblPr>
        <w:tblStyle w:val="42"/>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2361"/>
        <w:gridCol w:w="3765"/>
        <w:gridCol w:w="1005"/>
        <w:gridCol w:w="1495"/>
      </w:tblGrid>
      <w:tr w14:paraId="6BE5F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shd w:val="clear" w:color="auto" w:fill="E5B8B7" w:themeFill="accent2" w:themeFillTint="66"/>
          </w:tcPr>
          <w:p w14:paraId="158FC109">
            <w:pPr>
              <w:keepNext w:val="0"/>
              <w:keepLines w:val="0"/>
              <w:widowControl/>
              <w:suppressLineNumbers w:val="0"/>
              <w:spacing w:before="0" w:beforeAutospacing="0" w:after="0" w:afterAutospacing="0" w:line="288" w:lineRule="auto"/>
              <w:ind w:left="0" w:right="0"/>
              <w:rPr>
                <w:rFonts w:hint="default" w:ascii="宋体" w:hAnsi="宋体" w:cs="宋体"/>
                <w:b/>
                <w:bCs/>
                <w:color w:val="auto"/>
                <w:kern w:val="0"/>
                <w:sz w:val="24"/>
                <w:szCs w:val="24"/>
              </w:rPr>
            </w:pPr>
            <w:r>
              <w:rPr>
                <w:rFonts w:hint="eastAsia" w:ascii="宋体" w:hAnsi="宋体" w:cs="宋体"/>
                <w:b/>
                <w:bCs/>
                <w:color w:val="auto"/>
                <w:kern w:val="0"/>
                <w:sz w:val="24"/>
                <w:szCs w:val="24"/>
              </w:rPr>
              <w:t>序号</w:t>
            </w:r>
          </w:p>
        </w:tc>
        <w:tc>
          <w:tcPr>
            <w:tcW w:w="2361"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07D7690">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符合性审查项</w:t>
            </w:r>
          </w:p>
        </w:tc>
        <w:tc>
          <w:tcPr>
            <w:tcW w:w="376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2E47B41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通过条件</w:t>
            </w:r>
          </w:p>
        </w:tc>
        <w:tc>
          <w:tcPr>
            <w:tcW w:w="100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0C837E26">
            <w:pPr>
              <w:keepNext w:val="0"/>
              <w:keepLines w:val="0"/>
              <w:widowControl/>
              <w:suppressLineNumbers w:val="0"/>
              <w:spacing w:before="0" w:beforeAutospacing="0" w:after="0" w:afterAutospacing="0" w:line="288" w:lineRule="auto"/>
              <w:ind w:left="0" w:right="0"/>
              <w:rPr>
                <w:rFonts w:hint="default" w:ascii="宋体" w:hAnsi="宋体" w:cs="宋体"/>
                <w:b/>
                <w:bCs/>
                <w:color w:val="auto"/>
                <w:kern w:val="0"/>
                <w:sz w:val="24"/>
                <w:szCs w:val="24"/>
              </w:rPr>
            </w:pPr>
            <w:r>
              <w:rPr>
                <w:rFonts w:hint="eastAsia" w:ascii="宋体" w:hAnsi="宋体" w:cs="宋体"/>
                <w:b/>
                <w:bCs/>
                <w:color w:val="auto"/>
                <w:kern w:val="0"/>
                <w:sz w:val="24"/>
                <w:szCs w:val="24"/>
              </w:rPr>
              <w:t>结论</w:t>
            </w:r>
          </w:p>
        </w:tc>
        <w:tc>
          <w:tcPr>
            <w:tcW w:w="1495" w:type="dxa"/>
            <w:tcBorders>
              <w:top w:val="single" w:color="auto" w:sz="4" w:space="0"/>
              <w:left w:val="single" w:color="auto" w:sz="4" w:space="0"/>
              <w:bottom w:val="single" w:color="auto" w:sz="4" w:space="0"/>
              <w:right w:val="single" w:color="auto" w:sz="4" w:space="0"/>
            </w:tcBorders>
            <w:shd w:val="clear" w:color="auto" w:fill="E5B8B7" w:themeFill="accent2" w:themeFillTint="66"/>
            <w:vAlign w:val="center"/>
          </w:tcPr>
          <w:p w14:paraId="628D68FB">
            <w:pPr>
              <w:keepNext w:val="0"/>
              <w:keepLines w:val="0"/>
              <w:widowControl/>
              <w:suppressLineNumbers w:val="0"/>
              <w:spacing w:before="0" w:beforeAutospacing="0" w:after="0" w:afterAutospacing="0" w:line="288" w:lineRule="auto"/>
              <w:ind w:left="0" w:right="0"/>
              <w:jc w:val="center"/>
              <w:rPr>
                <w:rFonts w:hint="default" w:ascii="宋体" w:hAnsi="宋体" w:cs="宋体"/>
                <w:b/>
                <w:bCs/>
                <w:color w:val="auto"/>
                <w:kern w:val="0"/>
                <w:sz w:val="24"/>
                <w:szCs w:val="24"/>
              </w:rPr>
            </w:pPr>
            <w:r>
              <w:rPr>
                <w:rFonts w:hint="eastAsia" w:ascii="宋体" w:hAnsi="宋体" w:cs="宋体"/>
                <w:b/>
                <w:bCs/>
                <w:color w:val="auto"/>
                <w:kern w:val="0"/>
                <w:sz w:val="24"/>
                <w:szCs w:val="24"/>
              </w:rPr>
              <w:t>未通过原因</w:t>
            </w:r>
          </w:p>
        </w:tc>
      </w:tr>
      <w:tr w14:paraId="6CC4C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3EC2E7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1</w:t>
            </w:r>
          </w:p>
        </w:tc>
        <w:tc>
          <w:tcPr>
            <w:tcW w:w="2361" w:type="dxa"/>
            <w:tcBorders>
              <w:top w:val="single" w:color="auto" w:sz="4" w:space="0"/>
              <w:left w:val="single" w:color="auto" w:sz="4" w:space="0"/>
              <w:bottom w:val="single" w:color="auto" w:sz="4" w:space="0"/>
              <w:right w:val="single" w:color="auto" w:sz="4" w:space="0"/>
            </w:tcBorders>
          </w:tcPr>
          <w:p w14:paraId="15B31FF2">
            <w:pPr>
              <w:keepNext w:val="0"/>
              <w:keepLines w:val="0"/>
              <w:widowControl/>
              <w:suppressLineNumbers w:val="0"/>
              <w:spacing w:before="0" w:beforeAutospacing="0" w:after="0" w:afterAutospacing="0" w:line="288" w:lineRule="auto"/>
              <w:ind w:left="0" w:right="0" w:firstLine="200"/>
              <w:rPr>
                <w:rFonts w:hint="eastAsia" w:ascii="宋体" w:hAnsi="宋体" w:eastAsia="宋体" w:cs="宋体"/>
                <w:bCs/>
                <w:color w:val="auto"/>
                <w:kern w:val="0"/>
                <w:sz w:val="24"/>
                <w:szCs w:val="24"/>
                <w:lang w:eastAsia="zh-CN"/>
              </w:rPr>
            </w:pPr>
            <w:r>
              <w:rPr>
                <w:rFonts w:hint="eastAsia" w:ascii="宋体" w:hAnsi="宋体" w:cs="宋体"/>
                <w:bCs/>
                <w:color w:val="auto"/>
                <w:kern w:val="0"/>
                <w:sz w:val="24"/>
                <w:szCs w:val="24"/>
              </w:rPr>
              <w:t>投标文件封面、投标函、法定代表人委托授权书三处的项目名称、项目编号、标段</w:t>
            </w:r>
            <w:r>
              <w:rPr>
                <w:rFonts w:hint="eastAsia" w:ascii="宋体" w:hAnsi="宋体" w:cs="宋体"/>
                <w:bCs/>
                <w:color w:val="auto"/>
                <w:kern w:val="0"/>
                <w:sz w:val="24"/>
                <w:szCs w:val="24"/>
                <w:lang w:eastAsia="zh-CN"/>
              </w:rPr>
              <w:t>（</w:t>
            </w:r>
            <w:r>
              <w:rPr>
                <w:rFonts w:hint="eastAsia" w:ascii="宋体" w:hAnsi="宋体" w:cs="宋体"/>
                <w:bCs/>
                <w:color w:val="auto"/>
                <w:kern w:val="0"/>
                <w:sz w:val="24"/>
                <w:szCs w:val="24"/>
                <w:lang w:val="en-US" w:eastAsia="zh-CN"/>
              </w:rPr>
              <w:t>未分标段的除外</w:t>
            </w:r>
            <w:r>
              <w:rPr>
                <w:rFonts w:hint="eastAsia" w:ascii="宋体" w:hAnsi="宋体" w:cs="宋体"/>
                <w:bCs/>
                <w:color w:val="auto"/>
                <w:kern w:val="0"/>
                <w:sz w:val="24"/>
                <w:szCs w:val="24"/>
                <w:lang w:eastAsia="zh-CN"/>
              </w:rPr>
              <w:t>）</w:t>
            </w:r>
          </w:p>
        </w:tc>
        <w:tc>
          <w:tcPr>
            <w:tcW w:w="3765" w:type="dxa"/>
            <w:tcBorders>
              <w:top w:val="single" w:color="auto" w:sz="4" w:space="0"/>
              <w:left w:val="single" w:color="auto" w:sz="4" w:space="0"/>
              <w:bottom w:val="single" w:color="auto" w:sz="4" w:space="0"/>
              <w:right w:val="single" w:color="auto" w:sz="4" w:space="0"/>
            </w:tcBorders>
            <w:vAlign w:val="center"/>
          </w:tcPr>
          <w:p w14:paraId="65BC0745">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三处均无遗漏，且与所投项目名称、项目编号、标段完全一致。</w:t>
            </w:r>
          </w:p>
        </w:tc>
        <w:tc>
          <w:tcPr>
            <w:tcW w:w="1005" w:type="dxa"/>
            <w:tcBorders>
              <w:top w:val="single" w:color="auto" w:sz="4" w:space="0"/>
              <w:left w:val="single" w:color="auto" w:sz="4" w:space="0"/>
              <w:bottom w:val="single" w:color="auto" w:sz="4" w:space="0"/>
              <w:right w:val="single" w:color="auto" w:sz="4" w:space="0"/>
            </w:tcBorders>
          </w:tcPr>
          <w:p w14:paraId="13370C5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037837A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3C23E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01AA071A">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2</w:t>
            </w:r>
          </w:p>
        </w:tc>
        <w:tc>
          <w:tcPr>
            <w:tcW w:w="2361" w:type="dxa"/>
            <w:tcBorders>
              <w:top w:val="single" w:color="auto" w:sz="4" w:space="0"/>
              <w:left w:val="single" w:color="auto" w:sz="4" w:space="0"/>
              <w:bottom w:val="single" w:color="auto" w:sz="4" w:space="0"/>
              <w:right w:val="single" w:color="auto" w:sz="4" w:space="0"/>
            </w:tcBorders>
            <w:vAlign w:val="center"/>
          </w:tcPr>
          <w:p w14:paraId="4BF677B8">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投标文件签署、盖章</w:t>
            </w:r>
          </w:p>
        </w:tc>
        <w:tc>
          <w:tcPr>
            <w:tcW w:w="3765" w:type="dxa"/>
            <w:tcBorders>
              <w:top w:val="single" w:color="auto" w:sz="4" w:space="0"/>
              <w:left w:val="single" w:color="auto" w:sz="4" w:space="0"/>
              <w:bottom w:val="single" w:color="auto" w:sz="4" w:space="0"/>
              <w:right w:val="single" w:color="auto" w:sz="4" w:space="0"/>
            </w:tcBorders>
          </w:tcPr>
          <w:p w14:paraId="522D4979">
            <w:pPr>
              <w:keepNext w:val="0"/>
              <w:keepLines w:val="0"/>
              <w:widowControl/>
              <w:suppressLineNumbers w:val="0"/>
              <w:spacing w:before="0" w:beforeAutospacing="0" w:after="0" w:afterAutospacing="0" w:line="288" w:lineRule="auto"/>
              <w:ind w:left="0" w:right="0" w:firstLine="200"/>
              <w:rPr>
                <w:rFonts w:hint="default" w:ascii="宋体" w:hAnsi="宋体" w:cs="宋体"/>
                <w:color w:val="auto"/>
                <w:sz w:val="24"/>
                <w:szCs w:val="24"/>
              </w:rPr>
            </w:pPr>
            <w:r>
              <w:rPr>
                <w:rFonts w:hint="eastAsia" w:ascii="宋体" w:hAnsi="宋体" w:cs="宋体"/>
                <w:color w:val="auto"/>
                <w:sz w:val="24"/>
                <w:szCs w:val="24"/>
              </w:rPr>
              <w:t>均按招标文件要求签字、盖章。</w:t>
            </w:r>
          </w:p>
          <w:p w14:paraId="6551FFE5">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color w:val="auto"/>
                <w:sz w:val="24"/>
                <w:szCs w:val="24"/>
              </w:rPr>
              <w:t>（《评标要素及分值一览表》中要求提供的证明材料除外）。</w:t>
            </w:r>
          </w:p>
        </w:tc>
        <w:tc>
          <w:tcPr>
            <w:tcW w:w="1005" w:type="dxa"/>
            <w:tcBorders>
              <w:top w:val="single" w:color="auto" w:sz="4" w:space="0"/>
              <w:left w:val="single" w:color="auto" w:sz="4" w:space="0"/>
              <w:bottom w:val="single" w:color="auto" w:sz="4" w:space="0"/>
              <w:right w:val="single" w:color="auto" w:sz="4" w:space="0"/>
            </w:tcBorders>
          </w:tcPr>
          <w:p w14:paraId="651097C5">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09D94920">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4141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6FBB87CB">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3</w:t>
            </w:r>
          </w:p>
        </w:tc>
        <w:tc>
          <w:tcPr>
            <w:tcW w:w="2361" w:type="dxa"/>
            <w:tcBorders>
              <w:top w:val="single" w:color="auto" w:sz="4" w:space="0"/>
              <w:left w:val="single" w:color="auto" w:sz="4" w:space="0"/>
              <w:bottom w:val="single" w:color="auto" w:sz="4" w:space="0"/>
              <w:right w:val="single" w:color="auto" w:sz="4" w:space="0"/>
            </w:tcBorders>
            <w:vAlign w:val="center"/>
          </w:tcPr>
          <w:p w14:paraId="225E8742">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highlight w:val="red"/>
              </w:rPr>
            </w:pPr>
            <w:r>
              <w:rPr>
                <w:rFonts w:hint="eastAsia" w:ascii="宋体" w:hAnsi="宋体" w:cs="宋体"/>
                <w:bCs/>
                <w:color w:val="auto"/>
                <w:kern w:val="0"/>
                <w:sz w:val="24"/>
                <w:szCs w:val="24"/>
              </w:rPr>
              <w:t>投标文件组成</w:t>
            </w:r>
          </w:p>
        </w:tc>
        <w:tc>
          <w:tcPr>
            <w:tcW w:w="3765" w:type="dxa"/>
            <w:tcBorders>
              <w:top w:val="single" w:color="auto" w:sz="4" w:space="0"/>
              <w:left w:val="single" w:color="auto" w:sz="4" w:space="0"/>
              <w:bottom w:val="single" w:color="auto" w:sz="4" w:space="0"/>
              <w:right w:val="single" w:color="auto" w:sz="4" w:space="0"/>
            </w:tcBorders>
          </w:tcPr>
          <w:p w14:paraId="70B83DAE">
            <w:pPr>
              <w:keepNext w:val="0"/>
              <w:keepLines w:val="0"/>
              <w:widowControl/>
              <w:suppressLineNumbers w:val="0"/>
              <w:spacing w:before="0" w:beforeAutospacing="0" w:after="0" w:afterAutospacing="0" w:line="288" w:lineRule="auto"/>
              <w:ind w:left="0" w:right="0" w:firstLine="200"/>
              <w:rPr>
                <w:rFonts w:hint="default" w:ascii="宋体" w:hAnsi="宋体" w:cs="宋体"/>
                <w:color w:val="auto"/>
                <w:sz w:val="24"/>
                <w:szCs w:val="24"/>
              </w:rPr>
            </w:pPr>
            <w:r>
              <w:rPr>
                <w:rFonts w:hint="eastAsia" w:ascii="宋体" w:hAnsi="宋体" w:cs="宋体"/>
                <w:color w:val="auto"/>
                <w:sz w:val="24"/>
                <w:szCs w:val="24"/>
              </w:rPr>
              <w:t>投标文件应包含以下内容：</w:t>
            </w:r>
          </w:p>
          <w:p w14:paraId="2D541CCB">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auto"/>
                <w:kern w:val="0"/>
                <w:sz w:val="24"/>
                <w:szCs w:val="24"/>
              </w:rPr>
            </w:pPr>
            <w:r>
              <w:rPr>
                <w:rFonts w:hint="eastAsia" w:ascii="宋体" w:hAnsi="宋体" w:cs="宋体"/>
                <w:color w:val="auto"/>
                <w:kern w:val="0"/>
                <w:sz w:val="24"/>
                <w:szCs w:val="24"/>
              </w:rPr>
              <w:t>一、投标函</w:t>
            </w:r>
          </w:p>
          <w:p w14:paraId="50D36812">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auto"/>
                <w:kern w:val="0"/>
                <w:sz w:val="24"/>
                <w:szCs w:val="24"/>
              </w:rPr>
            </w:pPr>
            <w:r>
              <w:rPr>
                <w:rFonts w:hint="eastAsia" w:ascii="宋体" w:hAnsi="宋体" w:cs="宋体"/>
                <w:color w:val="auto"/>
                <w:kern w:val="0"/>
                <w:sz w:val="24"/>
                <w:szCs w:val="24"/>
              </w:rPr>
              <w:t>二、投标一览表</w:t>
            </w:r>
          </w:p>
          <w:p w14:paraId="3E47B98C">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auto"/>
                <w:kern w:val="0"/>
                <w:sz w:val="24"/>
                <w:szCs w:val="24"/>
              </w:rPr>
            </w:pPr>
            <w:r>
              <w:rPr>
                <w:rFonts w:hint="eastAsia" w:ascii="宋体" w:hAnsi="宋体" w:cs="宋体"/>
                <w:color w:val="auto"/>
                <w:kern w:val="0"/>
                <w:sz w:val="24"/>
                <w:szCs w:val="24"/>
              </w:rPr>
              <w:t>三、资格证明文件</w:t>
            </w:r>
          </w:p>
          <w:p w14:paraId="578C0F4D">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auto"/>
                <w:kern w:val="0"/>
                <w:sz w:val="24"/>
                <w:szCs w:val="24"/>
              </w:rPr>
            </w:pPr>
            <w:r>
              <w:rPr>
                <w:rFonts w:hint="eastAsia" w:ascii="宋体" w:hAnsi="宋体" w:cs="宋体"/>
                <w:color w:val="auto"/>
                <w:kern w:val="0"/>
                <w:sz w:val="24"/>
                <w:szCs w:val="24"/>
              </w:rPr>
              <w:t>四、技术商务偏离表</w:t>
            </w:r>
          </w:p>
          <w:p w14:paraId="7239D97A">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color w:val="auto"/>
                <w:kern w:val="0"/>
                <w:sz w:val="24"/>
                <w:szCs w:val="24"/>
              </w:rPr>
            </w:pPr>
            <w:r>
              <w:rPr>
                <w:rFonts w:hint="eastAsia" w:ascii="宋体" w:hAnsi="宋体" w:cs="宋体"/>
                <w:color w:val="auto"/>
                <w:kern w:val="0"/>
                <w:sz w:val="24"/>
                <w:szCs w:val="24"/>
              </w:rPr>
              <w:t>五、投标方案</w:t>
            </w:r>
          </w:p>
          <w:p w14:paraId="2BE3C004">
            <w:pPr>
              <w:pStyle w:val="28"/>
              <w:keepNext w:val="0"/>
              <w:keepLines w:val="0"/>
              <w:suppressLineNumbers w:val="0"/>
              <w:spacing w:before="0" w:beforeAutospacing="0" w:after="0" w:afterAutospacing="0" w:line="288" w:lineRule="auto"/>
              <w:ind w:left="0" w:right="0" w:firstLine="240" w:firstLineChars="100"/>
              <w:rPr>
                <w:rFonts w:hint="default" w:ascii="宋体" w:hAnsi="宋体" w:cs="宋体"/>
                <w:b/>
                <w:bCs/>
                <w:color w:val="auto"/>
                <w:kern w:val="0"/>
                <w:sz w:val="24"/>
                <w:szCs w:val="24"/>
                <w:highlight w:val="red"/>
              </w:rPr>
            </w:pPr>
            <w:r>
              <w:rPr>
                <w:rFonts w:hint="eastAsia" w:ascii="宋体" w:hAnsi="宋体" w:cs="宋体"/>
                <w:color w:val="auto"/>
                <w:kern w:val="0"/>
                <w:sz w:val="24"/>
                <w:szCs w:val="24"/>
              </w:rPr>
              <w:t>六、</w:t>
            </w:r>
            <w:r>
              <w:rPr>
                <w:rFonts w:hint="eastAsia" w:ascii="宋体" w:hAnsi="宋体" w:cs="宋体"/>
                <w:color w:val="auto"/>
                <w:kern w:val="0"/>
                <w:sz w:val="24"/>
                <w:szCs w:val="24"/>
                <w:lang w:val="en-US" w:eastAsia="zh-CN"/>
              </w:rPr>
              <w:t>供应商</w:t>
            </w:r>
            <w:r>
              <w:rPr>
                <w:rFonts w:hint="eastAsia" w:ascii="宋体" w:hAnsi="宋体" w:cs="宋体"/>
                <w:color w:val="auto"/>
                <w:kern w:val="0"/>
                <w:sz w:val="24"/>
                <w:szCs w:val="24"/>
              </w:rPr>
              <w:t>承诺书</w:t>
            </w:r>
          </w:p>
        </w:tc>
        <w:tc>
          <w:tcPr>
            <w:tcW w:w="1005" w:type="dxa"/>
            <w:tcBorders>
              <w:top w:val="single" w:color="auto" w:sz="4" w:space="0"/>
              <w:left w:val="single" w:color="auto" w:sz="4" w:space="0"/>
              <w:bottom w:val="single" w:color="auto" w:sz="4" w:space="0"/>
              <w:right w:val="single" w:color="auto" w:sz="4" w:space="0"/>
            </w:tcBorders>
          </w:tcPr>
          <w:p w14:paraId="67344A5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0414022C">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2553A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5D6BA891">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4</w:t>
            </w:r>
          </w:p>
        </w:tc>
        <w:tc>
          <w:tcPr>
            <w:tcW w:w="2361" w:type="dxa"/>
            <w:tcBorders>
              <w:top w:val="single" w:color="auto" w:sz="4" w:space="0"/>
              <w:left w:val="single" w:color="auto" w:sz="4" w:space="0"/>
              <w:bottom w:val="single" w:color="auto" w:sz="4" w:space="0"/>
              <w:right w:val="single" w:color="auto" w:sz="4" w:space="0"/>
            </w:tcBorders>
            <w:vAlign w:val="center"/>
          </w:tcPr>
          <w:p w14:paraId="7A4F94CC">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投标文件的计量单位、语言、报价货币、投标有效期</w:t>
            </w:r>
          </w:p>
        </w:tc>
        <w:tc>
          <w:tcPr>
            <w:tcW w:w="3765" w:type="dxa"/>
            <w:tcBorders>
              <w:top w:val="single" w:color="auto" w:sz="4" w:space="0"/>
              <w:left w:val="single" w:color="auto" w:sz="4" w:space="0"/>
              <w:bottom w:val="single" w:color="auto" w:sz="4" w:space="0"/>
              <w:right w:val="single" w:color="auto" w:sz="4" w:space="0"/>
            </w:tcBorders>
            <w:vAlign w:val="center"/>
          </w:tcPr>
          <w:p w14:paraId="7EB620E4">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r>
              <w:rPr>
                <w:rFonts w:hint="eastAsia" w:ascii="宋体" w:hAnsi="宋体" w:cs="宋体"/>
                <w:color w:val="auto"/>
                <w:sz w:val="24"/>
                <w:szCs w:val="24"/>
              </w:rPr>
              <w:t>计量单位、语言、报价货币、投标有效期均符合招标文件的要求。</w:t>
            </w:r>
          </w:p>
        </w:tc>
        <w:tc>
          <w:tcPr>
            <w:tcW w:w="1005" w:type="dxa"/>
            <w:tcBorders>
              <w:top w:val="single" w:color="auto" w:sz="4" w:space="0"/>
              <w:left w:val="single" w:color="auto" w:sz="4" w:space="0"/>
              <w:bottom w:val="single" w:color="auto" w:sz="4" w:space="0"/>
              <w:right w:val="single" w:color="auto" w:sz="4" w:space="0"/>
            </w:tcBorders>
            <w:vAlign w:val="center"/>
          </w:tcPr>
          <w:p w14:paraId="72138D1B">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2920227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0BEB6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26DDA234">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5</w:t>
            </w:r>
          </w:p>
        </w:tc>
        <w:tc>
          <w:tcPr>
            <w:tcW w:w="2361" w:type="dxa"/>
            <w:tcBorders>
              <w:top w:val="single" w:color="auto" w:sz="4" w:space="0"/>
              <w:left w:val="single" w:color="auto" w:sz="4" w:space="0"/>
              <w:bottom w:val="single" w:color="auto" w:sz="4" w:space="0"/>
              <w:right w:val="single" w:color="auto" w:sz="4" w:space="0"/>
            </w:tcBorders>
            <w:vAlign w:val="center"/>
          </w:tcPr>
          <w:p w14:paraId="74BEACF9">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投标报价</w:t>
            </w:r>
          </w:p>
        </w:tc>
        <w:tc>
          <w:tcPr>
            <w:tcW w:w="3765" w:type="dxa"/>
            <w:tcBorders>
              <w:top w:val="single" w:color="auto" w:sz="4" w:space="0"/>
              <w:left w:val="single" w:color="auto" w:sz="4" w:space="0"/>
              <w:bottom w:val="single" w:color="auto" w:sz="4" w:space="0"/>
              <w:right w:val="single" w:color="auto" w:sz="4" w:space="0"/>
            </w:tcBorders>
          </w:tcPr>
          <w:p w14:paraId="4297AD7A">
            <w:pPr>
              <w:keepNext w:val="0"/>
              <w:keepLines w:val="0"/>
              <w:widowControl/>
              <w:suppressLineNumbers w:val="0"/>
              <w:spacing w:before="0" w:beforeAutospacing="0" w:after="0" w:afterAutospacing="0" w:line="288" w:lineRule="auto"/>
              <w:ind w:left="0" w:right="0"/>
              <w:rPr>
                <w:rFonts w:hint="default" w:ascii="宋体" w:hAnsi="宋体" w:cs="宋体"/>
                <w:bCs/>
                <w:color w:val="auto"/>
                <w:kern w:val="0"/>
                <w:sz w:val="24"/>
                <w:szCs w:val="24"/>
              </w:rPr>
            </w:pPr>
            <w:r>
              <w:rPr>
                <w:rFonts w:hint="eastAsia" w:ascii="宋体" w:hAnsi="宋体" w:cs="宋体"/>
                <w:bCs/>
                <w:color w:val="auto"/>
                <w:kern w:val="0"/>
                <w:sz w:val="24"/>
                <w:szCs w:val="24"/>
              </w:rPr>
              <w:t>（1）投标报价符合唯一性要求：</w:t>
            </w:r>
          </w:p>
          <w:p w14:paraId="6991D51D">
            <w:pPr>
              <w:keepNext w:val="0"/>
              <w:keepLines w:val="0"/>
              <w:widowControl/>
              <w:suppressLineNumbers w:val="0"/>
              <w:spacing w:before="0" w:beforeAutospacing="0" w:after="0" w:afterAutospacing="0" w:line="288" w:lineRule="auto"/>
              <w:ind w:left="0" w:right="0"/>
              <w:rPr>
                <w:rFonts w:hint="default" w:ascii="宋体" w:hAnsi="宋体" w:cs="宋体"/>
                <w:bCs/>
                <w:color w:val="auto"/>
                <w:kern w:val="0"/>
                <w:sz w:val="24"/>
                <w:szCs w:val="24"/>
              </w:rPr>
            </w:pPr>
            <w:r>
              <w:rPr>
                <w:rFonts w:hint="eastAsia" w:ascii="宋体" w:hAnsi="宋体" w:cs="宋体"/>
                <w:bCs/>
                <w:color w:val="auto"/>
                <w:kern w:val="0"/>
                <w:sz w:val="24"/>
                <w:szCs w:val="24"/>
              </w:rPr>
              <w:t>（2）开标一览表填写符合要求；</w:t>
            </w:r>
          </w:p>
          <w:p w14:paraId="22EB8AD8">
            <w:pPr>
              <w:keepNext w:val="0"/>
              <w:keepLines w:val="0"/>
              <w:widowControl/>
              <w:suppressLineNumbers w:val="0"/>
              <w:spacing w:before="0" w:beforeAutospacing="0" w:after="0" w:afterAutospacing="0" w:line="288" w:lineRule="auto"/>
              <w:ind w:left="0" w:right="0"/>
              <w:rPr>
                <w:rFonts w:hint="default" w:ascii="宋体" w:hAnsi="宋体" w:cs="宋体"/>
                <w:color w:val="auto"/>
                <w:sz w:val="24"/>
                <w:szCs w:val="24"/>
              </w:rPr>
            </w:pPr>
            <w:r>
              <w:rPr>
                <w:rFonts w:hint="eastAsia" w:ascii="宋体" w:hAnsi="宋体" w:cs="宋体"/>
                <w:bCs/>
                <w:color w:val="auto"/>
                <w:kern w:val="0"/>
                <w:sz w:val="24"/>
                <w:szCs w:val="24"/>
              </w:rPr>
              <w:t>（3）未超出采购预算或招标文件规定的最高限价；</w:t>
            </w:r>
          </w:p>
        </w:tc>
        <w:tc>
          <w:tcPr>
            <w:tcW w:w="1005" w:type="dxa"/>
            <w:tcBorders>
              <w:top w:val="single" w:color="auto" w:sz="4" w:space="0"/>
              <w:left w:val="single" w:color="auto" w:sz="4" w:space="0"/>
              <w:bottom w:val="single" w:color="auto" w:sz="4" w:space="0"/>
              <w:right w:val="single" w:color="auto" w:sz="4" w:space="0"/>
            </w:tcBorders>
          </w:tcPr>
          <w:p w14:paraId="3659D808">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64ED6E63">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5804B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11241A06">
            <w:pPr>
              <w:keepNext w:val="0"/>
              <w:keepLines w:val="0"/>
              <w:widowControl/>
              <w:suppressLineNumbers w:val="0"/>
              <w:spacing w:before="0" w:beforeAutospacing="0" w:after="0" w:afterAutospacing="0" w:line="288" w:lineRule="auto"/>
              <w:ind w:left="0" w:right="0" w:firstLine="200"/>
              <w:rPr>
                <w:rFonts w:hint="default" w:ascii="宋体" w:hAnsi="宋体" w:cs="宋体"/>
                <w:bCs/>
                <w:color w:val="auto"/>
                <w:kern w:val="0"/>
                <w:sz w:val="24"/>
                <w:szCs w:val="24"/>
              </w:rPr>
            </w:pPr>
            <w:r>
              <w:rPr>
                <w:rFonts w:hint="eastAsia" w:ascii="宋体" w:hAnsi="宋体" w:cs="宋体"/>
                <w:bCs/>
                <w:color w:val="auto"/>
                <w:kern w:val="0"/>
                <w:sz w:val="24"/>
                <w:szCs w:val="24"/>
              </w:rPr>
              <w:t>6</w:t>
            </w:r>
          </w:p>
        </w:tc>
        <w:tc>
          <w:tcPr>
            <w:tcW w:w="2361" w:type="dxa"/>
            <w:tcBorders>
              <w:top w:val="single" w:color="auto" w:sz="4" w:space="0"/>
              <w:left w:val="single" w:color="auto" w:sz="4" w:space="0"/>
              <w:bottom w:val="single" w:color="auto" w:sz="4" w:space="0"/>
              <w:right w:val="single" w:color="auto" w:sz="4" w:space="0"/>
            </w:tcBorders>
            <w:vAlign w:val="center"/>
          </w:tcPr>
          <w:p w14:paraId="7A44962E">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bCs/>
                <w:color w:val="auto"/>
                <w:kern w:val="0"/>
                <w:sz w:val="24"/>
                <w:szCs w:val="24"/>
              </w:rPr>
            </w:pPr>
            <w:r>
              <w:rPr>
                <w:rFonts w:hint="eastAsia" w:ascii="宋体" w:hAnsi="宋体" w:cs="宋体"/>
                <w:bCs/>
                <w:color w:val="auto"/>
                <w:kern w:val="0"/>
                <w:sz w:val="24"/>
                <w:szCs w:val="24"/>
              </w:rPr>
              <w:t>招标文件要求的实质性条款</w:t>
            </w:r>
          </w:p>
        </w:tc>
        <w:tc>
          <w:tcPr>
            <w:tcW w:w="3765" w:type="dxa"/>
            <w:tcBorders>
              <w:top w:val="single" w:color="auto" w:sz="4" w:space="0"/>
              <w:left w:val="single" w:color="auto" w:sz="4" w:space="0"/>
              <w:bottom w:val="single" w:color="auto" w:sz="4" w:space="0"/>
              <w:right w:val="single" w:color="auto" w:sz="4" w:space="0"/>
            </w:tcBorders>
            <w:vAlign w:val="center"/>
          </w:tcPr>
          <w:p w14:paraId="2E68BC69">
            <w:pPr>
              <w:keepNext w:val="0"/>
              <w:keepLines w:val="0"/>
              <w:widowControl/>
              <w:suppressLineNumbers w:val="0"/>
              <w:spacing w:before="0" w:beforeAutospacing="0" w:after="0" w:afterAutospacing="0" w:line="288" w:lineRule="auto"/>
              <w:ind w:left="0" w:right="0" w:firstLine="200"/>
              <w:jc w:val="center"/>
              <w:rPr>
                <w:rFonts w:hint="default" w:ascii="宋体" w:hAnsi="宋体" w:cs="宋体"/>
                <w:color w:val="auto"/>
                <w:sz w:val="24"/>
                <w:szCs w:val="24"/>
              </w:rPr>
            </w:pPr>
            <w:r>
              <w:rPr>
                <w:rFonts w:hint="eastAsia" w:ascii="宋体" w:hAnsi="宋体" w:cs="宋体"/>
                <w:color w:val="auto"/>
                <w:sz w:val="24"/>
                <w:szCs w:val="24"/>
              </w:rPr>
              <w:t>完全响应招标文件要求的各项实质性条款。</w:t>
            </w:r>
          </w:p>
        </w:tc>
        <w:tc>
          <w:tcPr>
            <w:tcW w:w="1005" w:type="dxa"/>
            <w:tcBorders>
              <w:top w:val="single" w:color="auto" w:sz="4" w:space="0"/>
              <w:left w:val="single" w:color="auto" w:sz="4" w:space="0"/>
              <w:bottom w:val="single" w:color="auto" w:sz="4" w:space="0"/>
              <w:right w:val="single" w:color="auto" w:sz="4" w:space="0"/>
            </w:tcBorders>
          </w:tcPr>
          <w:p w14:paraId="388B3C11">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1BCB5CF4">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32D99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60" w:type="dxa"/>
            <w:tcBorders>
              <w:top w:val="single" w:color="auto" w:sz="4" w:space="0"/>
              <w:left w:val="single" w:color="auto" w:sz="4" w:space="0"/>
              <w:bottom w:val="single" w:color="auto" w:sz="4" w:space="0"/>
              <w:right w:val="single" w:color="auto" w:sz="4" w:space="0"/>
            </w:tcBorders>
          </w:tcPr>
          <w:p w14:paraId="6E062DFE">
            <w:pPr>
              <w:keepNext w:val="0"/>
              <w:keepLines w:val="0"/>
              <w:widowControl/>
              <w:suppressLineNumbers w:val="0"/>
              <w:spacing w:before="0" w:beforeAutospacing="0" w:after="0" w:afterAutospacing="0" w:line="288" w:lineRule="auto"/>
              <w:ind w:left="0" w:right="0" w:firstLine="200"/>
              <w:rPr>
                <w:rFonts w:hint="default" w:ascii="宋体" w:hAnsi="宋体" w:cs="宋体"/>
                <w:color w:val="auto"/>
                <w:sz w:val="24"/>
                <w:szCs w:val="24"/>
              </w:rPr>
            </w:pPr>
            <w:r>
              <w:rPr>
                <w:rFonts w:hint="eastAsia" w:ascii="宋体" w:hAnsi="宋体" w:cs="宋体"/>
                <w:color w:val="auto"/>
                <w:sz w:val="24"/>
                <w:szCs w:val="24"/>
              </w:rPr>
              <w:t>7</w:t>
            </w:r>
          </w:p>
        </w:tc>
        <w:tc>
          <w:tcPr>
            <w:tcW w:w="2361" w:type="dxa"/>
            <w:tcBorders>
              <w:top w:val="single" w:color="auto" w:sz="4" w:space="0"/>
              <w:left w:val="single" w:color="auto" w:sz="4" w:space="0"/>
              <w:bottom w:val="single" w:color="auto" w:sz="4" w:space="0"/>
              <w:right w:val="single" w:color="auto" w:sz="4" w:space="0"/>
            </w:tcBorders>
            <w:vAlign w:val="center"/>
          </w:tcPr>
          <w:p w14:paraId="2F3C03F0">
            <w:pPr>
              <w:keepNext w:val="0"/>
              <w:keepLines w:val="0"/>
              <w:widowControl/>
              <w:suppressLineNumbers w:val="0"/>
              <w:spacing w:before="0" w:beforeAutospacing="0" w:after="0" w:afterAutospacing="0" w:line="288" w:lineRule="auto"/>
              <w:ind w:left="0" w:right="0"/>
              <w:jc w:val="center"/>
              <w:rPr>
                <w:rFonts w:hint="default" w:ascii="宋体" w:hAnsi="宋体" w:cs="宋体"/>
                <w:bCs/>
                <w:color w:val="auto"/>
                <w:kern w:val="0"/>
                <w:sz w:val="24"/>
                <w:szCs w:val="24"/>
              </w:rPr>
            </w:pPr>
            <w:r>
              <w:rPr>
                <w:rFonts w:hint="eastAsia" w:ascii="宋体" w:hAnsi="宋体" w:cs="宋体"/>
                <w:bCs/>
                <w:color w:val="auto"/>
                <w:sz w:val="24"/>
                <w:szCs w:val="24"/>
              </w:rPr>
              <w:t>合同</w:t>
            </w:r>
            <w:r>
              <w:rPr>
                <w:rFonts w:hint="eastAsia" w:ascii="宋体" w:hAnsi="宋体" w:cs="宋体"/>
                <w:bCs/>
                <w:color w:val="auto"/>
                <w:sz w:val="24"/>
                <w:szCs w:val="24"/>
                <w:lang w:val="en-US" w:eastAsia="zh-CN"/>
              </w:rPr>
              <w:t>文本</w:t>
            </w:r>
            <w:r>
              <w:rPr>
                <w:rFonts w:hint="eastAsia" w:ascii="宋体" w:hAnsi="宋体" w:cs="宋体"/>
                <w:bCs/>
                <w:color w:val="auto"/>
                <w:sz w:val="24"/>
                <w:szCs w:val="24"/>
              </w:rPr>
              <w:t>响应</w:t>
            </w:r>
          </w:p>
        </w:tc>
        <w:tc>
          <w:tcPr>
            <w:tcW w:w="3765" w:type="dxa"/>
            <w:tcBorders>
              <w:top w:val="single" w:color="auto" w:sz="4" w:space="0"/>
              <w:left w:val="single" w:color="auto" w:sz="4" w:space="0"/>
              <w:bottom w:val="single" w:color="auto" w:sz="4" w:space="0"/>
              <w:right w:val="single" w:color="auto" w:sz="4" w:space="0"/>
            </w:tcBorders>
            <w:vAlign w:val="center"/>
          </w:tcPr>
          <w:p w14:paraId="3C6A73FA">
            <w:pPr>
              <w:keepNext w:val="0"/>
              <w:keepLines w:val="0"/>
              <w:widowControl/>
              <w:suppressLineNumbers w:val="0"/>
              <w:spacing w:before="0" w:beforeAutospacing="0" w:after="0" w:afterAutospacing="0" w:line="288" w:lineRule="auto"/>
              <w:ind w:left="0" w:right="0"/>
              <w:jc w:val="center"/>
              <w:rPr>
                <w:rFonts w:hint="default" w:ascii="宋体" w:hAnsi="宋体" w:cs="宋体"/>
                <w:color w:val="auto"/>
                <w:sz w:val="24"/>
                <w:szCs w:val="24"/>
              </w:rPr>
            </w:pPr>
            <w:r>
              <w:rPr>
                <w:rFonts w:hint="eastAsia" w:ascii="宋体" w:hAnsi="宋体" w:cs="宋体"/>
                <w:color w:val="auto"/>
                <w:sz w:val="24"/>
                <w:szCs w:val="24"/>
              </w:rPr>
              <w:t>完整响应招标文件合同</w:t>
            </w:r>
            <w:r>
              <w:rPr>
                <w:rFonts w:hint="eastAsia" w:ascii="宋体" w:hAnsi="宋体" w:cs="宋体"/>
                <w:color w:val="auto"/>
                <w:sz w:val="24"/>
                <w:szCs w:val="24"/>
                <w:lang w:val="en-US" w:eastAsia="zh-CN"/>
              </w:rPr>
              <w:t>文本</w:t>
            </w:r>
            <w:r>
              <w:rPr>
                <w:rFonts w:hint="eastAsia" w:ascii="宋体" w:hAnsi="宋体" w:cs="宋体"/>
                <w:color w:val="auto"/>
                <w:sz w:val="24"/>
                <w:szCs w:val="24"/>
              </w:rPr>
              <w:t>条款。</w:t>
            </w:r>
          </w:p>
        </w:tc>
        <w:tc>
          <w:tcPr>
            <w:tcW w:w="1005" w:type="dxa"/>
            <w:tcBorders>
              <w:top w:val="single" w:color="auto" w:sz="4" w:space="0"/>
              <w:left w:val="single" w:color="auto" w:sz="4" w:space="0"/>
              <w:bottom w:val="single" w:color="auto" w:sz="4" w:space="0"/>
              <w:right w:val="single" w:color="auto" w:sz="4" w:space="0"/>
            </w:tcBorders>
          </w:tcPr>
          <w:p w14:paraId="353088BF">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c>
          <w:tcPr>
            <w:tcW w:w="1495" w:type="dxa"/>
            <w:tcBorders>
              <w:top w:val="single" w:color="auto" w:sz="4" w:space="0"/>
              <w:left w:val="single" w:color="auto" w:sz="4" w:space="0"/>
              <w:bottom w:val="single" w:color="auto" w:sz="4" w:space="0"/>
              <w:right w:val="single" w:color="auto" w:sz="4" w:space="0"/>
            </w:tcBorders>
          </w:tcPr>
          <w:p w14:paraId="371437A6">
            <w:pPr>
              <w:keepNext w:val="0"/>
              <w:keepLines w:val="0"/>
              <w:widowControl/>
              <w:suppressLineNumbers w:val="0"/>
              <w:spacing w:before="0" w:beforeAutospacing="0" w:after="0" w:afterAutospacing="0" w:line="288" w:lineRule="auto"/>
              <w:ind w:left="0" w:right="0" w:firstLine="200"/>
              <w:rPr>
                <w:rFonts w:hint="default" w:ascii="宋体" w:hAnsi="宋体" w:cs="宋体"/>
                <w:b/>
                <w:bCs/>
                <w:color w:val="auto"/>
                <w:kern w:val="0"/>
                <w:sz w:val="24"/>
                <w:szCs w:val="24"/>
              </w:rPr>
            </w:pPr>
          </w:p>
        </w:tc>
      </w:tr>
      <w:tr w14:paraId="4F85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286" w:type="dxa"/>
            <w:gridSpan w:val="5"/>
            <w:tcBorders>
              <w:top w:val="single" w:color="auto" w:sz="4" w:space="0"/>
              <w:left w:val="single" w:color="auto" w:sz="4" w:space="0"/>
              <w:bottom w:val="single" w:color="auto" w:sz="4" w:space="0"/>
              <w:right w:val="single" w:color="auto" w:sz="4" w:space="0"/>
            </w:tcBorders>
            <w:vAlign w:val="center"/>
          </w:tcPr>
          <w:p w14:paraId="4E132CC9">
            <w:pPr>
              <w:keepNext w:val="0"/>
              <w:keepLines w:val="0"/>
              <w:widowControl/>
              <w:suppressLineNumbers w:val="0"/>
              <w:spacing w:before="0" w:beforeAutospacing="0" w:after="0" w:afterAutospacing="0" w:line="288" w:lineRule="auto"/>
              <w:ind w:left="0" w:right="0" w:firstLine="200"/>
              <w:jc w:val="left"/>
              <w:rPr>
                <w:rFonts w:hint="default" w:ascii="宋体" w:hAnsi="宋体" w:cs="宋体"/>
                <w:b/>
                <w:bCs/>
                <w:color w:val="auto"/>
                <w:kern w:val="0"/>
                <w:sz w:val="24"/>
                <w:szCs w:val="24"/>
              </w:rPr>
            </w:pPr>
            <w:r>
              <w:rPr>
                <w:rFonts w:hint="eastAsia" w:ascii="宋体" w:hAnsi="宋体" w:cs="宋体"/>
                <w:b/>
                <w:bCs/>
                <w:color w:val="auto"/>
                <w:kern w:val="0"/>
                <w:sz w:val="24"/>
                <w:szCs w:val="24"/>
              </w:rPr>
              <w:t>评标委员会成员：（签字或盖章）</w:t>
            </w:r>
          </w:p>
        </w:tc>
      </w:tr>
    </w:tbl>
    <w:p w14:paraId="0AD2B18E">
      <w:pPr>
        <w:pStyle w:val="18"/>
        <w:rPr>
          <w:color w:val="auto"/>
        </w:rPr>
      </w:pPr>
    </w:p>
    <w:p w14:paraId="50C14657">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26.2.3</w:t>
      </w:r>
      <w:r>
        <w:rPr>
          <w:rFonts w:hint="eastAsia" w:ascii="宋体" w:hAnsi="宋体"/>
          <w:color w:val="auto"/>
          <w:sz w:val="24"/>
          <w:szCs w:val="24"/>
        </w:rPr>
        <w:t>开标时，</w:t>
      </w:r>
      <w:r>
        <w:rPr>
          <w:rFonts w:hint="eastAsia" w:ascii="宋体" w:hAnsi="宋体"/>
          <w:color w:val="auto"/>
          <w:sz w:val="24"/>
          <w:szCs w:val="24"/>
          <w:lang w:eastAsia="zh-CN"/>
        </w:rPr>
        <w:t>投标文件</w:t>
      </w:r>
      <w:r>
        <w:rPr>
          <w:rFonts w:hint="eastAsia" w:ascii="宋体" w:hAnsi="宋体"/>
          <w:color w:val="auto"/>
          <w:sz w:val="24"/>
          <w:szCs w:val="24"/>
        </w:rPr>
        <w:t>中出现下列情况，修正原则为：</w:t>
      </w:r>
    </w:p>
    <w:p w14:paraId="678E1358">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（1）投标文件中投标报价表内容与投标文件中明细内容不一致的，以投标报价表为准；</w:t>
      </w:r>
    </w:p>
    <w:p w14:paraId="5B7F0D8B">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（2）大写金额和小写金额不一致的，以大写金额为准；</w:t>
      </w:r>
    </w:p>
    <w:p w14:paraId="6F6DE591">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（3）单价金额小数点或者百分比有明显错位的，以投标报价表的总价为准，并修改单价；</w:t>
      </w:r>
    </w:p>
    <w:p w14:paraId="224EE565">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 xml:space="preserve">（4）总价金额与按单价汇总金额不一致的，以单价金额计算结果为准； </w:t>
      </w:r>
    </w:p>
    <w:p w14:paraId="5A284772">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（5）多处内容交叉不符时，以评标小组评审结果为准；</w:t>
      </w:r>
    </w:p>
    <w:p w14:paraId="05877EEB">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（6）文字与图表不符的，以文字为准。</w:t>
      </w:r>
    </w:p>
    <w:p w14:paraId="0C27454B">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同时出现两种以上不一致的，按照前款规定的顺序修正。按上述修正错误的原则及方法调整或修正投标文件的报价和内容，供应商同意后，调整后的报价和内容对供应商起约束作用。如果供应商不接受修正后的报价和内容，则其投标文件无效。</w:t>
      </w:r>
    </w:p>
    <w:p w14:paraId="510D7D24">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26.3</w:t>
      </w:r>
      <w:r>
        <w:rPr>
          <w:rFonts w:hint="eastAsia" w:ascii="宋体" w:hAnsi="宋体"/>
          <w:color w:val="auto"/>
          <w:sz w:val="24"/>
          <w:szCs w:val="24"/>
        </w:rPr>
        <w:t>通过对投标人及投标文件符合性审查，出现下列情况之一者（但不限于），按无效投标处理：</w:t>
      </w:r>
    </w:p>
    <w:p w14:paraId="10BC1805">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（1）投标人投标报价超出采购预算金额或者最高限价的；</w:t>
      </w:r>
    </w:p>
    <w:p w14:paraId="7D446C9E">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（2）投标文件未按招标文件要求签署、盖章的；</w:t>
      </w:r>
    </w:p>
    <w:p w14:paraId="37276FFF">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（3）投标内容出现漏项或数量与要求不符的，出现重大负偏离；</w:t>
      </w:r>
    </w:p>
    <w:p w14:paraId="27BE6B3C">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（4）投标人串通投标的；</w:t>
      </w:r>
    </w:p>
    <w:p w14:paraId="008E6015">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（5）投标人有违法违规行为的；</w:t>
      </w:r>
    </w:p>
    <w:p w14:paraId="15536EE5">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（6）投标文件含有采购人不能接受的附加条件的；</w:t>
      </w:r>
    </w:p>
    <w:p w14:paraId="47D4F9B3">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（7）投标文件不符合招标文件其他要求的；</w:t>
      </w:r>
    </w:p>
    <w:p w14:paraId="10CB54E4">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（8）其他法律法规规定的废标情况。</w:t>
      </w:r>
    </w:p>
    <w:p w14:paraId="7CA77E72">
      <w:pPr>
        <w:overflowPunct w:val="0"/>
        <w:adjustRightInd w:val="0"/>
        <w:snapToGrid w:val="0"/>
        <w:spacing w:line="360" w:lineRule="auto"/>
        <w:ind w:firstLine="482" w:firstLineChars="200"/>
        <w:rPr>
          <w:rFonts w:ascii="宋体" w:hAnsi="宋体"/>
          <w:color w:val="auto"/>
          <w:sz w:val="24"/>
          <w:szCs w:val="24"/>
        </w:rPr>
      </w:pPr>
      <w:r>
        <w:rPr>
          <w:rFonts w:ascii="宋体" w:hAnsi="宋体"/>
          <w:b/>
          <w:color w:val="auto"/>
          <w:sz w:val="24"/>
          <w:szCs w:val="24"/>
        </w:rPr>
        <w:t>2</w:t>
      </w:r>
      <w:r>
        <w:rPr>
          <w:rFonts w:hint="eastAsia" w:ascii="宋体" w:hAnsi="宋体"/>
          <w:b/>
          <w:color w:val="auto"/>
          <w:sz w:val="24"/>
          <w:szCs w:val="24"/>
          <w:lang w:eastAsia="zh-CN"/>
        </w:rPr>
        <w:t>7.</w:t>
      </w:r>
      <w:r>
        <w:rPr>
          <w:rFonts w:hint="eastAsia" w:ascii="宋体" w:hAnsi="宋体"/>
          <w:b/>
          <w:color w:val="auto"/>
          <w:sz w:val="24"/>
          <w:szCs w:val="24"/>
        </w:rPr>
        <w:t>投标文件的澄清</w:t>
      </w:r>
      <w:bookmarkEnd w:id="62"/>
    </w:p>
    <w:p w14:paraId="3E0AE6F4">
      <w:pPr>
        <w:spacing w:line="360" w:lineRule="auto"/>
        <w:ind w:firstLine="480" w:firstLineChars="200"/>
        <w:rPr>
          <w:rFonts w:ascii="宋体" w:hAnsi="宋体"/>
          <w:color w:val="auto"/>
          <w:sz w:val="24"/>
          <w:szCs w:val="24"/>
        </w:rPr>
      </w:pPr>
      <w:r>
        <w:rPr>
          <w:rFonts w:ascii="宋体" w:hAnsi="宋体"/>
          <w:color w:val="auto"/>
          <w:sz w:val="24"/>
          <w:szCs w:val="24"/>
        </w:rPr>
        <w:t>27.1对于投标文件中含义不明确、同类问题表述不一致或者有明显文字和计算错误的内容，评标委员会要求投标人作出必要的澄清、说明或者补正。</w:t>
      </w:r>
    </w:p>
    <w:p w14:paraId="0C6BC4DC">
      <w:pPr>
        <w:spacing w:line="360" w:lineRule="auto"/>
        <w:ind w:firstLine="480" w:firstLineChars="200"/>
        <w:rPr>
          <w:rFonts w:ascii="宋体" w:hAnsi="宋体"/>
          <w:color w:val="auto"/>
          <w:sz w:val="24"/>
          <w:szCs w:val="24"/>
        </w:rPr>
      </w:pPr>
      <w:r>
        <w:rPr>
          <w:rFonts w:ascii="宋体" w:hAnsi="宋体"/>
          <w:color w:val="auto"/>
          <w:sz w:val="24"/>
          <w:szCs w:val="24"/>
        </w:rPr>
        <w:t>27.2投标人的澄清、说明或者补正应当采用书面形式，由法定代表人或其授权的代表签字。投标人的澄清、说明或者补正不得超出投标文件的范围或者改变投标文件的实质性内容。</w:t>
      </w:r>
    </w:p>
    <w:p w14:paraId="6A13439E">
      <w:pPr>
        <w:overflowPunct w:val="0"/>
        <w:adjustRightInd w:val="0"/>
        <w:snapToGrid w:val="0"/>
        <w:spacing w:line="360" w:lineRule="auto"/>
        <w:ind w:firstLine="482" w:firstLineChars="200"/>
        <w:rPr>
          <w:rFonts w:ascii="宋体" w:hAnsi="宋体"/>
          <w:b/>
          <w:color w:val="auto"/>
          <w:sz w:val="24"/>
          <w:szCs w:val="24"/>
        </w:rPr>
      </w:pPr>
      <w:bookmarkStart w:id="63" w:name="_Toc311415604"/>
      <w:r>
        <w:rPr>
          <w:rFonts w:ascii="宋体" w:hAnsi="宋体"/>
          <w:b/>
          <w:color w:val="auto"/>
          <w:sz w:val="24"/>
          <w:szCs w:val="24"/>
        </w:rPr>
        <w:t>2</w:t>
      </w:r>
      <w:r>
        <w:rPr>
          <w:rFonts w:hint="eastAsia" w:ascii="宋体" w:hAnsi="宋体"/>
          <w:b/>
          <w:color w:val="auto"/>
          <w:sz w:val="24"/>
          <w:szCs w:val="24"/>
          <w:lang w:eastAsia="zh-CN"/>
        </w:rPr>
        <w:t>8.</w:t>
      </w:r>
      <w:r>
        <w:rPr>
          <w:rFonts w:hint="eastAsia" w:ascii="宋体" w:hAnsi="宋体"/>
          <w:b/>
          <w:color w:val="auto"/>
          <w:sz w:val="24"/>
          <w:szCs w:val="24"/>
        </w:rPr>
        <w:t>评标原则及主要方法</w:t>
      </w:r>
      <w:bookmarkEnd w:id="63"/>
    </w:p>
    <w:p w14:paraId="0F65677A">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28.1</w:t>
      </w:r>
      <w:r>
        <w:rPr>
          <w:rFonts w:hint="eastAsia" w:ascii="宋体" w:hAnsi="宋体"/>
          <w:color w:val="auto"/>
          <w:sz w:val="24"/>
          <w:szCs w:val="24"/>
        </w:rPr>
        <w:t>评标委员会将遵循公平、公正和择优的原则，对所有投标人的投标文件评审，都采用相同的程序和标准；</w:t>
      </w:r>
    </w:p>
    <w:p w14:paraId="5B5A036D">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28.2</w:t>
      </w:r>
      <w:r>
        <w:rPr>
          <w:rFonts w:hint="eastAsia" w:ascii="宋体" w:hAnsi="宋体"/>
          <w:color w:val="auto"/>
          <w:sz w:val="24"/>
          <w:szCs w:val="24"/>
        </w:rPr>
        <w:t>评审过程的保密：在投标文件的评审、比较、中标候选人推荐以及授予合同的过程中，投标人向采购人和评标委员会施加影响的任何行为，都将会导致其报价被拒绝；</w:t>
      </w:r>
    </w:p>
    <w:p w14:paraId="13E35AA0">
      <w:pPr>
        <w:overflowPunct w:val="0"/>
        <w:adjustRightInd w:val="0"/>
        <w:snapToGrid w:val="0"/>
        <w:spacing w:line="360" w:lineRule="auto"/>
        <w:ind w:firstLine="480" w:firstLineChars="200"/>
        <w:rPr>
          <w:rFonts w:ascii="宋体" w:hAnsi="宋体"/>
          <w:color w:val="auto"/>
          <w:sz w:val="24"/>
          <w:szCs w:val="24"/>
        </w:rPr>
      </w:pPr>
      <w:r>
        <w:rPr>
          <w:rFonts w:ascii="宋体" w:hAnsi="宋体"/>
          <w:color w:val="auto"/>
          <w:sz w:val="24"/>
          <w:szCs w:val="24"/>
        </w:rPr>
        <w:t>28.3</w:t>
      </w:r>
      <w:r>
        <w:rPr>
          <w:rFonts w:hint="eastAsia" w:ascii="宋体" w:hAnsi="宋体"/>
          <w:color w:val="auto"/>
          <w:sz w:val="24"/>
          <w:szCs w:val="24"/>
        </w:rPr>
        <w:t>评标原则和办法：</w:t>
      </w:r>
    </w:p>
    <w:p w14:paraId="6D4609D9">
      <w:pPr>
        <w:overflowPunct w:val="0"/>
        <w:adjustRightInd w:val="0"/>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综合评分法：</w:t>
      </w:r>
      <w:r>
        <w:rPr>
          <w:rFonts w:ascii="宋体" w:hAnsi="宋体"/>
          <w:color w:val="auto"/>
          <w:sz w:val="24"/>
          <w:szCs w:val="24"/>
        </w:rPr>
        <w:t>是指投标文件满足招标文件全部实质性要求，且按照评审因素的量化指标评审得分最高的投标人为中标候选人的评标方法。</w:t>
      </w:r>
    </w:p>
    <w:tbl>
      <w:tblPr>
        <w:tblStyle w:val="43"/>
        <w:tblpPr w:leftFromText="180" w:rightFromText="180" w:vertAnchor="text" w:tblpX="10596" w:tblpY="326"/>
        <w:tblOverlap w:val="never"/>
        <w:tblW w:w="4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6"/>
      </w:tblGrid>
      <w:tr w14:paraId="4F192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66" w:type="dxa"/>
          </w:tcPr>
          <w:p w14:paraId="1FE2CB2B">
            <w:pPr>
              <w:keepNext w:val="0"/>
              <w:keepLines w:val="0"/>
              <w:suppressLineNumbers w:val="0"/>
              <w:overflowPunct w:val="0"/>
              <w:adjustRightInd w:val="0"/>
              <w:snapToGrid w:val="0"/>
              <w:spacing w:before="0" w:beforeAutospacing="0" w:after="0" w:afterAutospacing="0" w:line="360" w:lineRule="auto"/>
              <w:ind w:left="0" w:right="0"/>
              <w:rPr>
                <w:rFonts w:hint="default" w:ascii="宋体" w:hAnsi="宋体"/>
                <w:color w:val="auto"/>
                <w:sz w:val="24"/>
                <w:szCs w:val="24"/>
              </w:rPr>
            </w:pPr>
          </w:p>
        </w:tc>
      </w:tr>
      <w:tr w14:paraId="5F894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466" w:type="dxa"/>
          </w:tcPr>
          <w:p w14:paraId="424D3A45">
            <w:pPr>
              <w:keepNext w:val="0"/>
              <w:keepLines w:val="0"/>
              <w:suppressLineNumbers w:val="0"/>
              <w:overflowPunct w:val="0"/>
              <w:adjustRightInd w:val="0"/>
              <w:snapToGrid w:val="0"/>
              <w:spacing w:before="0" w:beforeAutospacing="0" w:after="0" w:afterAutospacing="0" w:line="360" w:lineRule="auto"/>
              <w:ind w:left="0" w:right="0"/>
              <w:rPr>
                <w:rFonts w:hint="default" w:ascii="宋体" w:hAnsi="宋体"/>
                <w:color w:val="auto"/>
                <w:sz w:val="24"/>
                <w:szCs w:val="24"/>
              </w:rPr>
            </w:pPr>
          </w:p>
        </w:tc>
      </w:tr>
    </w:tbl>
    <w:p w14:paraId="21453C26">
      <w:pPr>
        <w:overflowPunct w:val="0"/>
        <w:adjustRightInd w:val="0"/>
        <w:snapToGrid w:val="0"/>
        <w:spacing w:line="360" w:lineRule="auto"/>
        <w:ind w:firstLine="480" w:firstLineChars="200"/>
        <w:rPr>
          <w:rFonts w:hint="eastAsia" w:ascii="宋体" w:hAnsi="宋体"/>
          <w:color w:val="auto"/>
          <w:sz w:val="24"/>
          <w:szCs w:val="24"/>
        </w:rPr>
      </w:pPr>
      <w:r>
        <w:rPr>
          <w:rFonts w:hint="eastAsia" w:ascii="宋体" w:hAnsi="宋体"/>
          <w:color w:val="auto"/>
          <w:sz w:val="24"/>
          <w:szCs w:val="24"/>
        </w:rPr>
        <w:t>具体评审因素</w:t>
      </w:r>
      <w:r>
        <w:rPr>
          <w:rFonts w:ascii="宋体" w:hAnsi="宋体"/>
          <w:color w:val="auto"/>
          <w:sz w:val="24"/>
          <w:szCs w:val="24"/>
        </w:rPr>
        <w:t>量化指标</w:t>
      </w:r>
      <w:r>
        <w:rPr>
          <w:rFonts w:hint="eastAsia" w:ascii="宋体" w:hAnsi="宋体"/>
          <w:color w:val="auto"/>
          <w:sz w:val="24"/>
          <w:szCs w:val="24"/>
        </w:rPr>
        <w:t>和分值如下：</w:t>
      </w:r>
    </w:p>
    <w:tbl>
      <w:tblPr>
        <w:tblStyle w:val="42"/>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014"/>
        <w:gridCol w:w="7825"/>
        <w:gridCol w:w="660"/>
      </w:tblGrid>
      <w:tr w14:paraId="4FD48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9" w:hRule="atLeast"/>
          <w:jc w:val="center"/>
        </w:trPr>
        <w:tc>
          <w:tcPr>
            <w:tcW w:w="1014"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60B42025">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评分项</w:t>
            </w:r>
          </w:p>
        </w:tc>
        <w:tc>
          <w:tcPr>
            <w:tcW w:w="7825" w:type="dxa"/>
            <w:vMerge w:val="restart"/>
            <w:tcBorders>
              <w:top w:val="single" w:color="auto" w:sz="4" w:space="0"/>
              <w:left w:val="single" w:color="auto" w:sz="4" w:space="0"/>
              <w:bottom w:val="single" w:color="auto" w:sz="4" w:space="0"/>
              <w:right w:val="single" w:color="auto" w:sz="4" w:space="0"/>
            </w:tcBorders>
            <w:shd w:val="clear" w:color="auto" w:fill="auto"/>
            <w:noWrap w:val="0"/>
            <w:tcMar>
              <w:top w:w="15" w:type="dxa"/>
              <w:left w:w="15" w:type="dxa"/>
              <w:bottom w:w="0" w:type="dxa"/>
              <w:right w:w="15" w:type="dxa"/>
            </w:tcMar>
            <w:vAlign w:val="center"/>
          </w:tcPr>
          <w:p w14:paraId="6D536559">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评分标准</w:t>
            </w:r>
          </w:p>
        </w:tc>
        <w:tc>
          <w:tcPr>
            <w:tcW w:w="660" w:type="dxa"/>
            <w:vMerge w:val="restart"/>
            <w:tcBorders>
              <w:top w:val="single" w:color="auto" w:sz="4" w:space="0"/>
              <w:left w:val="single" w:color="auto" w:sz="4" w:space="0"/>
              <w:right w:val="single" w:color="auto" w:sz="4" w:space="0"/>
            </w:tcBorders>
            <w:shd w:val="clear" w:color="auto" w:fill="auto"/>
            <w:noWrap w:val="0"/>
            <w:tcMar>
              <w:top w:w="15" w:type="dxa"/>
              <w:left w:w="15" w:type="dxa"/>
              <w:bottom w:w="0" w:type="dxa"/>
              <w:right w:w="15" w:type="dxa"/>
            </w:tcMar>
            <w:vAlign w:val="center"/>
          </w:tcPr>
          <w:p w14:paraId="00CC78BE">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最高得分</w:t>
            </w:r>
          </w:p>
        </w:tc>
      </w:tr>
      <w:tr w14:paraId="5DC94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68" w:hRule="atLeast"/>
          <w:jc w:val="center"/>
        </w:trPr>
        <w:tc>
          <w:tcPr>
            <w:tcW w:w="1014" w:type="dxa"/>
            <w:vMerge w:val="continue"/>
            <w:tcBorders>
              <w:top w:val="single" w:color="auto" w:sz="4" w:space="0"/>
              <w:left w:val="single" w:color="auto" w:sz="4" w:space="0"/>
              <w:bottom w:val="single" w:color="auto" w:sz="4" w:space="0"/>
              <w:right w:val="single" w:color="auto" w:sz="4" w:space="0"/>
            </w:tcBorders>
            <w:shd w:val="clear" w:color="auto" w:fill="auto"/>
            <w:noWrap w:val="0"/>
            <w:vAlign w:val="center"/>
          </w:tcPr>
          <w:p w14:paraId="09FB4144">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b/>
                <w:bCs/>
                <w:color w:val="FF0000"/>
                <w:kern w:val="0"/>
                <w:sz w:val="24"/>
                <w:szCs w:val="24"/>
              </w:rPr>
            </w:pPr>
          </w:p>
        </w:tc>
        <w:tc>
          <w:tcPr>
            <w:tcW w:w="7825" w:type="dxa"/>
            <w:vMerge w:val="continue"/>
            <w:tcBorders>
              <w:top w:val="single" w:color="auto" w:sz="4" w:space="0"/>
              <w:left w:val="single" w:color="auto" w:sz="4" w:space="0"/>
              <w:bottom w:val="single" w:color="auto" w:sz="4" w:space="0"/>
              <w:right w:val="single" w:color="auto" w:sz="4" w:space="0"/>
            </w:tcBorders>
            <w:noWrap w:val="0"/>
            <w:vAlign w:val="center"/>
          </w:tcPr>
          <w:p w14:paraId="51C668E7">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b/>
                <w:bCs/>
                <w:color w:val="FF0000"/>
                <w:kern w:val="0"/>
                <w:sz w:val="24"/>
                <w:szCs w:val="24"/>
              </w:rPr>
            </w:pPr>
          </w:p>
        </w:tc>
        <w:tc>
          <w:tcPr>
            <w:tcW w:w="660" w:type="dxa"/>
            <w:vMerge w:val="continue"/>
            <w:tcBorders>
              <w:left w:val="single" w:color="auto" w:sz="4" w:space="0"/>
              <w:bottom w:val="single" w:color="auto" w:sz="4" w:space="0"/>
              <w:right w:val="single" w:color="auto" w:sz="4" w:space="0"/>
            </w:tcBorders>
            <w:noWrap w:val="0"/>
            <w:vAlign w:val="center"/>
          </w:tcPr>
          <w:p w14:paraId="2AA994A4">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b/>
                <w:bCs/>
                <w:color w:val="FF0000"/>
                <w:kern w:val="0"/>
                <w:sz w:val="24"/>
                <w:szCs w:val="24"/>
              </w:rPr>
            </w:pPr>
          </w:p>
        </w:tc>
      </w:tr>
      <w:tr w14:paraId="1272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7"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DB216C5">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rPr>
            </w:pPr>
            <w:r>
              <w:rPr>
                <w:rFonts w:hint="eastAsia" w:ascii="宋体" w:hAnsi="宋体" w:eastAsia="宋体" w:cs="宋体"/>
                <w:b/>
                <w:bCs/>
                <w:color w:val="auto"/>
                <w:kern w:val="0"/>
                <w:sz w:val="24"/>
                <w:szCs w:val="24"/>
              </w:rPr>
              <w:t>价格</w:t>
            </w:r>
          </w:p>
          <w:p w14:paraId="20F59A25">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lang w:eastAsia="zh-CN"/>
              </w:rPr>
            </w:pPr>
            <w:r>
              <w:rPr>
                <w:rFonts w:hint="eastAsia" w:ascii="宋体" w:hAnsi="宋体" w:cs="宋体"/>
                <w:b/>
                <w:bCs/>
                <w:color w:val="auto"/>
                <w:kern w:val="0"/>
                <w:sz w:val="24"/>
                <w:szCs w:val="24"/>
                <w:lang w:eastAsia="zh-CN"/>
              </w:rPr>
              <w:t>（</w:t>
            </w:r>
            <w:r>
              <w:rPr>
                <w:rFonts w:hint="eastAsia" w:ascii="宋体" w:hAnsi="宋体" w:cs="宋体"/>
                <w:b/>
                <w:bCs/>
                <w:color w:val="auto"/>
                <w:kern w:val="0"/>
                <w:sz w:val="24"/>
                <w:szCs w:val="24"/>
                <w:lang w:val="en-US" w:eastAsia="zh-CN"/>
              </w:rPr>
              <w:t>30分</w:t>
            </w:r>
            <w:r>
              <w:rPr>
                <w:rFonts w:hint="eastAsia" w:ascii="宋体" w:hAnsi="宋体" w:cs="宋体"/>
                <w:b/>
                <w:bCs/>
                <w:color w:val="auto"/>
                <w:kern w:val="0"/>
                <w:sz w:val="24"/>
                <w:szCs w:val="24"/>
                <w:lang w:eastAsia="zh-CN"/>
              </w:rPr>
              <w:t>）</w:t>
            </w: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E8A2E75">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价格分统一采用低价优先法计算，即满足</w:t>
            </w:r>
            <w:r>
              <w:rPr>
                <w:rFonts w:hint="eastAsia" w:ascii="宋体" w:hAnsi="宋体" w:cs="宋体"/>
                <w:color w:val="auto"/>
                <w:sz w:val="24"/>
                <w:szCs w:val="24"/>
                <w:lang w:val="en-US" w:eastAsia="zh-CN"/>
              </w:rPr>
              <w:t>招标</w:t>
            </w:r>
            <w:r>
              <w:rPr>
                <w:rFonts w:hint="eastAsia" w:ascii="宋体" w:hAnsi="宋体" w:eastAsia="宋体" w:cs="宋体"/>
                <w:color w:val="auto"/>
                <w:sz w:val="24"/>
                <w:szCs w:val="24"/>
              </w:rPr>
              <w:t>文件要求且</w:t>
            </w:r>
            <w:r>
              <w:rPr>
                <w:rFonts w:hint="eastAsia" w:ascii="宋体" w:hAnsi="宋体" w:cs="宋体"/>
                <w:color w:val="auto"/>
                <w:kern w:val="0"/>
                <w:sz w:val="24"/>
                <w:szCs w:val="24"/>
              </w:rPr>
              <w:t>最终报价</w:t>
            </w:r>
            <w:r>
              <w:rPr>
                <w:rFonts w:hint="eastAsia" w:ascii="宋体" w:hAnsi="宋体" w:eastAsia="宋体" w:cs="宋体"/>
                <w:color w:val="auto"/>
                <w:sz w:val="24"/>
                <w:szCs w:val="24"/>
              </w:rPr>
              <w:t>最低的</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报价为评标基准价，其价格分为满分。其他供应商的价格分统一按照下列公式计算：</w:t>
            </w:r>
          </w:p>
          <w:p w14:paraId="39B5D5F0">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价格分=(评标基准价／</w:t>
            </w:r>
            <w:r>
              <w:rPr>
                <w:rFonts w:hint="eastAsia" w:ascii="宋体" w:hAnsi="宋体" w:cs="宋体"/>
                <w:color w:val="auto"/>
                <w:sz w:val="24"/>
                <w:szCs w:val="24"/>
                <w:lang w:val="en-US" w:eastAsia="zh-CN"/>
              </w:rPr>
              <w:t>投标</w:t>
            </w:r>
            <w:r>
              <w:rPr>
                <w:rFonts w:hint="eastAsia" w:ascii="宋体" w:hAnsi="宋体" w:eastAsia="宋体" w:cs="宋体"/>
                <w:color w:val="auto"/>
                <w:sz w:val="24"/>
                <w:szCs w:val="24"/>
              </w:rPr>
              <w:t>报价)×</w:t>
            </w:r>
            <w:r>
              <w:rPr>
                <w:rFonts w:hint="eastAsia" w:ascii="宋体" w:hAnsi="宋体" w:cs="宋体"/>
                <w:color w:val="auto"/>
                <w:sz w:val="24"/>
                <w:szCs w:val="24"/>
                <w:lang w:val="en-US" w:eastAsia="zh-CN"/>
              </w:rPr>
              <w:t>30</w:t>
            </w:r>
            <w:r>
              <w:rPr>
                <w:rFonts w:hint="eastAsia" w:ascii="宋体" w:hAnsi="宋体" w:eastAsia="宋体" w:cs="宋体"/>
                <w:color w:val="auto"/>
                <w:sz w:val="24"/>
                <w:szCs w:val="24"/>
              </w:rPr>
              <w:t xml:space="preserve">    </w:t>
            </w:r>
          </w:p>
          <w:p w14:paraId="4700669B">
            <w:pPr>
              <w:keepNext w:val="0"/>
              <w:keepLines w:val="0"/>
              <w:pageBreakBefore w:val="0"/>
              <w:suppressLineNumbers w:val="0"/>
              <w:kinsoku/>
              <w:wordWrap/>
              <w:overflowPunct/>
              <w:topLinePunct w:val="0"/>
              <w:bidi w:val="0"/>
              <w:spacing w:before="0" w:beforeAutospacing="0" w:after="0" w:afterAutospacing="0" w:line="460" w:lineRule="exact"/>
              <w:ind w:left="0" w:right="0"/>
              <w:jc w:val="left"/>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注：1</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计算分数时四舍五入取小数点后两位</w:t>
            </w:r>
            <w:r>
              <w:rPr>
                <w:rFonts w:hint="eastAsia" w:ascii="宋体" w:hAnsi="宋体" w:cs="宋体"/>
                <w:color w:val="auto"/>
                <w:sz w:val="24"/>
                <w:szCs w:val="24"/>
                <w:lang w:eastAsia="zh-CN"/>
              </w:rPr>
              <w:t>。</w:t>
            </w:r>
          </w:p>
          <w:p w14:paraId="77A3DBC5">
            <w:pPr>
              <w:keepNext w:val="0"/>
              <w:keepLines w:val="0"/>
              <w:pageBreakBefore w:val="0"/>
              <w:widowControl/>
              <w:numPr>
                <w:ilvl w:val="0"/>
                <w:numId w:val="0"/>
              </w:numPr>
              <w:suppressLineNumbers w:val="0"/>
              <w:kinsoku/>
              <w:wordWrap/>
              <w:overflowPunct/>
              <w:topLinePunct w:val="0"/>
              <w:bidi w:val="0"/>
              <w:spacing w:before="0" w:beforeAutospacing="0" w:after="0" w:afterAutospacing="0" w:line="460" w:lineRule="exact"/>
              <w:ind w:left="0" w:right="0" w:rightChars="0" w:firstLine="480" w:firstLineChars="200"/>
              <w:textAlignment w:val="auto"/>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lang w:val="en-US" w:eastAsia="zh-CN"/>
              </w:rPr>
              <w:t>符合采购优惠政策的按政策执行</w:t>
            </w:r>
            <w:r>
              <w:rPr>
                <w:rFonts w:hint="eastAsia" w:ascii="宋体" w:hAnsi="宋体" w:eastAsia="宋体" w:cs="宋体"/>
                <w:color w:val="auto"/>
                <w:sz w:val="24"/>
                <w:szCs w:val="24"/>
              </w:rPr>
              <w:t>。</w:t>
            </w:r>
          </w:p>
          <w:p w14:paraId="6C3EE97B">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firstLine="480" w:firstLineChars="200"/>
              <w:textAlignment w:val="auto"/>
              <w:rPr>
                <w:rFonts w:hint="eastAsia"/>
                <w:color w:val="auto"/>
              </w:rPr>
            </w:pPr>
            <w:r>
              <w:rPr>
                <w:rFonts w:hint="eastAsia" w:hAnsi="宋体" w:cs="宋体"/>
                <w:color w:val="auto"/>
                <w:sz w:val="24"/>
                <w:szCs w:val="24"/>
                <w:lang w:val="en-US" w:eastAsia="zh-CN"/>
              </w:rPr>
              <w:t>3.</w:t>
            </w:r>
            <w:r>
              <w:rPr>
                <w:rFonts w:hint="eastAsia" w:ascii="宋体" w:hAnsi="宋体" w:cs="宋体"/>
                <w:color w:val="auto"/>
                <w:sz w:val="24"/>
                <w:szCs w:val="24"/>
              </w:rPr>
              <w:t>投标报价不完整的，不进入评标标准价的计算，本项得0分。</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D97F1E">
            <w:pPr>
              <w:pStyle w:val="41"/>
              <w:keepNext w:val="0"/>
              <w:keepLines w:val="0"/>
              <w:pageBreakBefore w:val="0"/>
              <w:numPr>
                <w:ilvl w:val="0"/>
                <w:numId w:val="0"/>
              </w:numPr>
              <w:suppressLineNumbers w:val="0"/>
              <w:kinsoku/>
              <w:wordWrap/>
              <w:overflowPunct/>
              <w:topLinePunct w:val="0"/>
              <w:bidi w:val="0"/>
              <w:spacing w:before="0" w:beforeAutospacing="0" w:after="0" w:afterAutospacing="0" w:line="460" w:lineRule="exact"/>
              <w:ind w:left="0" w:right="0"/>
              <w:jc w:val="center"/>
              <w:textAlignment w:val="auto"/>
              <w:rPr>
                <w:rFonts w:hint="eastAsia" w:hAnsi="宋体" w:cs="宋体"/>
                <w:color w:val="auto"/>
                <w:sz w:val="24"/>
                <w:szCs w:val="24"/>
                <w:lang w:val="en-US" w:eastAsia="zh-CN"/>
              </w:rPr>
            </w:pPr>
            <w:r>
              <w:rPr>
                <w:rFonts w:hint="eastAsia" w:ascii="宋体" w:hAnsi="宋体" w:cs="宋体"/>
                <w:color w:val="auto"/>
                <w:kern w:val="0"/>
                <w:sz w:val="24"/>
                <w:szCs w:val="24"/>
                <w:lang w:val="en-US" w:eastAsia="zh-CN"/>
              </w:rPr>
              <w:t>30分</w:t>
            </w:r>
          </w:p>
        </w:tc>
      </w:tr>
      <w:tr w14:paraId="6814E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1" w:hRule="atLeast"/>
          <w:jc w:val="center"/>
        </w:trPr>
        <w:tc>
          <w:tcPr>
            <w:tcW w:w="1014"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09208072">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eastAsia" w:ascii="仿宋" w:hAnsi="仿宋"/>
                <w:b/>
                <w:bCs/>
                <w:color w:val="auto"/>
                <w:sz w:val="24"/>
                <w:lang w:val="en-US" w:eastAsia="zh-CN"/>
              </w:rPr>
            </w:pPr>
            <w:r>
              <w:rPr>
                <w:rFonts w:hint="eastAsia" w:ascii="仿宋" w:hAnsi="仿宋"/>
                <w:b/>
                <w:bCs/>
                <w:color w:val="auto"/>
                <w:sz w:val="24"/>
                <w:lang w:val="en-US" w:eastAsia="zh-CN"/>
              </w:rPr>
              <w:t>商务</w:t>
            </w:r>
          </w:p>
          <w:p w14:paraId="61711417">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eastAsia" w:ascii="仿宋" w:hAnsi="仿宋"/>
                <w:b/>
                <w:bCs/>
                <w:color w:val="auto"/>
                <w:sz w:val="24"/>
                <w:lang w:val="en-US" w:eastAsia="zh-CN"/>
              </w:rPr>
            </w:pPr>
            <w:r>
              <w:rPr>
                <w:rFonts w:hint="eastAsia" w:ascii="仿宋" w:hAnsi="仿宋"/>
                <w:b/>
                <w:bCs/>
                <w:color w:val="auto"/>
                <w:sz w:val="24"/>
                <w:lang w:val="en-US" w:eastAsia="zh-CN"/>
              </w:rPr>
              <w:t>响应</w:t>
            </w:r>
          </w:p>
          <w:p w14:paraId="30F5F75B">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rPr>
            </w:pPr>
            <w:r>
              <w:rPr>
                <w:rFonts w:hint="eastAsia" w:ascii="仿宋" w:hAnsi="仿宋"/>
                <w:b/>
                <w:bCs/>
                <w:color w:val="auto"/>
                <w:sz w:val="24"/>
                <w:lang w:val="en-US" w:eastAsia="zh-CN"/>
              </w:rPr>
              <w:t>（3分）</w:t>
            </w: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E5B93F5">
            <w:pPr>
              <w:keepNext w:val="0"/>
              <w:keepLines w:val="0"/>
              <w:pageBreakBefore w:val="0"/>
              <w:suppressLineNumbers w:val="0"/>
              <w:kinsoku/>
              <w:wordWrap/>
              <w:overflowPunct/>
              <w:topLinePunct w:val="0"/>
              <w:bidi w:val="0"/>
              <w:spacing w:before="0" w:beforeAutospacing="0" w:after="0" w:afterAutospacing="0" w:line="460" w:lineRule="exact"/>
              <w:ind w:left="0" w:right="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rPr>
              <w:t>经过有效性和符合性审核合格的</w:t>
            </w:r>
            <w:r>
              <w:rPr>
                <w:rFonts w:hint="eastAsia" w:ascii="宋体" w:hAnsi="宋体" w:cs="宋体"/>
                <w:color w:val="auto"/>
                <w:sz w:val="24"/>
                <w:szCs w:val="24"/>
                <w:lang w:val="en-US" w:eastAsia="zh-CN"/>
              </w:rPr>
              <w:t>投标供应商</w:t>
            </w:r>
            <w:r>
              <w:rPr>
                <w:rFonts w:hint="eastAsia" w:ascii="宋体" w:hAnsi="宋体" w:cs="宋体"/>
                <w:color w:val="auto"/>
                <w:sz w:val="24"/>
                <w:szCs w:val="24"/>
              </w:rPr>
              <w:t>，对付款</w:t>
            </w:r>
            <w:r>
              <w:rPr>
                <w:rFonts w:hint="eastAsia" w:ascii="宋体" w:hAnsi="宋体" w:cs="宋体"/>
                <w:color w:val="auto"/>
                <w:sz w:val="24"/>
                <w:szCs w:val="24"/>
                <w:lang w:val="en-US" w:eastAsia="zh-CN"/>
              </w:rPr>
              <w:t>方式</w:t>
            </w:r>
            <w:r>
              <w:rPr>
                <w:rFonts w:hint="eastAsia" w:ascii="宋体" w:hAnsi="宋体" w:cs="宋体"/>
                <w:color w:val="auto"/>
                <w:sz w:val="24"/>
                <w:szCs w:val="24"/>
              </w:rPr>
              <w:t>、</w:t>
            </w:r>
            <w:r>
              <w:rPr>
                <w:rFonts w:hint="eastAsia" w:ascii="宋体" w:hAnsi="宋体" w:cs="宋体"/>
                <w:color w:val="auto"/>
                <w:sz w:val="24"/>
                <w:szCs w:val="24"/>
                <w:lang w:val="en-US" w:eastAsia="zh-CN"/>
              </w:rPr>
              <w:t>交货期</w:t>
            </w:r>
            <w:r>
              <w:rPr>
                <w:rFonts w:hint="eastAsia" w:ascii="宋体" w:hAnsi="宋体" w:cs="宋体"/>
                <w:color w:val="auto"/>
                <w:sz w:val="24"/>
                <w:szCs w:val="24"/>
              </w:rPr>
              <w:t>、</w:t>
            </w:r>
            <w:r>
              <w:rPr>
                <w:rFonts w:hint="eastAsia" w:ascii="宋体" w:hAnsi="宋体" w:cs="宋体"/>
                <w:color w:val="auto"/>
                <w:sz w:val="24"/>
                <w:szCs w:val="24"/>
                <w:lang w:val="en-US" w:eastAsia="zh-CN"/>
              </w:rPr>
              <w:t>质保期</w:t>
            </w:r>
            <w:r>
              <w:rPr>
                <w:rFonts w:hint="eastAsia" w:ascii="宋体" w:hAnsi="宋体" w:cs="宋体"/>
                <w:color w:val="auto"/>
                <w:sz w:val="24"/>
                <w:szCs w:val="24"/>
              </w:rPr>
              <w:t>、</w:t>
            </w:r>
            <w:r>
              <w:rPr>
                <w:rFonts w:hint="eastAsia" w:ascii="宋体" w:hAnsi="宋体" w:cs="宋体"/>
                <w:color w:val="auto"/>
                <w:sz w:val="24"/>
                <w:szCs w:val="24"/>
                <w:lang w:eastAsia="zh-CN"/>
              </w:rPr>
              <w:t>验收、</w:t>
            </w:r>
            <w:r>
              <w:rPr>
                <w:rFonts w:hint="eastAsia" w:ascii="宋体" w:hAnsi="宋体" w:cs="宋体"/>
                <w:color w:val="auto"/>
                <w:sz w:val="24"/>
                <w:szCs w:val="24"/>
              </w:rPr>
              <w:t>服务等</w:t>
            </w:r>
            <w:r>
              <w:rPr>
                <w:rFonts w:hint="eastAsia" w:ascii="宋体" w:hAnsi="宋体" w:cs="宋体"/>
                <w:color w:val="auto"/>
                <w:sz w:val="24"/>
                <w:szCs w:val="24"/>
                <w:lang w:val="en-US" w:eastAsia="zh-CN"/>
              </w:rPr>
              <w:t>商务要求</w:t>
            </w:r>
            <w:r>
              <w:rPr>
                <w:rFonts w:hint="eastAsia" w:ascii="宋体" w:hAnsi="宋体" w:cs="宋体"/>
                <w:color w:val="auto"/>
                <w:sz w:val="24"/>
                <w:szCs w:val="24"/>
              </w:rPr>
              <w:t>进行响应，完全响应且逐项详细说明的计</w:t>
            </w:r>
            <w:r>
              <w:rPr>
                <w:rFonts w:hint="eastAsia" w:ascii="宋体" w:hAnsi="宋体" w:cs="宋体"/>
                <w:color w:val="auto"/>
                <w:sz w:val="24"/>
                <w:szCs w:val="24"/>
                <w:lang w:val="en-US" w:eastAsia="zh-CN"/>
              </w:rPr>
              <w:t>3</w:t>
            </w:r>
            <w:r>
              <w:rPr>
                <w:rFonts w:hint="eastAsia" w:ascii="宋体" w:hAnsi="宋体" w:cs="宋体"/>
                <w:color w:val="auto"/>
                <w:sz w:val="24"/>
                <w:szCs w:val="24"/>
              </w:rPr>
              <w:t>分，未做详细响应的，按响应程度赋1-</w:t>
            </w:r>
            <w:r>
              <w:rPr>
                <w:rFonts w:hint="eastAsia" w:ascii="宋体" w:hAnsi="宋体" w:cs="宋体"/>
                <w:color w:val="auto"/>
                <w:sz w:val="24"/>
                <w:szCs w:val="24"/>
                <w:lang w:val="en-US" w:eastAsia="zh-CN"/>
              </w:rPr>
              <w:t>2</w:t>
            </w:r>
            <w:r>
              <w:rPr>
                <w:rFonts w:hint="eastAsia" w:ascii="宋体" w:hAnsi="宋体" w:cs="宋体"/>
                <w:color w:val="auto"/>
                <w:sz w:val="24"/>
                <w:szCs w:val="24"/>
              </w:rPr>
              <w:t>分。</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F7E5EB4">
            <w:pPr>
              <w:keepNext w:val="0"/>
              <w:keepLines w:val="0"/>
              <w:pageBreakBefore w:val="0"/>
              <w:suppressLineNumbers w:val="0"/>
              <w:kinsoku/>
              <w:wordWrap/>
              <w:overflowPunct/>
              <w:topLinePunct w:val="0"/>
              <w:bidi w:val="0"/>
              <w:spacing w:before="0" w:beforeAutospacing="0" w:after="0" w:afterAutospacing="0" w:line="460" w:lineRule="exact"/>
              <w:ind w:left="0" w:right="0"/>
              <w:jc w:val="center"/>
              <w:textAlignment w:val="auto"/>
              <w:rPr>
                <w:rFonts w:hint="eastAsia" w:ascii="宋体" w:hAnsi="宋体" w:cs="宋体"/>
                <w:color w:val="auto"/>
                <w:sz w:val="24"/>
                <w:szCs w:val="24"/>
              </w:rPr>
            </w:pPr>
            <w:r>
              <w:rPr>
                <w:rFonts w:hint="eastAsia" w:ascii="仿宋" w:hAnsi="仿宋"/>
                <w:color w:val="auto"/>
                <w:sz w:val="24"/>
                <w:lang w:val="en-US" w:eastAsia="zh-CN"/>
              </w:rPr>
              <w:t>3分</w:t>
            </w:r>
          </w:p>
        </w:tc>
      </w:tr>
      <w:tr w14:paraId="756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659" w:hRule="atLeast"/>
          <w:jc w:val="center"/>
        </w:trPr>
        <w:tc>
          <w:tcPr>
            <w:tcW w:w="1014" w:type="dxa"/>
            <w:vMerge w:val="restart"/>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1E23617F">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技术</w:t>
            </w:r>
          </w:p>
          <w:p w14:paraId="154FCE1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评审</w:t>
            </w:r>
          </w:p>
          <w:p w14:paraId="40FC2E59">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auto"/>
                <w:kern w:val="0"/>
                <w:sz w:val="24"/>
                <w:szCs w:val="24"/>
                <w:lang w:val="en-US" w:eastAsia="zh-CN"/>
              </w:rPr>
            </w:pPr>
            <w:r>
              <w:rPr>
                <w:rFonts w:hint="eastAsia" w:ascii="宋体" w:hAnsi="宋体" w:cs="宋体"/>
                <w:b/>
                <w:bCs/>
                <w:color w:val="auto"/>
                <w:kern w:val="0"/>
                <w:sz w:val="24"/>
                <w:szCs w:val="24"/>
                <w:lang w:val="en-US" w:eastAsia="zh-CN"/>
              </w:rPr>
              <w:t>（50分）</w:t>
            </w:r>
          </w:p>
          <w:p w14:paraId="78FA581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auto"/>
                <w:sz w:val="24"/>
                <w:szCs w:val="24"/>
              </w:rPr>
            </w:pP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49A952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textAlignment w:val="auto"/>
              <w:rPr>
                <w:rFonts w:hint="default" w:ascii="宋体" w:hAnsi="宋体" w:cs="宋体"/>
                <w:color w:val="auto"/>
                <w:sz w:val="24"/>
                <w:szCs w:val="24"/>
                <w:highlight w:val="none"/>
                <w:lang w:val="en-US" w:eastAsia="zh-CN"/>
              </w:rPr>
            </w:pPr>
            <w:r>
              <w:rPr>
                <w:rFonts w:hint="eastAsia" w:ascii="宋体" w:hAnsi="宋体" w:cs="宋体"/>
                <w:b/>
                <w:bCs/>
                <w:color w:val="auto"/>
                <w:sz w:val="24"/>
                <w:szCs w:val="24"/>
                <w:highlight w:val="none"/>
                <w:lang w:val="en-US" w:eastAsia="zh-CN"/>
              </w:rPr>
              <w:t>技术参数</w:t>
            </w:r>
            <w:r>
              <w:rPr>
                <w:rFonts w:hint="eastAsia" w:ascii="宋体" w:hAnsi="宋体" w:cs="宋体"/>
                <w:b/>
                <w:bCs w:val="0"/>
                <w:color w:val="auto"/>
                <w:sz w:val="24"/>
                <w:szCs w:val="24"/>
                <w:highlight w:val="none"/>
                <w:lang w:val="en-US" w:eastAsia="zh-CN"/>
              </w:rPr>
              <w:t>（25分）</w:t>
            </w:r>
          </w:p>
          <w:p w14:paraId="4CB9EFC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textAlignment w:val="auto"/>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投标</w:t>
            </w:r>
            <w:r>
              <w:rPr>
                <w:rFonts w:hint="eastAsia" w:ascii="宋体" w:hAnsi="宋体" w:cs="宋体"/>
                <w:color w:val="auto"/>
                <w:sz w:val="24"/>
                <w:szCs w:val="24"/>
                <w:highlight w:val="none"/>
                <w:lang w:val="en-US" w:eastAsia="zh-CN"/>
              </w:rPr>
              <w:t>产品</w:t>
            </w:r>
            <w:r>
              <w:rPr>
                <w:rFonts w:hint="default" w:ascii="宋体" w:hAnsi="宋体" w:cs="宋体"/>
                <w:color w:val="auto"/>
                <w:sz w:val="24"/>
                <w:szCs w:val="24"/>
                <w:highlight w:val="none"/>
                <w:lang w:val="en-US" w:eastAsia="zh-CN"/>
              </w:rPr>
              <w:t>技术指标清晰，符合国家的最新标准和有关规定，技术资料齐全，技术参数全部响应招标文件中技术要求的计</w:t>
            </w:r>
            <w:r>
              <w:rPr>
                <w:rFonts w:hint="eastAsia" w:ascii="宋体" w:hAnsi="宋体" w:cs="宋体"/>
                <w:color w:val="auto"/>
                <w:sz w:val="24"/>
                <w:szCs w:val="24"/>
                <w:highlight w:val="none"/>
                <w:lang w:val="en-US" w:eastAsia="zh-CN"/>
              </w:rPr>
              <w:t>25</w:t>
            </w:r>
            <w:r>
              <w:rPr>
                <w:rFonts w:hint="default" w:ascii="宋体" w:hAnsi="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。其中</w:t>
            </w:r>
            <w:r>
              <w:rPr>
                <w:rFonts w:hint="default" w:ascii="宋体" w:hAnsi="宋体" w:cs="宋体"/>
                <w:color w:val="auto"/>
                <w:sz w:val="24"/>
                <w:szCs w:val="24"/>
                <w:highlight w:val="none"/>
                <w:lang w:val="en-US" w:eastAsia="zh-CN"/>
              </w:rPr>
              <w:t>标记</w:t>
            </w:r>
            <w:r>
              <w:rPr>
                <w:rFonts w:hint="eastAsia" w:ascii="宋体" w:hAnsi="宋体" w:eastAsia="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项参数每出现一项负偏离扣</w:t>
            </w: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；非</w:t>
            </w:r>
            <w:r>
              <w:rPr>
                <w:rFonts w:hint="eastAsia" w:ascii="宋体" w:hAnsi="宋体" w:eastAsia="宋体" w:cs="宋体"/>
                <w:color w:val="auto"/>
                <w:sz w:val="24"/>
                <w:szCs w:val="24"/>
                <w:highlight w:val="none"/>
                <w:lang w:val="en-US" w:eastAsia="zh-CN"/>
              </w:rPr>
              <w:t>★</w:t>
            </w:r>
            <w:r>
              <w:rPr>
                <w:rFonts w:hint="default" w:ascii="宋体" w:hAnsi="宋体" w:cs="宋体"/>
                <w:color w:val="auto"/>
                <w:sz w:val="24"/>
                <w:szCs w:val="24"/>
                <w:highlight w:val="none"/>
                <w:lang w:val="en-US" w:eastAsia="zh-CN"/>
              </w:rPr>
              <w:t>技术参数每出现一项负偏离扣</w:t>
            </w:r>
            <w:r>
              <w:rPr>
                <w:rFonts w:hint="eastAsia" w:ascii="宋体" w:hAnsi="宋体" w:cs="宋体"/>
                <w:color w:val="auto"/>
                <w:sz w:val="24"/>
                <w:szCs w:val="24"/>
                <w:highlight w:val="none"/>
                <w:lang w:val="en-US" w:eastAsia="zh-CN"/>
              </w:rPr>
              <w:t>1</w:t>
            </w:r>
            <w:r>
              <w:rPr>
                <w:rFonts w:hint="default" w:ascii="宋体" w:hAnsi="宋体" w:cs="宋体"/>
                <w:color w:val="auto"/>
                <w:sz w:val="24"/>
                <w:szCs w:val="24"/>
                <w:highlight w:val="none"/>
                <w:lang w:val="en-US" w:eastAsia="zh-CN"/>
              </w:rPr>
              <w:t>分，直至扣完为止；投标时须附有所投产品的</w:t>
            </w:r>
            <w:r>
              <w:rPr>
                <w:rFonts w:hint="eastAsia" w:ascii="宋体" w:hAnsi="宋体" w:cs="宋体"/>
                <w:color w:val="auto"/>
                <w:sz w:val="24"/>
                <w:szCs w:val="24"/>
                <w:highlight w:val="none"/>
                <w:lang w:val="en-US" w:eastAsia="zh-CN"/>
              </w:rPr>
              <w:t>技术</w:t>
            </w:r>
            <w:r>
              <w:rPr>
                <w:rFonts w:hint="default" w:ascii="宋体" w:hAnsi="宋体" w:cs="宋体"/>
                <w:color w:val="auto"/>
                <w:sz w:val="24"/>
                <w:szCs w:val="24"/>
                <w:highlight w:val="none"/>
                <w:lang w:val="en-US" w:eastAsia="zh-CN"/>
              </w:rPr>
              <w:t>资料</w:t>
            </w:r>
            <w:r>
              <w:rPr>
                <w:rFonts w:hint="eastAsia" w:ascii="宋体" w:hAnsi="宋体" w:eastAsia="宋体" w:cs="宋体"/>
                <w:b w:val="0"/>
                <w:bCs w:val="0"/>
                <w:color w:val="auto"/>
                <w:kern w:val="0"/>
                <w:sz w:val="24"/>
                <w:szCs w:val="24"/>
                <w:lang w:val="en-US" w:eastAsia="zh-CN" w:bidi="ar-SA"/>
              </w:rPr>
              <w:t>(包括但不限于检测报告、</w:t>
            </w:r>
            <w:r>
              <w:rPr>
                <w:rFonts w:hint="eastAsia" w:ascii="宋体" w:hAnsi="宋体" w:eastAsia="宋体" w:cs="宋体"/>
                <w:kern w:val="2"/>
                <w:sz w:val="24"/>
                <w:szCs w:val="24"/>
                <w:lang w:val="en-US" w:eastAsia="zh-CN" w:bidi="ar"/>
              </w:rPr>
              <w:t>技术说明资料</w:t>
            </w:r>
            <w:r>
              <w:rPr>
                <w:rFonts w:hint="eastAsia" w:ascii="宋体" w:hAnsi="宋体" w:eastAsia="宋体" w:cs="宋体"/>
                <w:b w:val="0"/>
                <w:bCs w:val="0"/>
                <w:color w:val="auto"/>
                <w:kern w:val="0"/>
                <w:sz w:val="24"/>
                <w:szCs w:val="24"/>
                <w:lang w:val="en-US" w:eastAsia="zh-CN" w:bidi="ar-SA"/>
              </w:rPr>
              <w:t>、官网功能截图等</w:t>
            </w:r>
            <w:r>
              <w:rPr>
                <w:rFonts w:hint="eastAsia" w:ascii="宋体" w:hAnsi="宋体" w:cs="宋体"/>
                <w:b w:val="0"/>
                <w:bCs w:val="0"/>
                <w:color w:val="auto"/>
                <w:kern w:val="0"/>
                <w:sz w:val="24"/>
                <w:szCs w:val="24"/>
                <w:lang w:val="en-US" w:eastAsia="zh-CN" w:bidi="ar-SA"/>
              </w:rPr>
              <w:t>证明材料</w:t>
            </w:r>
            <w:r>
              <w:rPr>
                <w:rFonts w:hint="eastAsia" w:ascii="宋体" w:hAnsi="宋体" w:eastAsia="宋体" w:cs="宋体"/>
                <w:b w:val="0"/>
                <w:bCs w:val="0"/>
                <w:color w:val="auto"/>
                <w:kern w:val="0"/>
                <w:sz w:val="24"/>
                <w:szCs w:val="24"/>
                <w:lang w:val="en-US" w:eastAsia="zh-CN" w:bidi="ar-SA"/>
              </w:rPr>
              <w:t>)</w:t>
            </w:r>
            <w:r>
              <w:rPr>
                <w:rFonts w:hint="eastAsia" w:ascii="宋体" w:hAnsi="宋体" w:cs="宋体"/>
                <w:b w:val="0"/>
                <w:bCs w:val="0"/>
                <w:color w:val="auto"/>
                <w:kern w:val="0"/>
                <w:sz w:val="24"/>
                <w:szCs w:val="24"/>
                <w:lang w:val="en-US" w:eastAsia="zh-CN" w:bidi="ar-SA"/>
              </w:rPr>
              <w:t>，</w:t>
            </w:r>
            <w:r>
              <w:rPr>
                <w:rFonts w:hint="eastAsia" w:ascii="宋体" w:hAnsi="宋体" w:eastAsia="宋体" w:cs="宋体"/>
                <w:b w:val="0"/>
                <w:bCs w:val="0"/>
                <w:color w:val="auto"/>
                <w:kern w:val="0"/>
                <w:sz w:val="24"/>
                <w:szCs w:val="24"/>
                <w:lang w:val="en-US" w:eastAsia="zh-CN" w:bidi="ar-SA"/>
              </w:rPr>
              <w:t>佐证材料需加盖投标供应商公章</w:t>
            </w:r>
            <w:r>
              <w:rPr>
                <w:rFonts w:hint="default" w:ascii="宋体" w:hAnsi="宋体" w:cs="宋体"/>
                <w:color w:val="auto"/>
                <w:sz w:val="24"/>
                <w:szCs w:val="24"/>
                <w:highlight w:val="none"/>
                <w:lang w:val="en-US" w:eastAsia="zh-CN"/>
              </w:rPr>
              <w:t>。</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F3294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lang w:val="en-US" w:eastAsia="zh-CN"/>
              </w:rPr>
              <w:t>25分</w:t>
            </w:r>
          </w:p>
        </w:tc>
      </w:tr>
      <w:tr w14:paraId="69E92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7" w:hRule="atLeast"/>
          <w:jc w:val="center"/>
        </w:trPr>
        <w:tc>
          <w:tcPr>
            <w:tcW w:w="1014" w:type="dxa"/>
            <w:vMerge w:val="continue"/>
            <w:tcBorders>
              <w:left w:val="single" w:color="auto" w:sz="4" w:space="0"/>
              <w:right w:val="single" w:color="auto" w:sz="4" w:space="0"/>
            </w:tcBorders>
            <w:noWrap w:val="0"/>
            <w:tcMar>
              <w:top w:w="15" w:type="dxa"/>
              <w:left w:w="15" w:type="dxa"/>
              <w:bottom w:w="0" w:type="dxa"/>
              <w:right w:w="15" w:type="dxa"/>
            </w:tcMar>
            <w:vAlign w:val="center"/>
          </w:tcPr>
          <w:p w14:paraId="6A41CFB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auto"/>
                <w:kern w:val="0"/>
                <w:sz w:val="24"/>
                <w:szCs w:val="24"/>
                <w:lang w:val="en-US" w:eastAsia="zh-CN"/>
              </w:rPr>
            </w:pP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622553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460" w:lineRule="exact"/>
              <w:ind w:left="0" w:right="0"/>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供货渠道及产品选型（10分）</w:t>
            </w:r>
          </w:p>
          <w:p w14:paraId="17D07153">
            <w:pPr>
              <w:pStyle w:val="18"/>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left="0" w:right="0" w:rightChars="0"/>
              <w:textAlignment w:val="auto"/>
              <w:rPr>
                <w:rFonts w:hint="eastAsia" w:cs="宋体"/>
                <w:color w:val="auto"/>
                <w:kern w:val="2"/>
                <w:sz w:val="24"/>
                <w:szCs w:val="24"/>
                <w:highlight w:val="none"/>
                <w:lang w:val="en-US" w:eastAsia="zh-CN" w:bidi="ar-SA"/>
              </w:rPr>
            </w:pPr>
            <w:r>
              <w:rPr>
                <w:rFonts w:hint="eastAsia" w:cs="宋体"/>
                <w:b/>
                <w:bCs/>
                <w:color w:val="auto"/>
                <w:kern w:val="2"/>
                <w:sz w:val="24"/>
                <w:szCs w:val="24"/>
                <w:highlight w:val="none"/>
                <w:lang w:val="en-US" w:eastAsia="zh-CN" w:bidi="ar-SA"/>
              </w:rPr>
              <w:t>1.</w:t>
            </w:r>
            <w:r>
              <w:rPr>
                <w:rFonts w:hint="eastAsia" w:ascii="宋体" w:hAnsi="宋体" w:cs="宋体"/>
                <w:b/>
                <w:bCs/>
                <w:color w:val="auto"/>
                <w:sz w:val="24"/>
                <w:szCs w:val="24"/>
                <w:highlight w:val="none"/>
                <w:lang w:val="en-US" w:eastAsia="zh-CN"/>
              </w:rPr>
              <w:t>供货渠道（</w:t>
            </w:r>
            <w:r>
              <w:rPr>
                <w:rFonts w:hint="eastAsia" w:cs="宋体"/>
                <w:b/>
                <w:bCs/>
                <w:color w:val="auto"/>
                <w:sz w:val="24"/>
                <w:szCs w:val="24"/>
                <w:highlight w:val="none"/>
                <w:lang w:val="en-US" w:eastAsia="zh-CN"/>
              </w:rPr>
              <w:t>6</w:t>
            </w:r>
            <w:r>
              <w:rPr>
                <w:rFonts w:hint="eastAsia" w:ascii="宋体" w:hAnsi="宋体" w:cs="宋体"/>
                <w:b/>
                <w:bCs/>
                <w:color w:val="auto"/>
                <w:sz w:val="24"/>
                <w:szCs w:val="24"/>
                <w:highlight w:val="none"/>
                <w:lang w:val="en-US" w:eastAsia="zh-CN"/>
              </w:rPr>
              <w:t>分）</w:t>
            </w:r>
          </w:p>
          <w:p w14:paraId="6AE54034">
            <w:pPr>
              <w:pStyle w:val="18"/>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left="0" w:right="0" w:rightChars="0"/>
              <w:textAlignment w:val="auto"/>
              <w:rPr>
                <w:rFonts w:hint="eastAsia" w:cs="宋体"/>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供应商提供产品来源渠道</w:t>
            </w:r>
            <w:r>
              <w:rPr>
                <w:rFonts w:hint="eastAsia" w:cs="宋体"/>
                <w:color w:val="auto"/>
                <w:kern w:val="2"/>
                <w:sz w:val="24"/>
                <w:szCs w:val="24"/>
                <w:highlight w:val="none"/>
                <w:lang w:val="en-US" w:eastAsia="zh-CN" w:bidi="ar-SA"/>
              </w:rPr>
              <w:t>合法证明文件</w:t>
            </w:r>
            <w:r>
              <w:rPr>
                <w:rFonts w:hint="default" w:ascii="宋体" w:hAnsi="宋体" w:eastAsia="宋体" w:cs="宋体"/>
                <w:color w:val="auto"/>
                <w:kern w:val="2"/>
                <w:sz w:val="24"/>
                <w:szCs w:val="24"/>
                <w:highlight w:val="none"/>
                <w:lang w:val="en-US" w:eastAsia="zh-CN" w:bidi="ar-SA"/>
              </w:rPr>
              <w:t>（包括但不限于销售协议、代理协议、原厂授权等）</w:t>
            </w:r>
            <w:r>
              <w:rPr>
                <w:rFonts w:hint="eastAsia" w:cs="宋体"/>
                <w:color w:val="auto"/>
                <w:kern w:val="2"/>
                <w:sz w:val="24"/>
                <w:szCs w:val="24"/>
                <w:highlight w:val="none"/>
                <w:lang w:val="en-US" w:eastAsia="zh-CN" w:bidi="ar-SA"/>
              </w:rPr>
              <w:t>，产品来源渠道证明文件齐全得6分，每缺少一个生产厂家的扣2分，直至6分扣完为止。</w:t>
            </w:r>
          </w:p>
          <w:p w14:paraId="23E5A7F3">
            <w:pPr>
              <w:keepNext w:val="0"/>
              <w:keepLines w:val="0"/>
              <w:pageBreakBefore w:val="0"/>
              <w:widowControl w:val="0"/>
              <w:suppressLineNumbers w:val="0"/>
              <w:kinsoku w:val="0"/>
              <w:wordWrap/>
              <w:overflowPunct/>
              <w:topLinePunct w:val="0"/>
              <w:bidi w:val="0"/>
              <w:adjustRightInd w:val="0"/>
              <w:snapToGrid w:val="0"/>
              <w:spacing w:before="0" w:beforeAutospacing="0" w:after="0" w:afterAutospacing="0" w:line="440" w:lineRule="exact"/>
              <w:ind w:left="0" w:right="0"/>
              <w:jc w:val="both"/>
              <w:textAlignment w:val="auto"/>
              <w:rPr>
                <w:rFonts w:hint="eastAsia" w:ascii="宋体" w:hAnsi="宋体" w:eastAsia="宋体" w:cs="宋体"/>
                <w:b/>
                <w:bCs/>
                <w:color w:val="000000" w:themeColor="text1"/>
                <w:kern w:val="2"/>
                <w:sz w:val="24"/>
                <w:szCs w:val="24"/>
                <w:lang w:val="en-US" w:eastAsia="zh-CN" w:bidi="ar-SA"/>
                <w14:textFill>
                  <w14:solidFill>
                    <w14:schemeClr w14:val="tx1"/>
                  </w14:solidFill>
                </w14:textFill>
              </w:rPr>
            </w:pPr>
            <w:r>
              <w:rPr>
                <w:rFonts w:hint="eastAsia" w:cs="宋体"/>
                <w:b/>
                <w:bCs/>
                <w:color w:val="auto"/>
                <w:kern w:val="2"/>
                <w:sz w:val="24"/>
                <w:szCs w:val="24"/>
                <w:highlight w:val="none"/>
                <w:lang w:val="en-US" w:eastAsia="zh-CN" w:bidi="ar-SA"/>
              </w:rPr>
              <w:t>2.</w:t>
            </w: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产品选型（</w:t>
            </w:r>
            <w:r>
              <w:rPr>
                <w:rFonts w:hint="eastAsia" w:ascii="宋体" w:hAnsi="宋体" w:cs="宋体"/>
                <w:b/>
                <w:bCs/>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
                <w:bCs/>
                <w:color w:val="000000" w:themeColor="text1"/>
                <w:kern w:val="2"/>
                <w:sz w:val="24"/>
                <w:szCs w:val="24"/>
                <w:lang w:val="en-US" w:eastAsia="zh-CN" w:bidi="ar-SA"/>
                <w14:textFill>
                  <w14:solidFill>
                    <w14:schemeClr w14:val="tx1"/>
                  </w14:solidFill>
                </w14:textFill>
              </w:rPr>
              <w:t>分）</w:t>
            </w:r>
          </w:p>
          <w:p w14:paraId="69CE5D7B">
            <w:pPr>
              <w:pStyle w:val="18"/>
              <w:keepNext w:val="0"/>
              <w:keepLines w:val="0"/>
              <w:pageBreakBefore w:val="0"/>
              <w:widowControl w:val="0"/>
              <w:numPr>
                <w:ilvl w:val="0"/>
                <w:numId w:val="0"/>
              </w:numPr>
              <w:suppressLineNumbers w:val="0"/>
              <w:kinsoku/>
              <w:wordWrap/>
              <w:overflowPunct/>
              <w:topLinePunct w:val="0"/>
              <w:bidi w:val="0"/>
              <w:spacing w:before="0" w:beforeAutospacing="0" w:after="0" w:afterAutospacing="0" w:line="460" w:lineRule="exact"/>
              <w:ind w:left="0" w:right="0" w:rightChars="0"/>
              <w:textAlignment w:val="auto"/>
              <w:rPr>
                <w:rFonts w:hint="default"/>
                <w:lang w:val="en-US" w:eastAsia="zh-CN"/>
              </w:rPr>
            </w:pP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投标产品选型合理，根据投标产品选型合理性、</w:t>
            </w:r>
            <w:r>
              <w:rPr>
                <w:rFonts w:hint="eastAsia" w:cs="宋体"/>
                <w:b w:val="0"/>
                <w:bCs/>
                <w:color w:val="000000" w:themeColor="text1"/>
                <w:kern w:val="2"/>
                <w:sz w:val="24"/>
                <w:szCs w:val="24"/>
                <w:lang w:val="en-US" w:eastAsia="zh-CN" w:bidi="ar-SA"/>
                <w14:textFill>
                  <w14:solidFill>
                    <w14:schemeClr w14:val="tx1"/>
                  </w14:solidFill>
                </w14:textFill>
              </w:rPr>
              <w:t>配套性、</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先进性及参数满足招标文件的程度，横向比较综合赋分</w:t>
            </w:r>
            <w:r>
              <w:rPr>
                <w:rFonts w:hint="eastAsia" w:ascii="宋体" w:hAnsi="宋体" w:cs="宋体"/>
                <w:b w:val="0"/>
                <w:bCs/>
                <w:color w:val="000000" w:themeColor="text1"/>
                <w:kern w:val="2"/>
                <w:sz w:val="24"/>
                <w:szCs w:val="24"/>
                <w:lang w:val="en-US" w:eastAsia="zh-CN" w:bidi="ar-SA"/>
                <w14:textFill>
                  <w14:solidFill>
                    <w14:schemeClr w14:val="tx1"/>
                  </w14:solidFill>
                </w14:textFill>
              </w:rPr>
              <w:t>0-</w:t>
            </w:r>
            <w:r>
              <w:rPr>
                <w:rFonts w:hint="eastAsia" w:cs="宋体"/>
                <w:b w:val="0"/>
                <w:bCs/>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b w:val="0"/>
                <w:bCs/>
                <w:color w:val="000000" w:themeColor="text1"/>
                <w:kern w:val="2"/>
                <w:sz w:val="24"/>
                <w:szCs w:val="24"/>
                <w:lang w:val="en-US" w:eastAsia="zh-CN" w:bidi="ar-SA"/>
                <w14:textFill>
                  <w14:solidFill>
                    <w14:schemeClr w14:val="tx1"/>
                  </w14:solidFill>
                </w14:textFill>
              </w:rPr>
              <w:t>分。</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39E11C31">
            <w:pPr>
              <w:pStyle w:val="18"/>
              <w:keepNext w:val="0"/>
              <w:keepLines w:val="0"/>
              <w:pageBreakBefore w:val="0"/>
              <w:widowControl w:val="0"/>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color w:val="auto"/>
                <w:kern w:val="2"/>
                <w:sz w:val="24"/>
                <w:szCs w:val="24"/>
                <w:highlight w:val="none"/>
                <w:lang w:val="en-US" w:eastAsia="zh-CN" w:bidi="ar-SA"/>
              </w:rPr>
            </w:pPr>
            <w:r>
              <w:rPr>
                <w:rFonts w:hint="eastAsia" w:cs="宋体"/>
                <w:color w:val="auto"/>
                <w:sz w:val="24"/>
                <w:szCs w:val="24"/>
                <w:lang w:val="en-US" w:eastAsia="zh-CN"/>
              </w:rPr>
              <w:t>10</w:t>
            </w:r>
            <w:r>
              <w:rPr>
                <w:rFonts w:hint="eastAsia" w:ascii="宋体" w:hAnsi="宋体" w:cs="宋体"/>
                <w:color w:val="auto"/>
                <w:sz w:val="24"/>
                <w:szCs w:val="24"/>
                <w:lang w:val="en-US" w:eastAsia="zh-CN"/>
              </w:rPr>
              <w:t>分</w:t>
            </w:r>
          </w:p>
        </w:tc>
      </w:tr>
      <w:tr w14:paraId="3B116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21" w:hRule="atLeast"/>
          <w:jc w:val="center"/>
        </w:trPr>
        <w:tc>
          <w:tcPr>
            <w:tcW w:w="1014" w:type="dxa"/>
            <w:vMerge w:val="continue"/>
            <w:tcBorders>
              <w:left w:val="single" w:color="auto" w:sz="4" w:space="0"/>
              <w:right w:val="single" w:color="auto" w:sz="4" w:space="0"/>
            </w:tcBorders>
            <w:noWrap w:val="0"/>
            <w:tcMar>
              <w:top w:w="15" w:type="dxa"/>
              <w:left w:w="15" w:type="dxa"/>
              <w:bottom w:w="0" w:type="dxa"/>
              <w:right w:w="15" w:type="dxa"/>
            </w:tcMar>
            <w:vAlign w:val="center"/>
          </w:tcPr>
          <w:p w14:paraId="1707A4C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auto"/>
                <w:sz w:val="24"/>
                <w:szCs w:val="24"/>
              </w:rPr>
            </w:pP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58883DE2">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both"/>
              <w:textAlignment w:val="auto"/>
              <w:rPr>
                <w:rFonts w:hint="eastAsia" w:ascii="宋体" w:hAnsi="宋体" w:cs="宋体"/>
                <w:color w:val="auto"/>
                <w:sz w:val="24"/>
                <w:szCs w:val="24"/>
                <w:highlight w:val="none"/>
                <w:lang w:val="en-US" w:eastAsia="zh-CN"/>
              </w:rPr>
            </w:pPr>
            <w:r>
              <w:rPr>
                <w:rFonts w:hint="eastAsia" w:ascii="宋体" w:hAnsi="宋体" w:cs="宋体"/>
                <w:b/>
                <w:bCs/>
                <w:color w:val="auto"/>
                <w:kern w:val="0"/>
                <w:sz w:val="24"/>
                <w:szCs w:val="24"/>
                <w:lang w:val="en-US" w:eastAsia="zh-CN"/>
              </w:rPr>
              <w:t>实施方案（15分）</w:t>
            </w:r>
          </w:p>
          <w:p w14:paraId="2AE77186">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投标人提供项目组织实施方案，方案至少包括：</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,1)</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项目组织机构及责任制度；</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,2)</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物流运输保障措施；</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,3)</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质量管理体系保证措施；</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,4)</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实施进度及保证措施；</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,5)</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产品安装、检测、调试、验收等方案。</w:t>
            </w:r>
          </w:p>
          <w:p w14:paraId="2A0FB6AF">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以上五项内容每一项内容满分3分，共计15分，其中每缺少一项内容扣3分；每有一项内容出现一个缺陷扣1分，扣完3分为止。</w:t>
            </w:r>
          </w:p>
          <w:p w14:paraId="3FC5CA72">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default" w:ascii="宋体" w:hAnsi="宋体" w:cs="宋体"/>
                <w:color w:val="auto"/>
                <w:sz w:val="24"/>
                <w:szCs w:val="24"/>
                <w:highlight w:val="none"/>
                <w:lang w:val="en-US"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auto"/>
                <w:sz w:val="24"/>
                <w:szCs w:val="24"/>
                <w:lang w:eastAsia="zh-CN"/>
              </w:rPr>
              <w:t>）</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FC64C1">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lang w:val="en-US" w:eastAsia="zh-CN"/>
              </w:rPr>
              <w:t>15分</w:t>
            </w:r>
          </w:p>
        </w:tc>
      </w:tr>
      <w:tr w14:paraId="7A198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33" w:hRule="atLeast"/>
          <w:jc w:val="center"/>
        </w:trPr>
        <w:tc>
          <w:tcPr>
            <w:tcW w:w="1014" w:type="dxa"/>
            <w:tcBorders>
              <w:top w:val="single" w:color="auto" w:sz="4" w:space="0"/>
              <w:left w:val="single" w:color="auto" w:sz="4" w:space="0"/>
              <w:right w:val="single" w:color="auto" w:sz="4" w:space="0"/>
            </w:tcBorders>
            <w:noWrap w:val="0"/>
            <w:tcMar>
              <w:top w:w="15" w:type="dxa"/>
              <w:left w:w="15" w:type="dxa"/>
              <w:bottom w:w="0" w:type="dxa"/>
              <w:right w:w="15" w:type="dxa"/>
            </w:tcMar>
            <w:vAlign w:val="center"/>
          </w:tcPr>
          <w:p w14:paraId="20C85E6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b/>
                <w:bCs/>
                <w:color w:val="auto"/>
                <w:sz w:val="24"/>
                <w:szCs w:val="24"/>
              </w:rPr>
            </w:pPr>
            <w:r>
              <w:rPr>
                <w:rFonts w:hint="eastAsia" w:ascii="宋体" w:hAnsi="宋体" w:cs="宋体"/>
                <w:b/>
                <w:bCs/>
                <w:color w:val="auto"/>
                <w:sz w:val="24"/>
                <w:szCs w:val="24"/>
              </w:rPr>
              <w:t>质量</w:t>
            </w:r>
          </w:p>
          <w:p w14:paraId="3030C4CE">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cs="宋体"/>
                <w:b/>
                <w:bCs/>
                <w:color w:val="auto"/>
                <w:sz w:val="24"/>
                <w:szCs w:val="24"/>
              </w:rPr>
            </w:pPr>
            <w:r>
              <w:rPr>
                <w:rFonts w:hint="eastAsia" w:ascii="宋体" w:hAnsi="宋体" w:cs="宋体"/>
                <w:b/>
                <w:bCs/>
                <w:color w:val="auto"/>
                <w:sz w:val="24"/>
                <w:szCs w:val="24"/>
              </w:rPr>
              <w:t>保证</w:t>
            </w:r>
          </w:p>
          <w:p w14:paraId="379E5A1A">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eastAsia" w:ascii="宋体" w:hAnsi="宋体" w:eastAsia="宋体" w:cs="宋体"/>
                <w:b/>
                <w:bCs/>
                <w:color w:val="auto"/>
                <w:kern w:val="0"/>
                <w:sz w:val="24"/>
                <w:szCs w:val="24"/>
                <w:lang w:eastAsia="zh-CN"/>
              </w:rPr>
            </w:pP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5分</w:t>
            </w:r>
            <w:r>
              <w:rPr>
                <w:rFonts w:hint="eastAsia" w:ascii="宋体" w:hAnsi="宋体" w:cs="宋体"/>
                <w:b/>
                <w:bCs/>
                <w:color w:val="auto"/>
                <w:sz w:val="24"/>
                <w:szCs w:val="24"/>
                <w:lang w:eastAsia="zh-CN"/>
              </w:rPr>
              <w:t>）</w:t>
            </w: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top"/>
          </w:tcPr>
          <w:p w14:paraId="286F294A">
            <w:pPr>
              <w:keepNext w:val="0"/>
              <w:keepLines w:val="0"/>
              <w:pageBreakBefore w:val="0"/>
              <w:numPr>
                <w:ilvl w:val="0"/>
                <w:numId w:val="4"/>
              </w:numPr>
              <w:suppressLineNumbers w:val="0"/>
              <w:kinsoku/>
              <w:wordWrap/>
              <w:overflowPunct/>
              <w:topLinePunct w:val="0"/>
              <w:bidi w:val="0"/>
              <w:adjustRightInd w:val="0"/>
              <w:snapToGrid w:val="0"/>
              <w:spacing w:before="0" w:beforeAutospacing="0" w:after="0" w:afterAutospacing="0" w:line="460" w:lineRule="exact"/>
              <w:ind w:left="0" w:right="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投标人提供具体详实的质量保证承诺。承诺满足项目要求，针对性强得3分；承诺一般，基本满足项目要求得2分；承诺没有针对性得1分；不提供不得分。</w:t>
            </w:r>
          </w:p>
          <w:p w14:paraId="40FED8EE">
            <w:pPr>
              <w:keepNext w:val="0"/>
              <w:keepLines w:val="0"/>
              <w:pageBreakBefore w:val="0"/>
              <w:numPr>
                <w:ilvl w:val="0"/>
                <w:numId w:val="0"/>
              </w:numPr>
              <w:suppressLineNumbers w:val="0"/>
              <w:kinsoku/>
              <w:wordWrap/>
              <w:overflowPunct/>
              <w:topLinePunct w:val="0"/>
              <w:bidi w:val="0"/>
              <w:adjustRightInd w:val="0"/>
              <w:snapToGrid w:val="0"/>
              <w:spacing w:before="0" w:beforeAutospacing="0" w:after="0" w:afterAutospacing="0" w:line="460" w:lineRule="exact"/>
              <w:ind w:left="0" w:right="0" w:rightChars="0"/>
              <w:textAlignment w:val="auto"/>
              <w:rPr>
                <w:rFonts w:hint="eastAsia"/>
                <w:color w:val="auto"/>
                <w:highlight w:val="none"/>
                <w:lang w:val="en-US" w:eastAsia="zh-CN"/>
              </w:rPr>
            </w:pPr>
            <w:r>
              <w:rPr>
                <w:rFonts w:hint="eastAsia" w:ascii="宋体" w:hAnsi="宋体" w:cs="宋体"/>
                <w:color w:val="auto"/>
                <w:sz w:val="24"/>
                <w:szCs w:val="24"/>
                <w:highlight w:val="none"/>
                <w:lang w:val="en-US" w:eastAsia="zh-CN"/>
              </w:rPr>
              <w:t>2.投标人提供</w:t>
            </w:r>
            <w:r>
              <w:rPr>
                <w:rFonts w:hint="eastAsia" w:ascii="宋体" w:hAnsi="宋体" w:cs="宋体"/>
                <w:color w:val="auto"/>
                <w:sz w:val="24"/>
                <w:szCs w:val="24"/>
                <w:highlight w:val="none"/>
              </w:rPr>
              <w:t>质量保证期过后</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rPr>
              <w:t>维保服务</w:t>
            </w:r>
            <w:r>
              <w:rPr>
                <w:rFonts w:hint="eastAsia" w:ascii="宋体" w:hAnsi="宋体" w:cs="宋体"/>
                <w:color w:val="auto"/>
                <w:sz w:val="24"/>
                <w:szCs w:val="24"/>
                <w:highlight w:val="none"/>
                <w:lang w:val="en-US" w:eastAsia="zh-CN"/>
              </w:rPr>
              <w:t>方案</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方案详细，维保报价合理得2分；方案一般，维保报价较高得1分；不提供不得分。</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6553C784">
            <w:pPr>
              <w:keepNext w:val="0"/>
              <w:keepLines w:val="0"/>
              <w:pageBreakBefore w:val="0"/>
              <w:suppressLineNumbers w:val="0"/>
              <w:kinsoku/>
              <w:wordWrap/>
              <w:overflowPunct/>
              <w:topLinePunct w:val="0"/>
              <w:bidi w:val="0"/>
              <w:adjustRightInd w:val="0"/>
              <w:snapToGrid w:val="0"/>
              <w:spacing w:before="0" w:beforeAutospacing="0" w:after="0" w:afterAutospacing="0" w:line="460" w:lineRule="exact"/>
              <w:ind w:left="0" w:right="0"/>
              <w:jc w:val="center"/>
              <w:textAlignment w:val="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5分</w:t>
            </w:r>
          </w:p>
        </w:tc>
      </w:tr>
      <w:tr w14:paraId="4F76D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79" w:hRule="atLeast"/>
          <w:jc w:val="center"/>
        </w:trPr>
        <w:tc>
          <w:tcPr>
            <w:tcW w:w="1014" w:type="dxa"/>
            <w:vMerge w:val="restart"/>
            <w:tcBorders>
              <w:left w:val="single" w:color="auto" w:sz="4" w:space="0"/>
              <w:right w:val="single" w:color="auto" w:sz="4" w:space="0"/>
            </w:tcBorders>
            <w:noWrap w:val="0"/>
            <w:vAlign w:val="center"/>
          </w:tcPr>
          <w:p w14:paraId="030E8A79">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auto"/>
                <w:kern w:val="0"/>
                <w:sz w:val="24"/>
                <w:szCs w:val="24"/>
                <w:lang w:val="en-US" w:eastAsia="zh-CN"/>
              </w:rPr>
            </w:pPr>
            <w:r>
              <w:rPr>
                <w:rFonts w:hint="eastAsia" w:ascii="宋体" w:hAnsi="宋体" w:cs="宋体"/>
                <w:b/>
                <w:bCs/>
                <w:color w:val="auto"/>
                <w:kern w:val="0"/>
                <w:sz w:val="24"/>
                <w:szCs w:val="24"/>
                <w:lang w:val="en-US" w:eastAsia="zh-CN"/>
              </w:rPr>
              <w:t>售后及培训服务（10分）</w:t>
            </w: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8A9393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售后服务方案</w:t>
            </w:r>
            <w:r>
              <w:rPr>
                <w:rFonts w:hint="eastAsia" w:ascii="宋体" w:hAnsi="宋体" w:cs="宋体"/>
                <w:b/>
                <w:bCs w:val="0"/>
                <w:color w:val="auto"/>
                <w:sz w:val="24"/>
                <w:szCs w:val="24"/>
                <w:highlight w:val="none"/>
                <w:lang w:val="en-US" w:eastAsia="zh-CN"/>
              </w:rPr>
              <w:t>（6分）</w:t>
            </w:r>
          </w:p>
          <w:p w14:paraId="553DF05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auto"/>
                <w:sz w:val="24"/>
                <w:szCs w:val="24"/>
                <w:highlight w:val="none"/>
                <w:lang w:val="en-US" w:eastAsia="zh-CN"/>
              </w:rPr>
            </w:pPr>
            <w:r>
              <w:rPr>
                <w:rFonts w:hint="eastAsia" w:ascii="宋体" w:hAnsi="宋体" w:cs="宋体"/>
                <w:bCs/>
                <w:color w:val="auto"/>
                <w:sz w:val="24"/>
                <w:szCs w:val="24"/>
                <w:highlight w:val="none"/>
                <w:lang w:val="en-US" w:eastAsia="zh-CN"/>
              </w:rPr>
              <w:t>投标人提供售后服务方案。方案至少包括：</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,1)</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售后服务机构和人员配备；</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,2)</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售后服务内容及响应时间；</w:t>
            </w: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EQ \o\ac(</w:instrText>
            </w:r>
            <w:r>
              <w:rPr>
                <w:rFonts w:hint="eastAsia" w:ascii="宋体" w:hAnsi="宋体" w:eastAsia="宋体" w:cs="宋体"/>
                <w:color w:val="auto"/>
                <w:kern w:val="2"/>
                <w:position w:val="-4"/>
                <w:sz w:val="36"/>
                <w:szCs w:val="24"/>
                <w:highlight w:val="none"/>
                <w:lang w:val="en-US" w:eastAsia="zh-CN" w:bidi="ar-SA"/>
              </w:rPr>
              <w:instrText xml:space="preserve">○</w:instrText>
            </w:r>
            <w:r>
              <w:rPr>
                <w:rFonts w:hint="eastAsia" w:ascii="宋体" w:hAnsi="宋体" w:cs="宋体"/>
                <w:color w:val="auto"/>
                <w:sz w:val="24"/>
                <w:szCs w:val="24"/>
                <w:highlight w:val="none"/>
                <w:lang w:val="en-US" w:eastAsia="zh-CN"/>
              </w:rPr>
              <w:instrText xml:space="preserve">,3)</w:instrTex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应急响应预案。</w:t>
            </w:r>
          </w:p>
          <w:p w14:paraId="22C5B66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以上三项内容每一项内容满分2分，共计6分。其中每缺少一项内容扣2分，每有一项内容有一个缺陷扣1分，扣完2分为止，不提供不得分。</w:t>
            </w:r>
          </w:p>
          <w:p w14:paraId="03BE2E0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textAlignment w:val="auto"/>
              <w:rPr>
                <w:rFonts w:hint="eastAsia" w:ascii="宋体" w:hAnsi="宋体" w:cs="宋体"/>
                <w:color w:val="auto"/>
                <w:sz w:val="24"/>
                <w:szCs w:val="24"/>
                <w:highlight w:val="none"/>
                <w:lang w:val="en-US" w:eastAsia="zh-CN"/>
              </w:rPr>
            </w:pPr>
            <w:r>
              <w:rPr>
                <w:rFonts w:hint="eastAsia" w:ascii="宋体" w:hAnsi="宋体" w:eastAsia="宋体" w:cs="宋体"/>
                <w:b w:val="0"/>
                <w:bCs/>
                <w:color w:val="auto"/>
                <w:sz w:val="24"/>
                <w:szCs w:val="24"/>
                <w:lang w:eastAsia="zh-CN"/>
              </w:rPr>
              <w:t>（</w:t>
            </w:r>
            <w:r>
              <w:rPr>
                <w:rFonts w:hint="eastAsia" w:ascii="宋体" w:hAnsi="宋体" w:eastAsia="宋体" w:cs="宋体"/>
                <w:b w:val="0"/>
                <w:bCs/>
                <w:color w:val="auto"/>
                <w:sz w:val="24"/>
                <w:szCs w:val="24"/>
              </w:rPr>
              <w:t>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r>
              <w:rPr>
                <w:rFonts w:hint="eastAsia" w:ascii="宋体" w:hAnsi="宋体" w:eastAsia="宋体" w:cs="宋体"/>
                <w:b w:val="0"/>
                <w:bCs/>
                <w:color w:val="auto"/>
                <w:sz w:val="24"/>
                <w:szCs w:val="24"/>
                <w:lang w:eastAsia="zh-CN"/>
              </w:rPr>
              <w:t>）</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2C65F67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6分</w:t>
            </w:r>
          </w:p>
        </w:tc>
      </w:tr>
      <w:tr w14:paraId="3113D0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65" w:hRule="atLeast"/>
          <w:jc w:val="center"/>
        </w:trPr>
        <w:tc>
          <w:tcPr>
            <w:tcW w:w="1014" w:type="dxa"/>
            <w:vMerge w:val="continue"/>
            <w:tcBorders>
              <w:left w:val="single" w:color="auto" w:sz="4" w:space="0"/>
              <w:right w:val="single" w:color="auto" w:sz="4" w:space="0"/>
            </w:tcBorders>
            <w:noWrap w:val="0"/>
            <w:vAlign w:val="center"/>
          </w:tcPr>
          <w:p w14:paraId="1EDC3A5D">
            <w:pPr>
              <w:keepNext w:val="0"/>
              <w:keepLines w:val="0"/>
              <w:pageBreakBefore w:val="0"/>
              <w:widowControl/>
              <w:suppressLineNumbers w:val="0"/>
              <w:kinsoku/>
              <w:wordWrap/>
              <w:overflowPunct/>
              <w:topLinePunct w:val="0"/>
              <w:bidi w:val="0"/>
              <w:spacing w:before="0" w:beforeAutospacing="0" w:after="0" w:afterAutospacing="0" w:line="460" w:lineRule="exact"/>
              <w:ind w:left="0" w:right="0"/>
              <w:jc w:val="center"/>
              <w:textAlignment w:val="auto"/>
              <w:rPr>
                <w:rFonts w:hint="default" w:ascii="宋体" w:hAnsi="宋体" w:eastAsia="宋体" w:cs="宋体"/>
                <w:b/>
                <w:bCs/>
                <w:color w:val="auto"/>
                <w:kern w:val="0"/>
                <w:sz w:val="24"/>
                <w:szCs w:val="24"/>
                <w:lang w:val="en-US" w:eastAsia="zh-CN"/>
              </w:rPr>
            </w:pP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0B48129F">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default" w:ascii="宋体" w:hAnsi="宋体" w:cs="宋体"/>
                <w:b/>
                <w:bCs w:val="0"/>
                <w:color w:val="auto"/>
                <w:spacing w:val="0"/>
                <w:w w:val="100"/>
                <w:kern w:val="2"/>
                <w:sz w:val="24"/>
                <w:szCs w:val="24"/>
                <w:highlight w:val="none"/>
                <w:lang w:val="en-US" w:eastAsia="zh-CN" w:bidi="ar-SA"/>
              </w:rPr>
            </w:pPr>
            <w:r>
              <w:rPr>
                <w:rFonts w:hint="eastAsia" w:ascii="宋体" w:hAnsi="宋体" w:cs="宋体"/>
                <w:b/>
                <w:bCs w:val="0"/>
                <w:color w:val="auto"/>
                <w:spacing w:val="0"/>
                <w:w w:val="100"/>
                <w:kern w:val="2"/>
                <w:sz w:val="24"/>
                <w:szCs w:val="24"/>
                <w:highlight w:val="none"/>
                <w:lang w:val="en-US" w:eastAsia="zh-CN" w:bidi="ar-SA"/>
              </w:rPr>
              <w:t>培训方案（4分）</w:t>
            </w:r>
          </w:p>
          <w:p w14:paraId="5498867B">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eastAsia" w:ascii="宋体" w:hAnsi="宋体" w:cs="宋体"/>
                <w:b w:val="0"/>
                <w:bCs/>
                <w:color w:val="auto"/>
                <w:spacing w:val="0"/>
                <w:w w:val="100"/>
                <w:kern w:val="2"/>
                <w:sz w:val="24"/>
                <w:szCs w:val="24"/>
                <w:highlight w:val="none"/>
                <w:lang w:val="en-US" w:eastAsia="zh-CN" w:bidi="ar-SA"/>
              </w:rPr>
            </w:pPr>
            <w:r>
              <w:rPr>
                <w:rFonts w:hint="eastAsia" w:ascii="宋体" w:hAnsi="宋体" w:cs="宋体"/>
                <w:b w:val="0"/>
                <w:bCs/>
                <w:color w:val="auto"/>
                <w:spacing w:val="0"/>
                <w:w w:val="100"/>
                <w:kern w:val="2"/>
                <w:sz w:val="24"/>
                <w:szCs w:val="24"/>
                <w:highlight w:val="none"/>
                <w:lang w:val="en-US" w:eastAsia="zh-CN" w:bidi="ar-SA"/>
              </w:rPr>
              <w:t>投标人提供培训方案。方案至少包括：</w:t>
            </w:r>
            <w:r>
              <w:rPr>
                <w:rFonts w:hint="eastAsia" w:ascii="宋体" w:hAnsi="宋体" w:cs="宋体"/>
                <w:b w:val="0"/>
                <w:bCs/>
                <w:color w:val="auto"/>
                <w:spacing w:val="0"/>
                <w:w w:val="100"/>
                <w:kern w:val="2"/>
                <w:sz w:val="24"/>
                <w:szCs w:val="24"/>
                <w:highlight w:val="none"/>
                <w:lang w:val="en-US" w:eastAsia="zh-CN" w:bidi="ar-SA"/>
              </w:rPr>
              <w:fldChar w:fldCharType="begin"/>
            </w:r>
            <w:r>
              <w:rPr>
                <w:rFonts w:hint="eastAsia" w:ascii="宋体" w:hAnsi="宋体" w:cs="宋体"/>
                <w:b w:val="0"/>
                <w:bCs/>
                <w:color w:val="auto"/>
                <w:spacing w:val="0"/>
                <w:w w:val="100"/>
                <w:kern w:val="2"/>
                <w:sz w:val="24"/>
                <w:szCs w:val="24"/>
                <w:highlight w:val="none"/>
                <w:lang w:val="en-US" w:eastAsia="zh-CN" w:bidi="ar-SA"/>
              </w:rPr>
              <w:instrText xml:space="preserve"> EQ \o\ac(</w:instrText>
            </w:r>
            <w:r>
              <w:rPr>
                <w:rFonts w:hint="eastAsia" w:ascii="宋体" w:hAnsi="宋体" w:eastAsia="宋体" w:cs="宋体"/>
                <w:b w:val="0"/>
                <w:bCs/>
                <w:color w:val="auto"/>
                <w:spacing w:val="0"/>
                <w:w w:val="100"/>
                <w:kern w:val="2"/>
                <w:position w:val="-4"/>
                <w:sz w:val="36"/>
                <w:szCs w:val="24"/>
                <w:highlight w:val="none"/>
                <w:lang w:val="en-US" w:eastAsia="zh-CN" w:bidi="ar-SA"/>
              </w:rPr>
              <w:instrText xml:space="preserve">○</w:instrText>
            </w:r>
            <w:r>
              <w:rPr>
                <w:rFonts w:hint="eastAsia" w:ascii="宋体" w:hAnsi="宋体" w:cs="宋体"/>
                <w:b w:val="0"/>
                <w:bCs/>
                <w:color w:val="auto"/>
                <w:spacing w:val="0"/>
                <w:w w:val="100"/>
                <w:kern w:val="2"/>
                <w:sz w:val="24"/>
                <w:szCs w:val="24"/>
                <w:highlight w:val="none"/>
                <w:lang w:val="en-US" w:eastAsia="zh-CN" w:bidi="ar-SA"/>
              </w:rPr>
              <w:instrText xml:space="preserve">,1)</w:instrText>
            </w:r>
            <w:r>
              <w:rPr>
                <w:rFonts w:hint="eastAsia" w:ascii="宋体" w:hAnsi="宋体" w:cs="宋体"/>
                <w:b w:val="0"/>
                <w:bCs/>
                <w:color w:val="auto"/>
                <w:spacing w:val="0"/>
                <w:w w:val="100"/>
                <w:kern w:val="2"/>
                <w:sz w:val="24"/>
                <w:szCs w:val="24"/>
                <w:highlight w:val="none"/>
                <w:lang w:val="en-US" w:eastAsia="zh-CN" w:bidi="ar-SA"/>
              </w:rPr>
              <w:fldChar w:fldCharType="end"/>
            </w:r>
            <w:r>
              <w:rPr>
                <w:rFonts w:hint="eastAsia" w:ascii="宋体" w:hAnsi="宋体" w:cs="宋体"/>
                <w:b w:val="0"/>
                <w:bCs/>
                <w:color w:val="auto"/>
                <w:spacing w:val="0"/>
                <w:w w:val="100"/>
                <w:kern w:val="2"/>
                <w:sz w:val="24"/>
                <w:szCs w:val="24"/>
                <w:highlight w:val="none"/>
                <w:lang w:val="en-US" w:eastAsia="zh-CN" w:bidi="ar-SA"/>
              </w:rPr>
              <w:t>培训内容、培训时间、培训目的、培训对象等；</w:t>
            </w:r>
            <w:r>
              <w:rPr>
                <w:rFonts w:hint="eastAsia" w:ascii="宋体" w:hAnsi="宋体" w:cs="宋体"/>
                <w:b w:val="0"/>
                <w:bCs/>
                <w:color w:val="auto"/>
                <w:spacing w:val="0"/>
                <w:w w:val="100"/>
                <w:kern w:val="2"/>
                <w:sz w:val="24"/>
                <w:szCs w:val="24"/>
                <w:highlight w:val="none"/>
                <w:lang w:val="en-US" w:eastAsia="zh-CN" w:bidi="ar-SA"/>
              </w:rPr>
              <w:fldChar w:fldCharType="begin"/>
            </w:r>
            <w:r>
              <w:rPr>
                <w:rFonts w:hint="eastAsia" w:ascii="宋体" w:hAnsi="宋体" w:cs="宋体"/>
                <w:b w:val="0"/>
                <w:bCs/>
                <w:color w:val="auto"/>
                <w:spacing w:val="0"/>
                <w:w w:val="100"/>
                <w:kern w:val="2"/>
                <w:sz w:val="24"/>
                <w:szCs w:val="24"/>
                <w:highlight w:val="none"/>
                <w:lang w:val="en-US" w:eastAsia="zh-CN" w:bidi="ar-SA"/>
              </w:rPr>
              <w:instrText xml:space="preserve"> EQ \o\ac(</w:instrText>
            </w:r>
            <w:r>
              <w:rPr>
                <w:rFonts w:hint="eastAsia" w:ascii="宋体" w:hAnsi="宋体" w:eastAsia="宋体" w:cs="宋体"/>
                <w:b w:val="0"/>
                <w:bCs/>
                <w:color w:val="auto"/>
                <w:spacing w:val="0"/>
                <w:w w:val="100"/>
                <w:kern w:val="2"/>
                <w:position w:val="-4"/>
                <w:sz w:val="36"/>
                <w:szCs w:val="24"/>
                <w:highlight w:val="none"/>
                <w:lang w:val="en-US" w:eastAsia="zh-CN" w:bidi="ar-SA"/>
              </w:rPr>
              <w:instrText xml:space="preserve">○</w:instrText>
            </w:r>
            <w:r>
              <w:rPr>
                <w:rFonts w:hint="eastAsia" w:ascii="宋体" w:hAnsi="宋体" w:cs="宋体"/>
                <w:b w:val="0"/>
                <w:bCs/>
                <w:color w:val="auto"/>
                <w:spacing w:val="0"/>
                <w:w w:val="100"/>
                <w:kern w:val="2"/>
                <w:sz w:val="24"/>
                <w:szCs w:val="24"/>
                <w:highlight w:val="none"/>
                <w:lang w:val="en-US" w:eastAsia="zh-CN" w:bidi="ar-SA"/>
              </w:rPr>
              <w:instrText xml:space="preserve">,2)</w:instrText>
            </w:r>
            <w:r>
              <w:rPr>
                <w:rFonts w:hint="eastAsia" w:ascii="宋体" w:hAnsi="宋体" w:cs="宋体"/>
                <w:b w:val="0"/>
                <w:bCs/>
                <w:color w:val="auto"/>
                <w:spacing w:val="0"/>
                <w:w w:val="100"/>
                <w:kern w:val="2"/>
                <w:sz w:val="24"/>
                <w:szCs w:val="24"/>
                <w:highlight w:val="none"/>
                <w:lang w:val="en-US" w:eastAsia="zh-CN" w:bidi="ar-SA"/>
              </w:rPr>
              <w:fldChar w:fldCharType="end"/>
            </w:r>
            <w:r>
              <w:rPr>
                <w:rFonts w:hint="eastAsia" w:ascii="宋体" w:hAnsi="宋体" w:cs="宋体"/>
                <w:b w:val="0"/>
                <w:bCs/>
                <w:color w:val="auto"/>
                <w:spacing w:val="0"/>
                <w:w w:val="100"/>
                <w:kern w:val="2"/>
                <w:sz w:val="24"/>
                <w:szCs w:val="24"/>
                <w:highlight w:val="none"/>
                <w:lang w:val="en-US" w:eastAsia="zh-CN" w:bidi="ar-SA"/>
              </w:rPr>
              <w:t>培训课程安排，培训教师落实等。</w:t>
            </w:r>
          </w:p>
          <w:p w14:paraId="1A8F644D">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both"/>
              <w:textAlignment w:val="auto"/>
              <w:rPr>
                <w:rFonts w:hint="default" w:ascii="宋体" w:hAnsi="宋体" w:cs="宋体"/>
                <w:b w:val="0"/>
                <w:bCs/>
                <w:color w:val="auto"/>
                <w:spacing w:val="0"/>
                <w:w w:val="100"/>
                <w:kern w:val="2"/>
                <w:sz w:val="24"/>
                <w:szCs w:val="24"/>
                <w:highlight w:val="none"/>
                <w:lang w:val="en-US" w:eastAsia="zh-CN" w:bidi="ar-SA"/>
              </w:rPr>
            </w:pPr>
            <w:r>
              <w:rPr>
                <w:rFonts w:hint="eastAsia" w:ascii="宋体" w:hAnsi="宋体" w:cs="宋体"/>
                <w:b w:val="0"/>
                <w:bCs/>
                <w:color w:val="auto"/>
                <w:spacing w:val="0"/>
                <w:w w:val="100"/>
                <w:kern w:val="2"/>
                <w:sz w:val="24"/>
                <w:szCs w:val="24"/>
                <w:highlight w:val="none"/>
                <w:lang w:val="en-US" w:eastAsia="zh-CN" w:bidi="ar-SA"/>
              </w:rPr>
              <w:t>以上两项内容每一项满分2分，共计4分。其中每缺少一项内容扣2分，每有一项内容有一个缺陷扣1分，直至扣完2分为止，不提供不得分。（缺陷是指：存在不适用项目实际情况的情形、凭空编造、方案中内容前后不一致、前后逻辑错误、涉及的规范及标准错误、地点区域错误、仅有方案大标题却无具体细化措施内容的、不符合采购需求、方案标题与实际内容不相符合、完全套用其他项目方案等）</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255C8CF">
            <w:pPr>
              <w:pStyle w:val="35"/>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460" w:lineRule="exact"/>
              <w:ind w:left="0" w:right="0" w:rightChars="0"/>
              <w:jc w:val="center"/>
              <w:textAlignment w:val="auto"/>
              <w:rPr>
                <w:rFonts w:hint="default" w:ascii="宋体" w:hAnsi="宋体" w:cs="宋体"/>
                <w:b w:val="0"/>
                <w:bCs/>
                <w:color w:val="auto"/>
                <w:spacing w:val="0"/>
                <w:w w:val="100"/>
                <w:kern w:val="2"/>
                <w:sz w:val="24"/>
                <w:szCs w:val="24"/>
                <w:highlight w:val="none"/>
                <w:lang w:val="en-US" w:eastAsia="zh-CN" w:bidi="ar-SA"/>
              </w:rPr>
            </w:pPr>
            <w:r>
              <w:rPr>
                <w:rFonts w:hint="eastAsia" w:ascii="宋体" w:hAnsi="宋体" w:cs="宋体"/>
                <w:b w:val="0"/>
                <w:bCs/>
                <w:color w:val="auto"/>
                <w:spacing w:val="0"/>
                <w:w w:val="100"/>
                <w:kern w:val="2"/>
                <w:sz w:val="24"/>
                <w:szCs w:val="24"/>
                <w:highlight w:val="none"/>
                <w:lang w:val="en-US" w:eastAsia="zh-CN" w:bidi="ar-SA"/>
              </w:rPr>
              <w:t>4分</w:t>
            </w:r>
          </w:p>
        </w:tc>
      </w:tr>
      <w:tr w14:paraId="59FAB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391" w:hRule="atLeast"/>
          <w:jc w:val="center"/>
        </w:trPr>
        <w:tc>
          <w:tcPr>
            <w:tcW w:w="1014" w:type="dxa"/>
            <w:tcBorders>
              <w:left w:val="single" w:color="auto" w:sz="4" w:space="0"/>
              <w:right w:val="single" w:color="auto" w:sz="4" w:space="0"/>
            </w:tcBorders>
            <w:noWrap w:val="0"/>
            <w:vAlign w:val="center"/>
          </w:tcPr>
          <w:p w14:paraId="21963716">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业绩</w:t>
            </w:r>
          </w:p>
          <w:p w14:paraId="3A791FBD">
            <w:pPr>
              <w:keepNext w:val="0"/>
              <w:keepLines w:val="0"/>
              <w:pageBreakBefore w:val="0"/>
              <w:widowControl/>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eastAsia" w:ascii="宋体" w:hAnsi="宋体" w:cs="宋体"/>
                <w:b/>
                <w:bCs/>
                <w:color w:val="000000" w:themeColor="text1"/>
                <w:kern w:val="0"/>
                <w:sz w:val="24"/>
                <w:szCs w:val="24"/>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（2分）</w:t>
            </w:r>
          </w:p>
        </w:tc>
        <w:tc>
          <w:tcPr>
            <w:tcW w:w="7825"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F411977">
            <w:pPr>
              <w:keepNext w:val="0"/>
              <w:keepLines w:val="0"/>
              <w:pageBreakBefore w:val="0"/>
              <w:suppressLineNumbers w:val="0"/>
              <w:kinsoku/>
              <w:wordWrap/>
              <w:overflowPunct/>
              <w:topLinePunct w:val="0"/>
              <w:bidi w:val="0"/>
              <w:spacing w:before="0" w:beforeAutospacing="0" w:after="0" w:afterAutospacing="0" w:line="460" w:lineRule="exact"/>
              <w:ind w:left="0" w:leftChars="0" w:right="0" w:rightChars="0"/>
              <w:jc w:val="left"/>
              <w:textAlignment w:val="auto"/>
              <w:rPr>
                <w:rFonts w:hint="eastAsia" w:ascii="宋体" w:hAnsi="宋体" w:cs="宋体"/>
                <w:b w:val="0"/>
                <w:bCs/>
                <w:color w:val="000000" w:themeColor="text1"/>
                <w:spacing w:val="0"/>
                <w:w w:val="100"/>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auto"/>
                <w:sz w:val="24"/>
                <w:highlight w:val="none"/>
              </w:rPr>
              <w:t>供应商提供202</w:t>
            </w:r>
            <w:r>
              <w:rPr>
                <w:rFonts w:hint="eastAsia" w:ascii="宋体" w:hAnsi="宋体" w:cs="宋体"/>
                <w:b w:val="0"/>
                <w:bCs w:val="0"/>
                <w:color w:val="auto"/>
                <w:sz w:val="24"/>
                <w:highlight w:val="none"/>
                <w:lang w:val="en-US" w:eastAsia="zh-CN"/>
              </w:rPr>
              <w:t>3</w:t>
            </w:r>
            <w:r>
              <w:rPr>
                <w:rFonts w:hint="eastAsia" w:ascii="宋体" w:hAnsi="宋体" w:eastAsia="宋体" w:cs="宋体"/>
                <w:b w:val="0"/>
                <w:bCs w:val="0"/>
                <w:color w:val="auto"/>
                <w:sz w:val="24"/>
                <w:highlight w:val="none"/>
              </w:rPr>
              <w:t>年</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lang w:val="en-US" w:eastAsia="zh-CN"/>
              </w:rPr>
              <w:t>月</w:t>
            </w:r>
            <w:r>
              <w:rPr>
                <w:rFonts w:hint="eastAsia" w:ascii="宋体" w:hAnsi="宋体" w:eastAsia="宋体" w:cs="宋体"/>
                <w:b w:val="0"/>
                <w:bCs w:val="0"/>
                <w:color w:val="auto"/>
                <w:sz w:val="24"/>
                <w:highlight w:val="none"/>
              </w:rPr>
              <w:t>至今类似</w:t>
            </w:r>
            <w:r>
              <w:rPr>
                <w:rFonts w:hint="eastAsia" w:ascii="宋体" w:hAnsi="宋体" w:cs="宋体"/>
                <w:b w:val="0"/>
                <w:bCs w:val="0"/>
                <w:color w:val="auto"/>
                <w:sz w:val="24"/>
                <w:highlight w:val="none"/>
                <w:lang w:val="en-US" w:eastAsia="zh-CN"/>
              </w:rPr>
              <w:t>项目业绩</w:t>
            </w:r>
            <w:r>
              <w:rPr>
                <w:rFonts w:hint="eastAsia" w:ascii="宋体" w:hAnsi="宋体" w:eastAsia="宋体" w:cs="宋体"/>
                <w:b w:val="0"/>
                <w:bCs w:val="0"/>
                <w:color w:val="auto"/>
                <w:sz w:val="24"/>
                <w:highlight w:val="none"/>
              </w:rPr>
              <w:t>合同，每提供1份得</w:t>
            </w:r>
            <w:r>
              <w:rPr>
                <w:rFonts w:hint="eastAsia" w:ascii="宋体" w:hAnsi="宋体" w:cs="宋体"/>
                <w:b w:val="0"/>
                <w:bCs w:val="0"/>
                <w:color w:val="auto"/>
                <w:sz w:val="24"/>
                <w:highlight w:val="none"/>
                <w:lang w:val="en-US" w:eastAsia="zh-CN"/>
              </w:rPr>
              <w:t>1</w:t>
            </w:r>
            <w:r>
              <w:rPr>
                <w:rFonts w:hint="eastAsia" w:ascii="宋体" w:hAnsi="宋体" w:eastAsia="宋体" w:cs="宋体"/>
                <w:b w:val="0"/>
                <w:bCs w:val="0"/>
                <w:color w:val="auto"/>
                <w:sz w:val="24"/>
                <w:highlight w:val="none"/>
              </w:rPr>
              <w:t>分，最高得</w:t>
            </w:r>
            <w:r>
              <w:rPr>
                <w:rFonts w:hint="eastAsia" w:ascii="宋体" w:hAnsi="宋体" w:cs="宋体"/>
                <w:b w:val="0"/>
                <w:bCs w:val="0"/>
                <w:color w:val="auto"/>
                <w:sz w:val="24"/>
                <w:highlight w:val="none"/>
                <w:lang w:val="en-US" w:eastAsia="zh-CN"/>
              </w:rPr>
              <w:t>2</w:t>
            </w:r>
            <w:r>
              <w:rPr>
                <w:rFonts w:hint="eastAsia" w:ascii="宋体" w:hAnsi="宋体" w:eastAsia="宋体" w:cs="宋体"/>
                <w:b w:val="0"/>
                <w:bCs w:val="0"/>
                <w:color w:val="auto"/>
                <w:sz w:val="24"/>
                <w:highlight w:val="none"/>
              </w:rPr>
              <w:t>分</w:t>
            </w:r>
            <w:r>
              <w:rPr>
                <w:rFonts w:hint="eastAsia" w:ascii="宋体" w:hAnsi="宋体" w:eastAsia="宋体" w:cs="宋体"/>
                <w:color w:val="auto"/>
                <w:sz w:val="24"/>
                <w:szCs w:val="24"/>
              </w:rPr>
              <w:t>（</w:t>
            </w:r>
            <w:r>
              <w:rPr>
                <w:rFonts w:hint="eastAsia" w:ascii="宋体" w:hAnsi="宋体" w:cs="宋体"/>
                <w:color w:val="auto"/>
                <w:sz w:val="24"/>
                <w:szCs w:val="24"/>
              </w:rPr>
              <w:t>以合同为准，</w:t>
            </w:r>
            <w:r>
              <w:rPr>
                <w:rFonts w:hint="eastAsia" w:ascii="宋体" w:hAnsi="宋体" w:eastAsia="宋体" w:cs="宋体"/>
                <w:color w:val="auto"/>
                <w:sz w:val="24"/>
                <w:szCs w:val="24"/>
                <w:u w:val="none"/>
                <w:lang w:val="en-US" w:eastAsia="zh-CN"/>
              </w:rPr>
              <w:t>合同所有内容应清晰可辨，否则不予认可</w:t>
            </w:r>
            <w:r>
              <w:rPr>
                <w:rFonts w:hint="eastAsia" w:ascii="宋体" w:hAnsi="宋体" w:cs="宋体"/>
                <w:color w:val="auto"/>
                <w:sz w:val="24"/>
                <w:szCs w:val="24"/>
                <w:lang w:val="en-US" w:eastAsia="zh-CN"/>
              </w:rPr>
              <w:t>）</w:t>
            </w:r>
            <w:r>
              <w:rPr>
                <w:rFonts w:hint="eastAsia" w:ascii="宋体" w:hAnsi="宋体" w:eastAsia="宋体" w:cs="宋体"/>
                <w:color w:val="auto"/>
                <w:sz w:val="24"/>
                <w:szCs w:val="24"/>
              </w:rPr>
              <w:t>。未提供不得分。</w:t>
            </w:r>
          </w:p>
        </w:tc>
        <w:tc>
          <w:tcPr>
            <w:tcW w:w="660"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1DE5684F">
            <w:pPr>
              <w:keepNext w:val="0"/>
              <w:keepLines w:val="0"/>
              <w:pageBreakBefore w:val="0"/>
              <w:suppressLineNumbers w:val="0"/>
              <w:kinsoku/>
              <w:wordWrap/>
              <w:overflowPunct/>
              <w:topLinePunct w:val="0"/>
              <w:bidi w:val="0"/>
              <w:spacing w:before="0" w:beforeAutospacing="0" w:after="0" w:afterAutospacing="0" w:line="460" w:lineRule="exact"/>
              <w:ind w:left="0" w:leftChars="0" w:right="0" w:rightChars="0"/>
              <w:jc w:val="center"/>
              <w:textAlignment w:val="auto"/>
              <w:rPr>
                <w:rFonts w:hint="default" w:ascii="宋体" w:hAnsi="宋体" w:eastAsia="宋体" w:cs="宋体"/>
                <w:sz w:val="24"/>
                <w:szCs w:val="24"/>
                <w:lang w:val="en-US" w:eastAsia="zh-CN" w:bidi="ar"/>
              </w:rPr>
            </w:pPr>
            <w:r>
              <w:rPr>
                <w:rFonts w:hint="eastAsia" w:ascii="宋体" w:hAnsi="宋体" w:cs="宋体"/>
                <w:sz w:val="24"/>
                <w:szCs w:val="24"/>
                <w:lang w:val="en-US" w:eastAsia="zh-CN" w:bidi="ar"/>
              </w:rPr>
              <w:t>2</w:t>
            </w:r>
            <w:r>
              <w:rPr>
                <w:rFonts w:hint="eastAsia" w:ascii="宋体" w:hAnsi="宋体" w:eastAsia="宋体" w:cs="宋体"/>
                <w:sz w:val="24"/>
                <w:szCs w:val="24"/>
                <w:lang w:val="en-US" w:eastAsia="zh-CN" w:bidi="ar"/>
              </w:rPr>
              <w:t>分</w:t>
            </w:r>
          </w:p>
        </w:tc>
      </w:tr>
    </w:tbl>
    <w:p w14:paraId="5F538E7A">
      <w:pPr>
        <w:pStyle w:val="28"/>
        <w:rPr>
          <w:color w:val="auto"/>
        </w:rPr>
      </w:pPr>
    </w:p>
    <w:tbl>
      <w:tblPr>
        <w:tblStyle w:val="43"/>
        <w:tblpPr w:leftFromText="180" w:rightFromText="180" w:vertAnchor="text" w:tblpX="10596" w:tblpY="-15054"/>
        <w:tblOverlap w:val="never"/>
        <w:tblW w:w="10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6"/>
      </w:tblGrid>
      <w:tr w14:paraId="2CBDF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16" w:type="dxa"/>
          </w:tcPr>
          <w:p w14:paraId="208AF3C7">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sz w:val="24"/>
                <w:szCs w:val="24"/>
              </w:rPr>
            </w:pPr>
          </w:p>
        </w:tc>
      </w:tr>
    </w:tbl>
    <w:tbl>
      <w:tblPr>
        <w:tblStyle w:val="43"/>
        <w:tblpPr w:leftFromText="180" w:rightFromText="180" w:vertAnchor="text" w:tblpX="10596" w:tblpY="-12794"/>
        <w:tblOverlap w:val="never"/>
        <w:tblW w:w="37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49"/>
      </w:tblGrid>
      <w:tr w14:paraId="6358A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3749" w:type="dxa"/>
          </w:tcPr>
          <w:p w14:paraId="67C37C32">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sz w:val="24"/>
                <w:szCs w:val="24"/>
              </w:rPr>
            </w:pPr>
            <w:r>
              <w:rPr>
                <w:rFonts w:hint="eastAsia" w:ascii="宋体" w:hAnsi="宋体" w:cs="宋体"/>
                <w:color w:val="auto"/>
                <w:sz w:val="24"/>
                <w:szCs w:val="24"/>
              </w:rPr>
              <w:t xml:space="preserve"> </w:t>
            </w:r>
          </w:p>
        </w:tc>
      </w:tr>
    </w:tbl>
    <w:tbl>
      <w:tblPr>
        <w:tblStyle w:val="43"/>
        <w:tblpPr w:leftFromText="180" w:rightFromText="180" w:vertAnchor="text" w:tblpX="10596" w:tblpY="-13528"/>
        <w:tblOverlap w:val="never"/>
        <w:tblW w:w="24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99"/>
      </w:tblGrid>
      <w:tr w14:paraId="585FC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499" w:type="dxa"/>
          </w:tcPr>
          <w:p w14:paraId="4841FC61">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sz w:val="24"/>
                <w:szCs w:val="24"/>
              </w:rPr>
            </w:pPr>
          </w:p>
        </w:tc>
      </w:tr>
      <w:tr w14:paraId="559AE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499" w:type="dxa"/>
          </w:tcPr>
          <w:p w14:paraId="5BEFE69A">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sz w:val="24"/>
                <w:szCs w:val="24"/>
              </w:rPr>
            </w:pPr>
          </w:p>
        </w:tc>
      </w:tr>
    </w:tbl>
    <w:tbl>
      <w:tblPr>
        <w:tblStyle w:val="43"/>
        <w:tblpPr w:leftFromText="180" w:rightFromText="180" w:vertAnchor="text" w:tblpX="10596" w:tblpY="-16461"/>
        <w:tblOverlap w:val="never"/>
        <w:tblW w:w="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6"/>
        <w:gridCol w:w="236"/>
      </w:tblGrid>
      <w:tr w14:paraId="79800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236" w:type="dxa"/>
          </w:tcPr>
          <w:p w14:paraId="0719A710">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sz w:val="24"/>
                <w:szCs w:val="24"/>
              </w:rPr>
            </w:pPr>
          </w:p>
        </w:tc>
        <w:tc>
          <w:tcPr>
            <w:tcW w:w="236" w:type="dxa"/>
          </w:tcPr>
          <w:p w14:paraId="3547355C">
            <w:pPr>
              <w:keepNext w:val="0"/>
              <w:keepLines w:val="0"/>
              <w:suppressLineNumbers w:val="0"/>
              <w:adjustRightInd w:val="0"/>
              <w:snapToGrid w:val="0"/>
              <w:spacing w:before="0" w:beforeAutospacing="0" w:after="0" w:afterAutospacing="0" w:line="288" w:lineRule="auto"/>
              <w:ind w:left="0" w:right="0"/>
              <w:rPr>
                <w:rFonts w:hint="default" w:ascii="宋体" w:hAnsi="宋体" w:cs="宋体"/>
                <w:color w:val="auto"/>
                <w:sz w:val="24"/>
                <w:szCs w:val="24"/>
              </w:rPr>
            </w:pPr>
          </w:p>
        </w:tc>
      </w:tr>
    </w:tbl>
    <w:p w14:paraId="7FCCD0D1">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s="宋体"/>
          <w:color w:val="auto"/>
          <w:sz w:val="24"/>
          <w:szCs w:val="24"/>
        </w:rPr>
      </w:pPr>
      <w:r>
        <w:rPr>
          <w:rFonts w:hint="eastAsia" w:ascii="宋体" w:hAnsi="宋体" w:cs="宋体"/>
          <w:color w:val="auto"/>
          <w:sz w:val="24"/>
          <w:szCs w:val="24"/>
        </w:rPr>
        <w:t>备注：</w:t>
      </w:r>
    </w:p>
    <w:p w14:paraId="506AED77">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auto"/>
          <w:sz w:val="24"/>
          <w:szCs w:val="24"/>
        </w:rPr>
      </w:pPr>
      <w:r>
        <w:rPr>
          <w:rFonts w:hint="eastAsia" w:ascii="宋体" w:hAnsi="宋体" w:cs="宋体"/>
          <w:color w:val="auto"/>
          <w:sz w:val="24"/>
          <w:szCs w:val="24"/>
        </w:rPr>
        <w:t>1</w:t>
      </w:r>
      <w:r>
        <w:rPr>
          <w:rFonts w:hint="eastAsia" w:ascii="宋体" w:hAnsi="宋体"/>
          <w:color w:val="auto"/>
          <w:sz w:val="24"/>
          <w:szCs w:val="24"/>
          <w:lang w:eastAsia="zh-CN"/>
        </w:rPr>
        <w:t>）</w:t>
      </w:r>
      <w:r>
        <w:rPr>
          <w:rFonts w:hint="eastAsia" w:ascii="宋体" w:hAnsi="宋体" w:cs="宋体"/>
          <w:color w:val="auto"/>
          <w:sz w:val="24"/>
          <w:szCs w:val="24"/>
        </w:rPr>
        <w:t xml:space="preserve"> 以上各项打分均由评标委员会独立评分，评分相邻两档之间的得分</w:t>
      </w:r>
      <w:r>
        <w:rPr>
          <w:rFonts w:hint="eastAsia" w:ascii="宋体" w:hAnsi="宋体"/>
          <w:color w:val="auto"/>
          <w:sz w:val="24"/>
          <w:szCs w:val="24"/>
        </w:rPr>
        <w:t>，归属于较低一档</w:t>
      </w:r>
      <w:r>
        <w:rPr>
          <w:rFonts w:hint="eastAsia" w:ascii="宋体" w:hAnsi="宋体"/>
          <w:color w:val="auto"/>
          <w:sz w:val="24"/>
          <w:szCs w:val="24"/>
          <w:lang w:eastAsia="zh-CN"/>
        </w:rPr>
        <w:t>，</w:t>
      </w:r>
      <w:r>
        <w:rPr>
          <w:rFonts w:hint="eastAsia" w:ascii="宋体" w:hAnsi="宋体"/>
          <w:color w:val="auto"/>
          <w:sz w:val="24"/>
          <w:szCs w:val="24"/>
        </w:rPr>
        <w:t>两档之间可取小数点进行打分，按评审后综合得分由高到低推荐一至三名中标候选人。</w:t>
      </w:r>
    </w:p>
    <w:p w14:paraId="730C1473">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2</w:t>
      </w:r>
      <w:r>
        <w:rPr>
          <w:rFonts w:hint="eastAsia" w:ascii="宋体" w:hAnsi="宋体"/>
          <w:color w:val="auto"/>
          <w:sz w:val="24"/>
          <w:szCs w:val="24"/>
          <w:lang w:eastAsia="zh-CN"/>
        </w:rPr>
        <w:t>）</w:t>
      </w:r>
      <w:r>
        <w:rPr>
          <w:rFonts w:ascii="宋体" w:hAnsi="宋体"/>
          <w:color w:val="auto"/>
          <w:sz w:val="24"/>
          <w:szCs w:val="24"/>
        </w:rPr>
        <w:t xml:space="preserve"> 评标委员会认为投标人的报价明显低于其他通过符合性审查投标人的报价，有可能影响</w:t>
      </w:r>
      <w:r>
        <w:rPr>
          <w:rFonts w:hint="eastAsia" w:ascii="宋体" w:hAnsi="宋体"/>
          <w:color w:val="auto"/>
          <w:sz w:val="24"/>
          <w:szCs w:val="24"/>
        </w:rPr>
        <w:t>服务</w:t>
      </w:r>
      <w:r>
        <w:rPr>
          <w:rFonts w:ascii="宋体" w:hAnsi="宋体"/>
          <w:color w:val="auto"/>
          <w:sz w:val="24"/>
          <w:szCs w:val="24"/>
        </w:rPr>
        <w:t>质量或者不能诚信履约的，应当要求其在评标现场合理的时间内提供书面说明，必要时提交相关证明材料；投标人不能证明其报价合理性的，评标委员会应当将其作为无效投标处理。</w:t>
      </w:r>
    </w:p>
    <w:p w14:paraId="6A2B0AD8">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3</w:t>
      </w:r>
      <w:r>
        <w:rPr>
          <w:rFonts w:hint="eastAsia" w:ascii="宋体" w:hAnsi="宋体"/>
          <w:color w:val="auto"/>
          <w:sz w:val="24"/>
          <w:szCs w:val="24"/>
          <w:lang w:eastAsia="zh-CN"/>
        </w:rPr>
        <w:t>）</w:t>
      </w:r>
      <w:r>
        <w:rPr>
          <w:rFonts w:hint="eastAsia" w:ascii="宋体" w:hAnsi="宋体"/>
          <w:color w:val="auto"/>
          <w:sz w:val="24"/>
          <w:szCs w:val="24"/>
        </w:rPr>
        <w:t>若出现综合得分并列时，</w:t>
      </w:r>
      <w:r>
        <w:rPr>
          <w:rFonts w:ascii="宋体" w:hAnsi="宋体"/>
          <w:color w:val="auto"/>
          <w:sz w:val="24"/>
          <w:szCs w:val="24"/>
        </w:rPr>
        <w:t>按投标报价由低到高顺序排列。得分且投标报价相同的并列。投标文件满足招标文件全部实质性要求，且按照评审因素的量化指标评审得分最高的投标人为排名第一的中标候选人。</w:t>
      </w:r>
    </w:p>
    <w:p w14:paraId="72BBD399">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4</w:t>
      </w:r>
      <w:r>
        <w:rPr>
          <w:rFonts w:hint="eastAsia" w:ascii="宋体" w:hAnsi="宋体"/>
          <w:color w:val="auto"/>
          <w:sz w:val="24"/>
          <w:szCs w:val="24"/>
          <w:lang w:eastAsia="zh-CN"/>
        </w:rPr>
        <w:t>）</w:t>
      </w:r>
      <w:r>
        <w:rPr>
          <w:rFonts w:hint="eastAsia" w:ascii="宋体" w:hAnsi="宋体"/>
          <w:color w:val="auto"/>
          <w:sz w:val="24"/>
          <w:szCs w:val="24"/>
        </w:rPr>
        <w:t>数字均保留两位小数，第三位“四舍五入”。</w:t>
      </w:r>
    </w:p>
    <w:p w14:paraId="70AE6F78">
      <w:pPr>
        <w:pStyle w:val="18"/>
        <w:pageBreakBefore w:val="0"/>
        <w:widowControl w:val="0"/>
        <w:kinsoku/>
        <w:wordWrap/>
        <w:overflowPunct/>
        <w:topLinePunct w:val="0"/>
        <w:bidi w:val="0"/>
        <w:spacing w:line="440" w:lineRule="exact"/>
        <w:ind w:firstLine="480" w:firstLineChars="200"/>
        <w:textAlignment w:val="auto"/>
        <w:rPr>
          <w:rFonts w:asciiTheme="minorEastAsia" w:hAnsiTheme="minorEastAsia" w:eastAsiaTheme="minorEastAsia"/>
          <w:bCs/>
          <w:color w:val="auto"/>
          <w:kern w:val="2"/>
          <w:sz w:val="24"/>
          <w:szCs w:val="24"/>
          <w:lang w:val="en-US" w:bidi="ar-SA"/>
        </w:rPr>
      </w:pPr>
      <w:r>
        <w:rPr>
          <w:rFonts w:hint="eastAsia"/>
          <w:color w:val="auto"/>
          <w:sz w:val="24"/>
          <w:szCs w:val="24"/>
          <w:lang w:val="en-US" w:eastAsia="zh-CN"/>
        </w:rPr>
        <w:t>5）</w:t>
      </w:r>
      <w:r>
        <w:rPr>
          <w:rFonts w:hint="eastAsia" w:ascii="宋体" w:hAnsi="宋体" w:eastAsia="宋体" w:cs="Times New Roman"/>
          <w:bCs/>
          <w:color w:val="auto"/>
          <w:kern w:val="2"/>
          <w:sz w:val="24"/>
          <w:szCs w:val="24"/>
          <w:highlight w:val="none"/>
          <w:lang w:val="en-US" w:eastAsia="zh-CN" w:bidi="ar"/>
        </w:rPr>
        <w:t>针对</w:t>
      </w:r>
      <w:r>
        <w:rPr>
          <w:rFonts w:hint="eastAsia" w:ascii="宋体" w:hAnsi="宋体" w:eastAsia="宋体" w:cs="Times New Roman"/>
          <w:bCs/>
          <w:color w:val="auto"/>
          <w:kern w:val="2"/>
          <w:sz w:val="24"/>
          <w:szCs w:val="24"/>
          <w:lang w:val="en-US" w:eastAsia="zh-CN" w:bidi="ar"/>
        </w:rPr>
        <w:t>投标人提供相同品牌产品且通过资格审查、符合性审查的不同供应商参加同一合同项下投标的，按一家供应商计算，评审后得分最高的同品牌供应商获得成交人推荐资格；评审得分相同的，由专家组确定价格得分最高的一个供应商获得成交人推荐资格，其他同品牌供应商不作为成交候选人。</w:t>
      </w:r>
    </w:p>
    <w:p w14:paraId="56E1F47A">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lang w:val="en-US" w:eastAsia="zh-CN"/>
        </w:rPr>
        <w:t>6</w:t>
      </w:r>
      <w:r>
        <w:rPr>
          <w:rFonts w:hint="eastAsia" w:ascii="宋体" w:hAnsi="宋体"/>
          <w:color w:val="auto"/>
          <w:sz w:val="24"/>
          <w:szCs w:val="24"/>
          <w:lang w:eastAsia="zh-CN"/>
        </w:rPr>
        <w:t>）</w:t>
      </w:r>
      <w:r>
        <w:rPr>
          <w:rFonts w:hint="eastAsia" w:ascii="宋体" w:hAnsi="宋体"/>
          <w:color w:val="auto"/>
          <w:sz w:val="24"/>
          <w:szCs w:val="24"/>
        </w:rPr>
        <w:t>评审时，投标人符合投标人须知33条采购政策的按照采购政策执行。</w:t>
      </w:r>
    </w:p>
    <w:p w14:paraId="2255FE5D">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评标委员会根据评标情况编制评审报告，评标委员会成员对评审报告有异议的，应当在评审报告上签署不同意见，并说明理由，否则视为同意。对拒绝说明理由的，须报政府采购监管部门处理，并将其评审情况如实计入考核表。</w:t>
      </w:r>
    </w:p>
    <w:p w14:paraId="0C59FA62">
      <w:pPr>
        <w:pageBreakBefore w:val="0"/>
        <w:widowControl w:val="0"/>
        <w:kinsoku/>
        <w:wordWrap/>
        <w:overflowPunct/>
        <w:topLinePunct w:val="0"/>
        <w:bidi w:val="0"/>
        <w:adjustRightInd w:val="0"/>
        <w:snapToGrid w:val="0"/>
        <w:spacing w:line="440" w:lineRule="exact"/>
        <w:ind w:firstLine="482" w:firstLineChars="200"/>
        <w:textAlignment w:val="auto"/>
        <w:rPr>
          <w:rFonts w:ascii="宋体" w:hAnsi="宋体"/>
          <w:color w:val="auto"/>
          <w:sz w:val="24"/>
          <w:szCs w:val="24"/>
        </w:rPr>
      </w:pPr>
      <w:bookmarkStart w:id="64" w:name="_Toc358364336"/>
      <w:bookmarkStart w:id="65" w:name="_Toc380336742"/>
      <w:bookmarkStart w:id="66" w:name="_Toc409689064"/>
      <w:r>
        <w:rPr>
          <w:rFonts w:ascii="宋体" w:hAnsi="宋体"/>
          <w:b/>
          <w:color w:val="auto"/>
          <w:sz w:val="24"/>
          <w:szCs w:val="24"/>
        </w:rPr>
        <w:t>2</w:t>
      </w:r>
      <w:r>
        <w:rPr>
          <w:rFonts w:hint="eastAsia" w:ascii="宋体" w:hAnsi="宋体"/>
          <w:b/>
          <w:color w:val="auto"/>
          <w:sz w:val="24"/>
          <w:szCs w:val="24"/>
          <w:lang w:eastAsia="zh-CN"/>
        </w:rPr>
        <w:t>9.</w:t>
      </w:r>
      <w:r>
        <w:rPr>
          <w:rFonts w:hint="eastAsia" w:ascii="宋体" w:hAnsi="宋体"/>
          <w:b/>
          <w:color w:val="auto"/>
          <w:sz w:val="24"/>
          <w:szCs w:val="24"/>
        </w:rPr>
        <w:t>定标</w:t>
      </w:r>
    </w:p>
    <w:p w14:paraId="2C9A7BDD">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29.1</w:t>
      </w:r>
      <w:r>
        <w:rPr>
          <w:rFonts w:hint="eastAsia" w:ascii="宋体" w:hAnsi="宋体"/>
          <w:color w:val="auto"/>
          <w:sz w:val="24"/>
          <w:szCs w:val="24"/>
        </w:rPr>
        <w:t>采购代理机构应当在评标结束后2个工作日内，将评标报告送采购人定标。</w:t>
      </w:r>
    </w:p>
    <w:p w14:paraId="6CA1E6D5">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29.2采购人应当自收到评标报告之日起</w:t>
      </w:r>
      <w:r>
        <w:rPr>
          <w:rFonts w:hint="eastAsia" w:ascii="宋体" w:hAnsi="宋体"/>
          <w:color w:val="auto"/>
          <w:sz w:val="24"/>
          <w:szCs w:val="24"/>
        </w:rPr>
        <w:t>5</w:t>
      </w:r>
      <w:r>
        <w:rPr>
          <w:rFonts w:ascii="宋体" w:hAnsi="宋体"/>
          <w:color w:val="auto"/>
          <w:sz w:val="24"/>
          <w:szCs w:val="24"/>
        </w:rPr>
        <w:t>个工作日内，在评标报告确定的中标候选人名单中按顺序确定中标人</w:t>
      </w:r>
      <w:r>
        <w:rPr>
          <w:rFonts w:hint="eastAsia" w:ascii="宋体" w:hAnsi="宋体"/>
          <w:color w:val="auto"/>
          <w:sz w:val="24"/>
          <w:szCs w:val="24"/>
        </w:rPr>
        <w:t>，复函采购代理机构。</w:t>
      </w:r>
    </w:p>
    <w:p w14:paraId="1FDC0283">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29.3</w:t>
      </w:r>
      <w:r>
        <w:rPr>
          <w:rFonts w:hint="eastAsia" w:ascii="宋体" w:hAnsi="宋体"/>
          <w:color w:val="auto"/>
          <w:sz w:val="24"/>
          <w:szCs w:val="24"/>
        </w:rPr>
        <w:t>采购代理机构在采购人确定中标单位2个工作日内，在省级以上财政部门指定的媒体上公告</w:t>
      </w:r>
      <w:r>
        <w:rPr>
          <w:rFonts w:ascii="ˎ̥" w:hAnsi="ˎ̥"/>
          <w:color w:val="auto"/>
          <w:sz w:val="24"/>
          <w:szCs w:val="24"/>
        </w:rPr>
        <w:t>中标结果</w:t>
      </w:r>
      <w:r>
        <w:rPr>
          <w:rFonts w:hint="eastAsia" w:ascii="ˎ̥" w:hAnsi="ˎ̥"/>
          <w:color w:val="auto"/>
          <w:sz w:val="24"/>
          <w:szCs w:val="24"/>
        </w:rPr>
        <w:t>。</w:t>
      </w:r>
    </w:p>
    <w:p w14:paraId="732EE5B1">
      <w:pPr>
        <w:pageBreakBefore w:val="0"/>
        <w:widowControl w:val="0"/>
        <w:kinsoku/>
        <w:wordWrap/>
        <w:overflowPunct/>
        <w:topLinePunct w:val="0"/>
        <w:bidi w:val="0"/>
        <w:adjustRightInd w:val="0"/>
        <w:snapToGrid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29.4</w:t>
      </w:r>
      <w:r>
        <w:rPr>
          <w:rFonts w:hint="eastAsia" w:ascii="宋体" w:hAnsi="宋体"/>
          <w:color w:val="auto"/>
          <w:sz w:val="24"/>
          <w:szCs w:val="24"/>
        </w:rPr>
        <w:t>采购代理机构向中标供应商发出《中标通知书》。</w:t>
      </w:r>
    </w:p>
    <w:p w14:paraId="64A3DAAA">
      <w:pPr>
        <w:pageBreakBefore w:val="0"/>
        <w:widowControl w:val="0"/>
        <w:kinsoku/>
        <w:wordWrap/>
        <w:overflowPunct/>
        <w:topLinePunct w:val="0"/>
        <w:bidi w:val="0"/>
        <w:spacing w:line="440" w:lineRule="exact"/>
        <w:ind w:firstLine="482" w:firstLineChars="200"/>
        <w:textAlignment w:val="auto"/>
        <w:rPr>
          <w:rFonts w:ascii="宋体" w:hAnsi="宋体"/>
          <w:b/>
          <w:color w:val="auto"/>
          <w:sz w:val="24"/>
          <w:szCs w:val="24"/>
        </w:rPr>
      </w:pPr>
      <w:bookmarkStart w:id="67" w:name="_Toc152045575"/>
      <w:bookmarkStart w:id="68" w:name="_Toc246996219"/>
      <w:bookmarkStart w:id="69" w:name="_Toc246996962"/>
      <w:bookmarkStart w:id="70" w:name="_Toc296590983"/>
      <w:bookmarkStart w:id="71" w:name="_Toc296602462"/>
      <w:bookmarkStart w:id="72" w:name="_Toc152042351"/>
      <w:bookmarkStart w:id="73" w:name="_Toc247085733"/>
      <w:bookmarkStart w:id="74" w:name="_Toc179632593"/>
      <w:bookmarkStart w:id="75" w:name="_Toc144974543"/>
      <w:bookmarkStart w:id="76" w:name="_Toc311415614"/>
      <w:r>
        <w:rPr>
          <w:rFonts w:ascii="宋体" w:hAnsi="宋体"/>
          <w:b/>
          <w:color w:val="auto"/>
          <w:sz w:val="24"/>
          <w:szCs w:val="24"/>
        </w:rPr>
        <w:t>30</w:t>
      </w:r>
      <w:r>
        <w:rPr>
          <w:rFonts w:hint="eastAsia" w:ascii="宋体" w:hAnsi="宋体"/>
          <w:b/>
          <w:color w:val="auto"/>
          <w:sz w:val="24"/>
          <w:szCs w:val="24"/>
          <w:lang w:val="en-US" w:eastAsia="zh-CN"/>
        </w:rPr>
        <w:t>.</w:t>
      </w:r>
      <w:r>
        <w:rPr>
          <w:rFonts w:hint="eastAsia" w:ascii="宋体" w:hAnsi="宋体"/>
          <w:b/>
          <w:color w:val="auto"/>
          <w:sz w:val="24"/>
          <w:szCs w:val="24"/>
        </w:rPr>
        <w:t>签订合同</w:t>
      </w:r>
    </w:p>
    <w:p w14:paraId="265A526A">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30.1</w:t>
      </w:r>
      <w:r>
        <w:rPr>
          <w:rFonts w:hint="eastAsia" w:ascii="宋体" w:hAnsi="宋体"/>
          <w:color w:val="auto"/>
          <w:sz w:val="24"/>
          <w:szCs w:val="24"/>
        </w:rPr>
        <w:t>成交后，成交供应商在收到成交通知书后</w:t>
      </w:r>
      <w:r>
        <w:rPr>
          <w:rFonts w:hint="eastAsia" w:ascii="宋体" w:hAnsi="宋体"/>
          <w:color w:val="auto"/>
          <w:sz w:val="24"/>
          <w:szCs w:val="24"/>
          <w:lang w:val="en-US" w:eastAsia="zh-CN"/>
        </w:rPr>
        <w:t>25</w:t>
      </w:r>
      <w:r>
        <w:rPr>
          <w:rFonts w:hint="eastAsia" w:ascii="宋体" w:hAnsi="宋体"/>
          <w:color w:val="auto"/>
          <w:sz w:val="24"/>
          <w:szCs w:val="24"/>
        </w:rPr>
        <w:t>个日历日内，应按招标文件的要求与采购人洽谈合同条款，并签订供货合同，同时送监督机构备案，招标文件及成交供应商的投标文件均作为合同的组成部分。</w:t>
      </w:r>
    </w:p>
    <w:p w14:paraId="764E22DE">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30.2</w:t>
      </w:r>
      <w:r>
        <w:rPr>
          <w:rFonts w:hint="eastAsia" w:ascii="宋体" w:hAnsi="宋体"/>
          <w:color w:val="auto"/>
          <w:sz w:val="24"/>
          <w:szCs w:val="24"/>
        </w:rPr>
        <w:t>采购人不得向成交供应商提出超出招标文件以外的任何要求作为签订合同的条件，不得与成交供应商订立背离招标文件确定的合同文本以及采购服务要求实质性内容的协议。</w:t>
      </w:r>
    </w:p>
    <w:p w14:paraId="0E5C721B">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30.3</w:t>
      </w:r>
      <w:r>
        <w:rPr>
          <w:rFonts w:hint="eastAsia" w:ascii="宋体" w:hAnsi="宋体"/>
          <w:color w:val="auto"/>
          <w:sz w:val="24"/>
          <w:szCs w:val="24"/>
        </w:rPr>
        <w:t>成交供应商因不可抗力或者自身原因不能履行政府采购合同的，采购人可以与排序在成交供应商之后第一位的成交候选供应商签订政府采购合同，以此类推，也可以重新开展采购活动。因自身原因拒绝签订政府采购合同的成交供应商不得参加对该项目重新开展的采购活动。</w:t>
      </w:r>
    </w:p>
    <w:p w14:paraId="341BF1FE">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30.4</w:t>
      </w:r>
      <w:r>
        <w:rPr>
          <w:rFonts w:hint="eastAsia" w:ascii="宋体" w:hAnsi="宋体"/>
          <w:color w:val="auto"/>
          <w:sz w:val="24"/>
          <w:szCs w:val="24"/>
        </w:rPr>
        <w:t>政府采购合同在执行过程中，确需修改、变更时，应当按照相应的审核批准程序办理。</w:t>
      </w:r>
    </w:p>
    <w:p w14:paraId="504F4618">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 xml:space="preserve">30.5 </w:t>
      </w:r>
      <w:r>
        <w:rPr>
          <w:rFonts w:hint="eastAsia" w:ascii="宋体" w:hAnsi="宋体"/>
          <w:color w:val="auto"/>
          <w:sz w:val="24"/>
          <w:szCs w:val="24"/>
        </w:rPr>
        <w:t>招标文件、投标文件、澄清等为政府采购合同的组成部分，具有同等法律效力。</w:t>
      </w:r>
    </w:p>
    <w:p w14:paraId="1A26EDDF">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30.6</w:t>
      </w:r>
      <w:r>
        <w:rPr>
          <w:rFonts w:hint="eastAsia" w:ascii="宋体" w:hAnsi="宋体"/>
          <w:color w:val="auto"/>
          <w:sz w:val="24"/>
          <w:szCs w:val="24"/>
        </w:rPr>
        <w:t>政府采购管理部门在合同履行期间以及履行期后，可以随时检查项目的执行情况，对采购标准、采购内容进行调查核实，并对发现的问题进行处理。</w:t>
      </w:r>
    </w:p>
    <w:p w14:paraId="160C8378">
      <w:pPr>
        <w:pStyle w:val="3"/>
        <w:pageBreakBefore w:val="0"/>
        <w:widowControl w:val="0"/>
        <w:kinsoku/>
        <w:wordWrap/>
        <w:overflowPunct/>
        <w:topLinePunct w:val="0"/>
        <w:bidi w:val="0"/>
        <w:spacing w:before="0" w:after="0" w:line="440" w:lineRule="exact"/>
        <w:jc w:val="center"/>
        <w:textAlignment w:val="auto"/>
        <w:rPr>
          <w:color w:val="auto"/>
        </w:rPr>
      </w:pPr>
      <w:bookmarkStart w:id="77" w:name="_Toc23258610"/>
      <w:bookmarkStart w:id="78" w:name="_Toc26541327"/>
      <w:r>
        <w:rPr>
          <w:rFonts w:hint="eastAsia"/>
          <w:color w:val="auto"/>
        </w:rPr>
        <w:t>六、代理服务费</w:t>
      </w:r>
      <w:bookmarkEnd w:id="77"/>
      <w:bookmarkEnd w:id="78"/>
    </w:p>
    <w:bookmarkEnd w:id="67"/>
    <w:bookmarkEnd w:id="68"/>
    <w:bookmarkEnd w:id="69"/>
    <w:bookmarkEnd w:id="70"/>
    <w:bookmarkEnd w:id="71"/>
    <w:bookmarkEnd w:id="72"/>
    <w:bookmarkEnd w:id="73"/>
    <w:bookmarkEnd w:id="74"/>
    <w:bookmarkEnd w:id="75"/>
    <w:p w14:paraId="38D3A792">
      <w:pPr>
        <w:pageBreakBefore w:val="0"/>
        <w:widowControl w:val="0"/>
        <w:kinsoku/>
        <w:wordWrap/>
        <w:overflowPunct/>
        <w:topLinePunct w:val="0"/>
        <w:bidi w:val="0"/>
        <w:spacing w:line="440" w:lineRule="exact"/>
        <w:ind w:firstLine="482" w:firstLineChars="200"/>
        <w:textAlignment w:val="auto"/>
        <w:rPr>
          <w:rFonts w:ascii="宋体" w:hAnsi="宋体"/>
          <w:b/>
          <w:color w:val="auto"/>
          <w:sz w:val="24"/>
          <w:szCs w:val="24"/>
        </w:rPr>
      </w:pPr>
      <w:bookmarkStart w:id="79" w:name="_Toc144974546"/>
      <w:r>
        <w:rPr>
          <w:rFonts w:ascii="宋体" w:hAnsi="宋体"/>
          <w:b/>
          <w:color w:val="auto"/>
          <w:sz w:val="24"/>
          <w:szCs w:val="24"/>
        </w:rPr>
        <w:t>3</w:t>
      </w:r>
      <w:r>
        <w:rPr>
          <w:rFonts w:hint="eastAsia" w:ascii="宋体" w:hAnsi="宋体"/>
          <w:b/>
          <w:color w:val="auto"/>
          <w:sz w:val="24"/>
          <w:szCs w:val="24"/>
          <w:lang w:eastAsia="zh-CN"/>
        </w:rPr>
        <w:t>1.</w:t>
      </w:r>
      <w:r>
        <w:rPr>
          <w:rFonts w:hint="eastAsia" w:ascii="宋体" w:hAnsi="宋体"/>
          <w:b/>
          <w:color w:val="auto"/>
          <w:sz w:val="24"/>
          <w:szCs w:val="24"/>
        </w:rPr>
        <w:t>代理服务费</w:t>
      </w:r>
    </w:p>
    <w:bookmarkEnd w:id="79"/>
    <w:p w14:paraId="735B7931">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auto"/>
          <w:sz w:val="24"/>
          <w:szCs w:val="24"/>
          <w:lang w:val="en-US" w:eastAsia="zh-CN"/>
        </w:rPr>
      </w:pPr>
      <w:bookmarkStart w:id="80" w:name="_Toc23258611"/>
      <w:bookmarkStart w:id="81" w:name="_Toc26541328"/>
      <w:r>
        <w:rPr>
          <w:rFonts w:hint="eastAsia" w:ascii="宋体" w:hAnsi="宋体" w:eastAsia="宋体" w:cs="Times New Roman"/>
          <w:color w:val="auto"/>
          <w:sz w:val="24"/>
          <w:szCs w:val="24"/>
          <w:lang w:val="en-US" w:eastAsia="zh-CN"/>
        </w:rPr>
        <w:t>1.代理服务费参照国家计委关于印发《招标代理服务收费管理暂行办法》的通知（计价格[2002]1980号）和《国家发展改革委办公厅关于招标代理服务收费有关问题的通知》（发改办价格[2003]857号）规定标准计取。</w:t>
      </w:r>
    </w:p>
    <w:p w14:paraId="2AED1D6D">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采购代理机构开户名称：安康尚昊招标代理有限公司  </w:t>
      </w:r>
    </w:p>
    <w:p w14:paraId="3A3473A8">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开户行名称：中国建设银行股份有限公司安康分行营业部  </w:t>
      </w:r>
    </w:p>
    <w:p w14:paraId="35CEF50D">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auto"/>
          <w:sz w:val="24"/>
          <w:szCs w:val="24"/>
          <w:lang w:eastAsia="zh-CN"/>
        </w:rPr>
      </w:pPr>
      <w:r>
        <w:rPr>
          <w:rFonts w:hint="eastAsia" w:ascii="宋体" w:hAnsi="宋体" w:cs="Times New Roman"/>
          <w:color w:val="auto"/>
          <w:sz w:val="24"/>
          <w:szCs w:val="24"/>
          <w:lang w:eastAsia="zh-CN"/>
        </w:rPr>
        <w:t>账</w:t>
      </w:r>
      <w:r>
        <w:rPr>
          <w:rFonts w:hint="eastAsia" w:ascii="宋体" w:hAnsi="宋体" w:eastAsia="宋体" w:cs="Times New Roman"/>
          <w:color w:val="auto"/>
          <w:sz w:val="24"/>
          <w:szCs w:val="24"/>
        </w:rPr>
        <w:t xml:space="preserve">      号：61050166371100000492</w:t>
      </w:r>
    </w:p>
    <w:p w14:paraId="6726BA18">
      <w:pPr>
        <w:pageBreakBefore w:val="0"/>
        <w:widowControl w:val="0"/>
        <w:kinsoku/>
        <w:wordWrap/>
        <w:overflowPunct/>
        <w:topLinePunct w:val="0"/>
        <w:bidi w:val="0"/>
        <w:adjustRightInd w:val="0"/>
        <w:snapToGrid w:val="0"/>
        <w:spacing w:line="440" w:lineRule="exact"/>
        <w:ind w:firstLine="480" w:firstLineChars="200"/>
        <w:textAlignment w:val="auto"/>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2.</w:t>
      </w:r>
      <w:r>
        <w:rPr>
          <w:rFonts w:hint="eastAsia" w:ascii="宋体" w:hAnsi="宋体" w:cs="Times New Roman"/>
          <w:color w:val="auto"/>
          <w:sz w:val="24"/>
          <w:szCs w:val="24"/>
          <w:lang w:val="en-US" w:eastAsia="zh-CN"/>
        </w:rPr>
        <w:t>中标</w:t>
      </w:r>
      <w:r>
        <w:rPr>
          <w:rFonts w:hint="eastAsia" w:ascii="宋体" w:hAnsi="宋体" w:eastAsia="宋体" w:cs="Times New Roman"/>
          <w:color w:val="auto"/>
          <w:sz w:val="24"/>
          <w:szCs w:val="24"/>
          <w:lang w:val="en-US" w:eastAsia="zh-CN"/>
        </w:rPr>
        <w:t>供应商</w:t>
      </w:r>
      <w:r>
        <w:rPr>
          <w:rFonts w:hint="eastAsia" w:ascii="宋体" w:hAnsi="宋体" w:eastAsia="宋体" w:cs="Times New Roman"/>
          <w:color w:val="auto"/>
          <w:sz w:val="24"/>
          <w:szCs w:val="24"/>
        </w:rPr>
        <w:t>在领取成交通知书前，须向采购代理机构一次性支付招标代理服务费</w:t>
      </w:r>
      <w:r>
        <w:rPr>
          <w:rFonts w:hint="eastAsia" w:ascii="宋体" w:hAnsi="宋体" w:cs="Times New Roman"/>
          <w:color w:val="auto"/>
          <w:sz w:val="24"/>
          <w:szCs w:val="24"/>
          <w:lang w:eastAsia="zh-CN"/>
        </w:rPr>
        <w:t>，</w:t>
      </w:r>
      <w:r>
        <w:rPr>
          <w:rFonts w:hint="eastAsia" w:ascii="宋体" w:hAnsi="宋体" w:eastAsia="宋体" w:cs="Times New Roman"/>
          <w:color w:val="auto"/>
          <w:sz w:val="24"/>
          <w:szCs w:val="24"/>
        </w:rPr>
        <w:t>代理服务费以转账、电汇或现金等形式交纳。</w:t>
      </w:r>
    </w:p>
    <w:p w14:paraId="5DA004B3">
      <w:pPr>
        <w:pageBreakBefore w:val="0"/>
        <w:widowControl w:val="0"/>
        <w:kinsoku/>
        <w:wordWrap/>
        <w:overflowPunct/>
        <w:topLinePunct w:val="0"/>
        <w:bidi w:val="0"/>
        <w:adjustRightInd w:val="0"/>
        <w:snapToGrid w:val="0"/>
        <w:spacing w:line="440" w:lineRule="exact"/>
        <w:jc w:val="center"/>
        <w:textAlignment w:val="auto"/>
        <w:rPr>
          <w:rFonts w:hint="eastAsia" w:ascii="Calibri Light" w:hAnsi="Calibri Light" w:eastAsia="宋体" w:cs="Times New Roman"/>
          <w:b/>
          <w:bCs/>
          <w:color w:val="auto"/>
          <w:kern w:val="2"/>
          <w:sz w:val="32"/>
          <w:szCs w:val="32"/>
          <w:lang w:val="en-US" w:eastAsia="zh-CN" w:bidi="ar-SA"/>
        </w:rPr>
      </w:pPr>
      <w:r>
        <w:rPr>
          <w:rFonts w:hint="eastAsia" w:ascii="Calibri Light" w:hAnsi="Calibri Light" w:eastAsia="宋体" w:cs="Times New Roman"/>
          <w:b/>
          <w:bCs/>
          <w:color w:val="auto"/>
          <w:kern w:val="2"/>
          <w:sz w:val="32"/>
          <w:szCs w:val="32"/>
          <w:lang w:val="en-US" w:eastAsia="zh-CN" w:bidi="ar-SA"/>
        </w:rPr>
        <w:t>七、质疑、投诉</w:t>
      </w:r>
      <w:bookmarkEnd w:id="80"/>
      <w:bookmarkEnd w:id="81"/>
    </w:p>
    <w:p w14:paraId="7E17D9FB">
      <w:pPr>
        <w:pageBreakBefore w:val="0"/>
        <w:widowControl w:val="0"/>
        <w:kinsoku/>
        <w:wordWrap/>
        <w:overflowPunct/>
        <w:topLinePunct w:val="0"/>
        <w:bidi w:val="0"/>
        <w:spacing w:line="440" w:lineRule="exact"/>
        <w:ind w:firstLine="482" w:firstLineChars="200"/>
        <w:textAlignment w:val="auto"/>
        <w:rPr>
          <w:rFonts w:ascii="宋体" w:hAnsi="宋体"/>
          <w:b/>
          <w:snapToGrid w:val="0"/>
          <w:color w:val="auto"/>
          <w:sz w:val="24"/>
          <w:szCs w:val="24"/>
        </w:rPr>
      </w:pPr>
      <w:r>
        <w:rPr>
          <w:rFonts w:ascii="宋体" w:hAnsi="宋体"/>
          <w:b/>
          <w:snapToGrid w:val="0"/>
          <w:color w:val="auto"/>
          <w:sz w:val="24"/>
          <w:szCs w:val="24"/>
        </w:rPr>
        <w:t>3</w:t>
      </w:r>
      <w:r>
        <w:rPr>
          <w:rFonts w:hint="eastAsia" w:ascii="宋体" w:hAnsi="宋体"/>
          <w:b/>
          <w:snapToGrid w:val="0"/>
          <w:color w:val="auto"/>
          <w:sz w:val="24"/>
          <w:szCs w:val="24"/>
          <w:lang w:eastAsia="zh-CN"/>
        </w:rPr>
        <w:t>2.</w:t>
      </w:r>
      <w:r>
        <w:rPr>
          <w:rFonts w:hint="eastAsia" w:ascii="宋体" w:hAnsi="宋体"/>
          <w:b/>
          <w:snapToGrid w:val="0"/>
          <w:color w:val="auto"/>
          <w:sz w:val="24"/>
          <w:szCs w:val="24"/>
        </w:rPr>
        <w:t>质疑、</w:t>
      </w:r>
      <w:r>
        <w:rPr>
          <w:rFonts w:ascii="宋体" w:hAnsi="宋体"/>
          <w:b/>
          <w:snapToGrid w:val="0"/>
          <w:color w:val="auto"/>
          <w:sz w:val="24"/>
          <w:szCs w:val="24"/>
        </w:rPr>
        <w:t>投诉</w:t>
      </w:r>
    </w:p>
    <w:p w14:paraId="1A5AC631">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质疑或投诉的接收和处理应当按照《中华人民共和国政府采购法》及其实施条例、《政府采购质疑和投诉办法》《财政部关于加强政府采购供应商投诉受理审查工作的通知》等的相关规定办理。</w:t>
      </w:r>
    </w:p>
    <w:p w14:paraId="5E6AD4FB">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32.1</w:t>
      </w:r>
      <w:r>
        <w:rPr>
          <w:rFonts w:hint="eastAsia" w:ascii="宋体" w:hAnsi="宋体"/>
          <w:color w:val="auto"/>
          <w:sz w:val="24"/>
          <w:szCs w:val="24"/>
        </w:rPr>
        <w:t>供应商认为采购文件、采购过程和中标、成交结果使自己的权益受到损害的，可以在知道或者应知其权益受到损害之日起七个工作日内，以书面形式向采购人或采购代理机构提出质疑，逾期质疑无效。供应商应知其权益受到损害之日，是指：</w:t>
      </w:r>
    </w:p>
    <w:p w14:paraId="16A8B73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olor w:val="auto"/>
          <w:sz w:val="24"/>
          <w:szCs w:val="24"/>
          <w:lang w:eastAsia="zh-CN"/>
        </w:rPr>
      </w:pPr>
      <w:r>
        <w:rPr>
          <w:rFonts w:hint="eastAsia" w:ascii="宋体" w:hAnsi="宋体"/>
          <w:color w:val="auto"/>
          <w:sz w:val="24"/>
          <w:szCs w:val="24"/>
        </w:rPr>
        <w:t>(一)对可以质疑的采购文件提出质疑的，为收到采购文件之日或者采购文件公告期限届满之日</w:t>
      </w:r>
      <w:r>
        <w:rPr>
          <w:rFonts w:hint="eastAsia" w:ascii="宋体" w:hAnsi="宋体"/>
          <w:color w:val="auto"/>
          <w:sz w:val="24"/>
          <w:szCs w:val="24"/>
          <w:lang w:eastAsia="zh-CN"/>
        </w:rPr>
        <w:t>；</w:t>
      </w:r>
    </w:p>
    <w:p w14:paraId="36A77B1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olor w:val="auto"/>
          <w:sz w:val="24"/>
          <w:szCs w:val="24"/>
          <w:lang w:eastAsia="zh-CN"/>
        </w:rPr>
      </w:pPr>
      <w:r>
        <w:rPr>
          <w:rFonts w:hint="eastAsia" w:ascii="宋体" w:hAnsi="宋体"/>
          <w:color w:val="auto"/>
          <w:sz w:val="24"/>
          <w:szCs w:val="24"/>
        </w:rPr>
        <w:t>(二)对采购过程提出质疑的，为各采购程序环节结束之日</w:t>
      </w:r>
      <w:r>
        <w:rPr>
          <w:rFonts w:hint="eastAsia" w:ascii="宋体" w:hAnsi="宋体"/>
          <w:color w:val="auto"/>
          <w:sz w:val="24"/>
          <w:szCs w:val="24"/>
          <w:lang w:eastAsia="zh-CN"/>
        </w:rPr>
        <w:t>；</w:t>
      </w:r>
    </w:p>
    <w:p w14:paraId="041535B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(三)对中标或者成交结果提出质疑的，为中标或者成交结果公告期限届满之日。</w:t>
      </w:r>
    </w:p>
    <w:p w14:paraId="1AAC15FF">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32.2</w:t>
      </w:r>
      <w:r>
        <w:rPr>
          <w:rFonts w:hint="eastAsia" w:ascii="宋体" w:hAnsi="宋体"/>
          <w:color w:val="auto"/>
          <w:sz w:val="24"/>
          <w:szCs w:val="24"/>
        </w:rPr>
        <w:t>供应商应当在法定质疑期内一次性提出针对同一采购程序环节的质疑。</w:t>
      </w:r>
    </w:p>
    <w:p w14:paraId="3570A5CE">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32.3</w:t>
      </w:r>
      <w:r>
        <w:rPr>
          <w:rFonts w:hint="eastAsia" w:ascii="宋体" w:hAnsi="宋体"/>
          <w:color w:val="auto"/>
          <w:sz w:val="24"/>
          <w:szCs w:val="24"/>
        </w:rPr>
        <w:t>质疑函应当包括下列主要内容：</w:t>
      </w:r>
    </w:p>
    <w:p w14:paraId="17CDC7D3">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（1）供应商的姓名或者名称、地址、邮编、联系人及联系电话；</w:t>
      </w:r>
    </w:p>
    <w:p w14:paraId="5DD00A29">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（2）质疑项目的名称、编号；</w:t>
      </w:r>
    </w:p>
    <w:p w14:paraId="5A2104E4">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（3）具体、明确的质疑事项和与质疑事项相关的请求；</w:t>
      </w:r>
    </w:p>
    <w:p w14:paraId="376465D5">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（4）事实依据；</w:t>
      </w:r>
    </w:p>
    <w:p w14:paraId="506B3BC7">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（5）必要的法律依据；</w:t>
      </w:r>
    </w:p>
    <w:p w14:paraId="1BD66B19">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（6）提出质疑的日期。</w:t>
      </w:r>
    </w:p>
    <w:p w14:paraId="3E9E1B29">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32.4</w:t>
      </w:r>
      <w:r>
        <w:rPr>
          <w:rFonts w:hint="eastAsia" w:ascii="宋体" w:hAnsi="宋体"/>
          <w:color w:val="auto"/>
          <w:sz w:val="24"/>
          <w:szCs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069F8A1C">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32.5</w:t>
      </w:r>
      <w:r>
        <w:rPr>
          <w:rFonts w:hint="eastAsia" w:ascii="宋体" w:hAnsi="宋体"/>
          <w:color w:val="auto"/>
          <w:sz w:val="24"/>
          <w:szCs w:val="24"/>
        </w:rPr>
        <w:t>质疑函内容不得含有虚假、恶意</w:t>
      </w:r>
      <w:r>
        <w:rPr>
          <w:rFonts w:hint="eastAsia" w:ascii="宋体" w:hAnsi="宋体"/>
          <w:color w:val="auto"/>
          <w:sz w:val="24"/>
          <w:szCs w:val="24"/>
          <w:lang w:eastAsia="zh-CN"/>
        </w:rPr>
        <w:t>成分</w:t>
      </w:r>
      <w:r>
        <w:rPr>
          <w:rFonts w:hint="eastAsia" w:ascii="宋体" w:hAnsi="宋体"/>
          <w:color w:val="auto"/>
          <w:sz w:val="24"/>
          <w:szCs w:val="24"/>
        </w:rPr>
        <w:t>。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159993A2">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32.6</w:t>
      </w:r>
      <w:r>
        <w:rPr>
          <w:rFonts w:hint="eastAsia" w:ascii="宋体" w:hAnsi="宋体"/>
          <w:color w:val="auto"/>
          <w:sz w:val="24"/>
          <w:szCs w:val="24"/>
        </w:rPr>
        <w:t xml:space="preserve">质疑函接收方式：由自然人本人或法定代表人或者其授权代表携带书面原件及身份证明原件到现场递交，否则不予受理 。 </w:t>
      </w:r>
    </w:p>
    <w:p w14:paraId="24E704B4">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32.7</w:t>
      </w:r>
      <w:r>
        <w:rPr>
          <w:rFonts w:hint="eastAsia" w:ascii="宋体" w:hAnsi="宋体"/>
          <w:color w:val="auto"/>
          <w:sz w:val="24"/>
          <w:szCs w:val="24"/>
        </w:rPr>
        <w:t>质疑受理部门：安康尚昊招标代理有限公司</w:t>
      </w:r>
    </w:p>
    <w:p w14:paraId="6839D71A">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auto"/>
          <w:sz w:val="24"/>
          <w:szCs w:val="24"/>
          <w:lang w:eastAsia="zh-CN"/>
        </w:rPr>
      </w:pPr>
      <w:r>
        <w:rPr>
          <w:rFonts w:hint="eastAsia" w:ascii="宋体" w:hAnsi="宋体"/>
          <w:color w:val="auto"/>
          <w:sz w:val="24"/>
          <w:szCs w:val="24"/>
        </w:rPr>
        <w:t xml:space="preserve">   质疑受理电话：</w:t>
      </w:r>
      <w:r>
        <w:rPr>
          <w:rFonts w:hint="eastAsia" w:ascii="宋体" w:hAnsi="宋体"/>
          <w:color w:val="auto"/>
          <w:sz w:val="24"/>
          <w:szCs w:val="24"/>
          <w:lang w:eastAsia="zh-CN"/>
        </w:rPr>
        <w:t>13991519725</w:t>
      </w:r>
    </w:p>
    <w:p w14:paraId="22A2A687">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olor w:val="auto"/>
          <w:sz w:val="24"/>
          <w:szCs w:val="24"/>
          <w:lang w:eastAsia="zh-CN"/>
        </w:rPr>
      </w:pPr>
      <w:r>
        <w:rPr>
          <w:rFonts w:ascii="宋体" w:hAnsi="宋体"/>
          <w:color w:val="auto"/>
          <w:sz w:val="24"/>
          <w:szCs w:val="24"/>
        </w:rPr>
        <w:t>32.8</w:t>
      </w:r>
      <w:r>
        <w:rPr>
          <w:rFonts w:hint="eastAsia" w:ascii="宋体" w:hAnsi="宋体"/>
          <w:color w:val="auto"/>
          <w:sz w:val="24"/>
          <w:szCs w:val="24"/>
        </w:rPr>
        <w:t>提交质疑函地点：</w:t>
      </w:r>
      <w:r>
        <w:rPr>
          <w:rFonts w:hint="eastAsia" w:ascii="宋体" w:hAnsi="宋体"/>
          <w:color w:val="auto"/>
          <w:sz w:val="24"/>
          <w:szCs w:val="24"/>
          <w:lang w:eastAsia="zh-CN"/>
        </w:rPr>
        <w:t>安康市高新区高新观澜8栋</w:t>
      </w:r>
      <w:r>
        <w:rPr>
          <w:rFonts w:hint="eastAsia" w:ascii="宋体" w:hAnsi="宋体"/>
          <w:color w:val="auto"/>
          <w:sz w:val="24"/>
          <w:szCs w:val="24"/>
          <w:lang w:val="en-US" w:eastAsia="zh-CN"/>
        </w:rPr>
        <w:t>2</w:t>
      </w:r>
      <w:r>
        <w:rPr>
          <w:rFonts w:hint="eastAsia" w:ascii="宋体" w:hAnsi="宋体"/>
          <w:color w:val="auto"/>
          <w:sz w:val="24"/>
          <w:szCs w:val="24"/>
          <w:lang w:eastAsia="zh-CN"/>
        </w:rPr>
        <w:t>单元801室</w:t>
      </w:r>
    </w:p>
    <w:p w14:paraId="32B0E30A">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32.9</w:t>
      </w:r>
      <w:r>
        <w:rPr>
          <w:rFonts w:hint="eastAsia" w:ascii="宋体" w:hAnsi="宋体"/>
          <w:color w:val="auto"/>
          <w:sz w:val="24"/>
          <w:szCs w:val="24"/>
        </w:rPr>
        <w:t>本次采购活动中，采购代理机构对质疑函回复的书面文件的送达方式为现场取件。</w:t>
      </w:r>
    </w:p>
    <w:p w14:paraId="7AA75C95">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如所质疑的问题比较复杂，采购人或者采购代理机构在规定的答复时间内无法回复，应事先告知提出质疑的供应商，同时向同级政府采购监督管理部门报告。</w:t>
      </w:r>
    </w:p>
    <w:p w14:paraId="38EF3764">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32.10</w:t>
      </w:r>
      <w:r>
        <w:rPr>
          <w:rFonts w:hint="eastAsia" w:ascii="宋体" w:hAnsi="宋体"/>
          <w:color w:val="auto"/>
          <w:sz w:val="24"/>
          <w:szCs w:val="24"/>
        </w:rPr>
        <w:t xml:space="preserve"> 质疑供应商对采购人、采购代理机构的答复不满意，或者采购人、采购代理机构未在规定的时间内作出答复的，可以在答复期满后15个工作日内向采购人的同级政府采购监督管理部门投诉。</w:t>
      </w:r>
    </w:p>
    <w:p w14:paraId="4639BB38">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ascii="宋体" w:hAnsi="宋体"/>
          <w:color w:val="auto"/>
          <w:sz w:val="24"/>
          <w:szCs w:val="24"/>
        </w:rPr>
        <w:t>32.11</w:t>
      </w:r>
      <w:r>
        <w:rPr>
          <w:rFonts w:hint="eastAsia" w:ascii="宋体" w:hAnsi="宋体"/>
          <w:color w:val="auto"/>
          <w:sz w:val="24"/>
          <w:szCs w:val="24"/>
        </w:rPr>
        <w:t xml:space="preserve"> 质疑函应当使用中文。</w:t>
      </w:r>
    </w:p>
    <w:p w14:paraId="4DC0212E">
      <w:pPr>
        <w:pStyle w:val="3"/>
        <w:pageBreakBefore w:val="0"/>
        <w:widowControl w:val="0"/>
        <w:kinsoku/>
        <w:wordWrap/>
        <w:overflowPunct/>
        <w:topLinePunct w:val="0"/>
        <w:bidi w:val="0"/>
        <w:spacing w:before="0" w:after="0" w:line="440" w:lineRule="exact"/>
        <w:jc w:val="center"/>
        <w:textAlignment w:val="auto"/>
        <w:rPr>
          <w:color w:val="auto"/>
        </w:rPr>
      </w:pPr>
      <w:bookmarkStart w:id="82" w:name="_Toc26541329"/>
      <w:bookmarkStart w:id="83" w:name="_Toc23258612"/>
      <w:r>
        <w:rPr>
          <w:rFonts w:hint="eastAsia"/>
          <w:color w:val="auto"/>
        </w:rPr>
        <w:t>八、采购政策</w:t>
      </w:r>
      <w:bookmarkEnd w:id="82"/>
      <w:bookmarkEnd w:id="83"/>
    </w:p>
    <w:p w14:paraId="391BF956">
      <w:pPr>
        <w:pageBreakBefore w:val="0"/>
        <w:widowControl w:val="0"/>
        <w:kinsoku/>
        <w:wordWrap/>
        <w:overflowPunct/>
        <w:topLinePunct w:val="0"/>
        <w:bidi w:val="0"/>
        <w:spacing w:line="440" w:lineRule="exact"/>
        <w:ind w:firstLine="482" w:firstLineChars="200"/>
        <w:textAlignment w:val="auto"/>
        <w:rPr>
          <w:rFonts w:ascii="宋体" w:hAnsi="宋体"/>
          <w:b/>
          <w:snapToGrid w:val="0"/>
          <w:color w:val="auto"/>
          <w:sz w:val="24"/>
          <w:szCs w:val="24"/>
        </w:rPr>
      </w:pPr>
      <w:r>
        <w:rPr>
          <w:rFonts w:ascii="宋体" w:hAnsi="宋体"/>
          <w:b/>
          <w:snapToGrid w:val="0"/>
          <w:color w:val="auto"/>
          <w:sz w:val="24"/>
          <w:szCs w:val="24"/>
        </w:rPr>
        <w:t>33</w:t>
      </w:r>
      <w:r>
        <w:rPr>
          <w:rFonts w:hint="eastAsia" w:ascii="宋体" w:hAnsi="宋体"/>
          <w:b/>
          <w:snapToGrid w:val="0"/>
          <w:color w:val="auto"/>
          <w:sz w:val="24"/>
          <w:szCs w:val="24"/>
        </w:rPr>
        <w:t>.采购政策</w:t>
      </w:r>
    </w:p>
    <w:p w14:paraId="2D0C8AEC">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t>依据《中华人民共和国政府采购法》和《中华人民共和国政府采购法实施条例》的有关规定，落实政府采购“优先购买节能环保产品、扶持小微企业、监狱企业、福利企业”等相关政策：</w:t>
      </w:r>
    </w:p>
    <w:p w14:paraId="2AC1A82C">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t>（1）依据《政府采购促进中小企业发展管理办法》（财库〔2020〕46号）的有关规定，在政府采购活动中投标人为小型和微型企业的，对价格给予10%的价格扣除，用扣除后的价格参与评标（所投的货物/承建的工程/承接的服务由小型和微型提供）；</w:t>
      </w:r>
    </w:p>
    <w:p w14:paraId="1C12E1B4">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t>（2）根据财政部、司法部联合下发的《关于政府采购支持监狱企业发展有关问题的通知》（财库〔2014〕68号）的规定，监狱企业视同小型、微型企业。评标时，对监狱企业</w:t>
      </w:r>
      <w:r>
        <w:rPr>
          <w:rFonts w:hint="eastAsia" w:ascii="宋体" w:hAnsi="宋体" w:cs="宋体"/>
          <w:color w:val="auto"/>
          <w:sz w:val="24"/>
          <w:szCs w:val="24"/>
          <w:shd w:val="clear" w:color="auto" w:fill="FFFFFF"/>
          <w:lang w:eastAsia="zh-CN"/>
        </w:rPr>
        <w:t>给予</w:t>
      </w:r>
      <w:r>
        <w:rPr>
          <w:rFonts w:hint="eastAsia" w:ascii="宋体" w:hAnsi="宋体" w:cs="宋体"/>
          <w:color w:val="auto"/>
          <w:sz w:val="24"/>
          <w:szCs w:val="24"/>
          <w:shd w:val="clear" w:color="auto" w:fill="FFFFFF"/>
        </w:rPr>
        <w:t>10%的价格扣除，用扣除后的价格参与评审；</w:t>
      </w:r>
    </w:p>
    <w:p w14:paraId="79B776C6">
      <w:pPr>
        <w:pageBreakBefore w:val="0"/>
        <w:widowControl w:val="0"/>
        <w:kinsoku/>
        <w:wordWrap/>
        <w:overflowPunct/>
        <w:topLinePunct w:val="0"/>
        <w:bidi w:val="0"/>
        <w:snapToGrid w:val="0"/>
        <w:spacing w:line="440" w:lineRule="exact"/>
        <w:ind w:firstLine="480" w:firstLineChars="200"/>
        <w:textAlignment w:val="auto"/>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t>（3）根据财政部、民政部、中国残疾人联合会下发的《关于促进残疾人就业采购政策的通知》（财库〔2017〕141号）的规定，残疾人福利性单位提供本单位制造的货物、承担的工程或者服务，或者提供其他残疾人福利性单位制造的货物（不包括使用非残疾人福利性单位注册商标的货物）参与政府采购活动时，视同小型、微型企业，享受预留份额、评审中价格扣除等促进中小企业发展的政府采购政策。</w:t>
      </w:r>
    </w:p>
    <w:p w14:paraId="315DA608">
      <w:pPr>
        <w:pageBreakBefore w:val="0"/>
        <w:widowControl w:val="0"/>
        <w:kinsoku/>
        <w:wordWrap/>
        <w:overflowPunct/>
        <w:topLinePunct w:val="0"/>
        <w:bidi w:val="0"/>
        <w:spacing w:line="440" w:lineRule="exact"/>
        <w:ind w:firstLine="482" w:firstLineChars="200"/>
        <w:textAlignment w:val="auto"/>
        <w:rPr>
          <w:rFonts w:ascii="宋体" w:hAnsi="宋体"/>
          <w:color w:val="auto"/>
          <w:sz w:val="24"/>
          <w:szCs w:val="24"/>
        </w:rPr>
      </w:pPr>
      <w:r>
        <w:rPr>
          <w:rFonts w:hint="eastAsia" w:ascii="宋体" w:hAnsi="宋体"/>
          <w:b/>
          <w:color w:val="auto"/>
          <w:sz w:val="24"/>
          <w:szCs w:val="24"/>
        </w:rPr>
        <w:t>注：</w:t>
      </w:r>
      <w:r>
        <w:rPr>
          <w:rFonts w:hint="eastAsia" w:ascii="宋体" w:hAnsi="宋体"/>
          <w:color w:val="auto"/>
          <w:sz w:val="24"/>
          <w:szCs w:val="24"/>
        </w:rPr>
        <w:t>参加政府采购活动的中小企业/残疾人单位应提供《中小企业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投标文件的有效性</w:t>
      </w:r>
      <w:r>
        <w:rPr>
          <w:rFonts w:hint="eastAsia" w:ascii="宋体" w:hAnsi="宋体"/>
          <w:color w:val="auto"/>
          <w:sz w:val="24"/>
          <w:szCs w:val="24"/>
          <w:lang w:eastAsia="zh-CN"/>
        </w:rPr>
        <w:t>，</w:t>
      </w:r>
      <w:r>
        <w:rPr>
          <w:rFonts w:hint="eastAsia" w:ascii="宋体" w:hAnsi="宋体"/>
          <w:color w:val="auto"/>
          <w:sz w:val="24"/>
          <w:szCs w:val="24"/>
        </w:rPr>
        <w:t>对既属于监狱企业、福利企业，同时又满足中小微企业规定的投标单位，其价格扣除仅适用一次。</w:t>
      </w:r>
    </w:p>
    <w:p w14:paraId="4DFF6DE8">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①根据财政部、国家发展改革委《关于印发〈节能产品政府采购实施意见〉的通知》（财库〔2004〕185号）所投产品属于节能产品政府采购清单所列产品，在技术、服务同等的条件下，应当优先采用清单中的节能产品；</w:t>
      </w:r>
    </w:p>
    <w:p w14:paraId="33A22A02">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②所投产品为“环境标志产品政府采购清单”所列产品，在性能、技术、服务等指标同等的条件下，应当优先采用；</w:t>
      </w:r>
    </w:p>
    <w:p w14:paraId="45E864E5">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③节能产品根据《国务院办公厅关于建立政府强制采购节能产品制度的通知》国办发</w:t>
      </w:r>
      <w:r>
        <w:rPr>
          <w:rFonts w:hint="eastAsia" w:ascii="宋体" w:hAnsi="宋体"/>
          <w:color w:val="auto"/>
          <w:sz w:val="24"/>
          <w:szCs w:val="24"/>
          <w:lang w:eastAsia="zh-CN"/>
        </w:rPr>
        <w:t>〔</w:t>
      </w:r>
      <w:r>
        <w:rPr>
          <w:rFonts w:hint="eastAsia" w:ascii="宋体" w:hAnsi="宋体"/>
          <w:color w:val="auto"/>
          <w:sz w:val="24"/>
          <w:szCs w:val="24"/>
        </w:rPr>
        <w:t>2007</w:t>
      </w:r>
      <w:r>
        <w:rPr>
          <w:rFonts w:hint="eastAsia" w:ascii="宋体" w:hAnsi="宋体"/>
          <w:color w:val="auto"/>
          <w:sz w:val="24"/>
          <w:szCs w:val="24"/>
          <w:lang w:eastAsia="zh-CN"/>
        </w:rPr>
        <w:t>〕</w:t>
      </w:r>
      <w:r>
        <w:rPr>
          <w:rFonts w:hint="eastAsia" w:ascii="宋体" w:hAnsi="宋体"/>
          <w:color w:val="auto"/>
          <w:sz w:val="24"/>
          <w:szCs w:val="24"/>
        </w:rPr>
        <w:t>51号的规定，以中国政府采购网（http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//www.ccgp.gov.cn/）公布的最新一期节能产品政府采购清单为准；</w:t>
      </w:r>
    </w:p>
    <w:p w14:paraId="2450B5AD">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④环境标志产品根据《环境标志产品政府采购实施的意见》（财库</w:t>
      </w:r>
      <w:r>
        <w:rPr>
          <w:rFonts w:hint="eastAsia" w:ascii="宋体" w:hAnsi="宋体"/>
          <w:color w:val="auto"/>
          <w:sz w:val="24"/>
          <w:szCs w:val="24"/>
          <w:lang w:eastAsia="zh-CN"/>
        </w:rPr>
        <w:t>〔2006〕90号</w:t>
      </w:r>
      <w:r>
        <w:rPr>
          <w:rFonts w:hint="eastAsia" w:ascii="宋体" w:hAnsi="宋体"/>
          <w:color w:val="auto"/>
          <w:sz w:val="24"/>
          <w:szCs w:val="24"/>
        </w:rPr>
        <w:t>）的规定，以中国政府采购网（http</w:t>
      </w:r>
      <w:r>
        <w:rPr>
          <w:rFonts w:hint="eastAsia" w:ascii="宋体" w:hAnsi="宋体"/>
          <w:color w:val="auto"/>
          <w:sz w:val="24"/>
          <w:szCs w:val="24"/>
          <w:lang w:eastAsia="zh-CN"/>
        </w:rPr>
        <w:t>：</w:t>
      </w:r>
      <w:r>
        <w:rPr>
          <w:rFonts w:hint="eastAsia" w:ascii="宋体" w:hAnsi="宋体"/>
          <w:color w:val="auto"/>
          <w:sz w:val="24"/>
          <w:szCs w:val="24"/>
        </w:rPr>
        <w:t>//www.ccgp.gov.cn/）公布的最新一期环境标志产品政府采购清单为准；</w:t>
      </w:r>
    </w:p>
    <w:p w14:paraId="32C52E16">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⑤若节能、环保、环境标志清单内的产品仅是构成投标产品的部件、组件或零件的，则该投标产品不享受鼓励优惠政策；</w:t>
      </w:r>
    </w:p>
    <w:p w14:paraId="032D1F1B">
      <w:pPr>
        <w:pageBreakBefore w:val="0"/>
        <w:widowControl w:val="0"/>
        <w:kinsoku/>
        <w:wordWrap/>
        <w:overflowPunct/>
        <w:topLinePunct w:val="0"/>
        <w:bidi w:val="0"/>
        <w:spacing w:line="440" w:lineRule="exact"/>
        <w:ind w:firstLine="480" w:firstLineChars="200"/>
        <w:textAlignment w:val="auto"/>
        <w:rPr>
          <w:rFonts w:ascii="Calibri" w:hAnsi="Calibri"/>
          <w:color w:val="auto"/>
        </w:rPr>
      </w:pPr>
      <w:r>
        <w:rPr>
          <w:rFonts w:hint="eastAsia" w:ascii="宋体" w:hAnsi="宋体"/>
          <w:color w:val="auto"/>
          <w:sz w:val="24"/>
          <w:szCs w:val="24"/>
        </w:rPr>
        <w:t>（4）</w:t>
      </w:r>
      <w:r>
        <w:rPr>
          <w:rFonts w:ascii="宋体" w:hAnsi="宋体"/>
          <w:color w:val="auto"/>
          <w:sz w:val="24"/>
          <w:szCs w:val="24"/>
        </w:rPr>
        <w:t>关于信用记录的查询和使用</w:t>
      </w:r>
    </w:p>
    <w:p w14:paraId="23FDC2C8">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lang w:eastAsia="zh-CN"/>
        </w:rPr>
        <w:t>1.</w:t>
      </w:r>
      <w:r>
        <w:rPr>
          <w:rFonts w:hint="eastAsia" w:ascii="宋体" w:hAnsi="宋体"/>
          <w:color w:val="auto"/>
          <w:sz w:val="24"/>
          <w:szCs w:val="24"/>
        </w:rPr>
        <w:t>采购人将在</w:t>
      </w:r>
      <w:r>
        <w:rPr>
          <w:rFonts w:ascii="宋体" w:hAnsi="宋体"/>
          <w:color w:val="auto"/>
          <w:sz w:val="24"/>
          <w:szCs w:val="24"/>
        </w:rPr>
        <w:t>资格审查</w:t>
      </w:r>
      <w:r>
        <w:rPr>
          <w:rFonts w:hint="eastAsia" w:ascii="宋体" w:hAnsi="宋体"/>
          <w:color w:val="auto"/>
          <w:sz w:val="24"/>
          <w:szCs w:val="24"/>
        </w:rPr>
        <w:t>阶段通过【</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olor w:val="auto"/>
          <w:sz w:val="24"/>
          <w:szCs w:val="24"/>
        </w:rPr>
        <w:t>信用中国</w:t>
      </w:r>
      <w:r>
        <w:rPr>
          <w:rFonts w:hint="eastAsia" w:ascii="宋体" w:hAnsi="宋体"/>
          <w:color w:val="auto"/>
          <w:sz w:val="24"/>
          <w:szCs w:val="24"/>
        </w:rPr>
        <w:fldChar w:fldCharType="end"/>
      </w:r>
      <w:r>
        <w:rPr>
          <w:rFonts w:hint="eastAsia" w:ascii="宋体" w:hAnsi="宋体"/>
          <w:color w:val="auto"/>
          <w:sz w:val="24"/>
          <w:szCs w:val="24"/>
        </w:rPr>
        <w:t>（www.creditchina.gov.cn）】、【</w:t>
      </w:r>
      <w:r>
        <w:rPr>
          <w:rFonts w:hint="eastAsia"/>
          <w:color w:val="auto"/>
        </w:rPr>
        <w:fldChar w:fldCharType="begin"/>
      </w:r>
      <w:r>
        <w:rPr>
          <w:color w:val="auto"/>
        </w:rPr>
        <w:instrText xml:space="preserve"> HYPERLINK "http://www.ccgp.gov.cn/cr/list" </w:instrText>
      </w:r>
      <w:r>
        <w:rPr>
          <w:rFonts w:hint="eastAsia"/>
          <w:color w:val="auto"/>
        </w:rPr>
        <w:fldChar w:fldCharType="separate"/>
      </w:r>
      <w:r>
        <w:rPr>
          <w:rFonts w:hint="eastAsia" w:ascii="宋体" w:hAnsi="宋体"/>
          <w:color w:val="auto"/>
          <w:sz w:val="24"/>
          <w:szCs w:val="24"/>
        </w:rPr>
        <w:t>中国政府采购网</w:t>
      </w:r>
      <w:r>
        <w:rPr>
          <w:rFonts w:hint="eastAsia" w:ascii="宋体" w:hAnsi="宋体"/>
          <w:color w:val="auto"/>
          <w:sz w:val="24"/>
          <w:szCs w:val="24"/>
        </w:rPr>
        <w:fldChar w:fldCharType="end"/>
      </w:r>
      <w:r>
        <w:rPr>
          <w:rFonts w:hint="eastAsia" w:ascii="宋体" w:hAnsi="宋体"/>
          <w:color w:val="auto"/>
          <w:sz w:val="24"/>
          <w:szCs w:val="24"/>
        </w:rPr>
        <w:t>（www.ccgp.gov.cn）】网站对投标文件中的</w:t>
      </w:r>
      <w:r>
        <w:rPr>
          <w:rFonts w:hint="eastAsia" w:ascii="宋体" w:hAnsi="宋体" w:cs="宋体"/>
          <w:color w:val="auto"/>
          <w:sz w:val="24"/>
          <w:szCs w:val="24"/>
          <w:lang w:eastAsia="zh-CN"/>
        </w:rPr>
        <w:t>信用记录</w:t>
      </w:r>
      <w:r>
        <w:rPr>
          <w:rFonts w:hint="eastAsia" w:ascii="宋体" w:hAnsi="宋体"/>
          <w:color w:val="auto"/>
          <w:sz w:val="24"/>
          <w:szCs w:val="24"/>
        </w:rPr>
        <w:t>的信用情况进行甄别。对列入失信被执行人、重大税收违法案件当事人名单、政府采购严重违法失信行为记录名单及其他不符合《中华人民共和国政府采购法》第二十二条规定条件的投标人，根据《关于在政府采购活动中查询及使用信用记录有关问题的通知》（财库〔2016〕125号）的第二条第（三）款规定，其投标或中标资格将被取消；</w:t>
      </w:r>
    </w:p>
    <w:p w14:paraId="01F6F91B">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lang w:eastAsia="zh-CN"/>
        </w:rPr>
        <w:t>2.</w:t>
      </w:r>
      <w:r>
        <w:rPr>
          <w:rFonts w:hint="eastAsia" w:ascii="宋体" w:hAnsi="宋体"/>
          <w:color w:val="auto"/>
          <w:sz w:val="24"/>
          <w:szCs w:val="24"/>
        </w:rPr>
        <w:t>投标人在参加政府采购活动前3年内因违法经营被禁止在一定期限内参加政府采购活动，期限届满的，可以参加政府采购活动的，但投标人应提供相关证明材料；</w:t>
      </w:r>
    </w:p>
    <w:p w14:paraId="41991A63">
      <w:pPr>
        <w:pageBreakBefore w:val="0"/>
        <w:widowControl w:val="0"/>
        <w:kinsoku/>
        <w:wordWrap/>
        <w:overflowPunct/>
        <w:topLinePunct w:val="0"/>
        <w:bidi w:val="0"/>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lang w:eastAsia="zh-CN"/>
        </w:rPr>
        <w:t>3.</w:t>
      </w:r>
      <w:r>
        <w:rPr>
          <w:rFonts w:ascii="宋体" w:hAnsi="宋体"/>
          <w:color w:val="auto"/>
          <w:sz w:val="24"/>
          <w:szCs w:val="24"/>
        </w:rPr>
        <w:t>信用记录查询的截止时点为“</w:t>
      </w:r>
      <w:r>
        <w:rPr>
          <w:rFonts w:hint="eastAsia" w:ascii="宋体" w:hAnsi="宋体"/>
          <w:color w:val="auto"/>
          <w:sz w:val="24"/>
          <w:szCs w:val="24"/>
        </w:rPr>
        <w:t>招标文件</w:t>
      </w:r>
      <w:r>
        <w:rPr>
          <w:rFonts w:hint="eastAsia" w:ascii="宋体" w:hAnsi="宋体"/>
          <w:color w:val="auto"/>
          <w:sz w:val="24"/>
          <w:szCs w:val="24"/>
          <w:lang w:val="en-US" w:eastAsia="zh-CN"/>
        </w:rPr>
        <w:t>获取</w:t>
      </w:r>
      <w:r>
        <w:rPr>
          <w:rFonts w:hint="eastAsia" w:ascii="宋体" w:hAnsi="宋体"/>
          <w:color w:val="auto"/>
          <w:sz w:val="24"/>
          <w:szCs w:val="24"/>
        </w:rPr>
        <w:t>之日起至投标截止日前</w:t>
      </w:r>
      <w:r>
        <w:rPr>
          <w:rFonts w:ascii="宋体" w:hAnsi="宋体"/>
          <w:color w:val="auto"/>
          <w:sz w:val="24"/>
          <w:szCs w:val="24"/>
        </w:rPr>
        <w:t>”。</w:t>
      </w:r>
      <w:r>
        <w:rPr>
          <w:rFonts w:hint="eastAsia" w:ascii="宋体" w:hAnsi="宋体"/>
          <w:color w:val="auto"/>
          <w:sz w:val="24"/>
          <w:szCs w:val="24"/>
        </w:rPr>
        <w:t>信用记录查询的结果，将以截图保存至电子介质的形式留存。</w:t>
      </w:r>
      <w:bookmarkEnd w:id="64"/>
      <w:bookmarkEnd w:id="65"/>
      <w:bookmarkEnd w:id="66"/>
      <w:bookmarkEnd w:id="76"/>
    </w:p>
    <w:p w14:paraId="1AB204C9">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auto"/>
          <w:sz w:val="24"/>
          <w:szCs w:val="24"/>
        </w:rPr>
      </w:pPr>
      <w:bookmarkStart w:id="84" w:name="_Toc26541330"/>
      <w:bookmarkStart w:id="85" w:name="_Toc23258613"/>
      <w:r>
        <w:rPr>
          <w:rFonts w:hint="eastAsia" w:ascii="宋体" w:hAnsi="宋体" w:eastAsia="宋体" w:cs="Times New Roman"/>
          <w:color w:val="auto"/>
          <w:sz w:val="24"/>
          <w:szCs w:val="24"/>
        </w:rPr>
        <w:t>(5)融资政策</w:t>
      </w:r>
    </w:p>
    <w:p w14:paraId="33C42D2B">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根据《陕西省财政厅关于加快推进我省中小企业政府采购信用融资工作的通知》(陕财办采(2020)15号)文件精神，有融资需求的中标(成交)人可根据自身情况，在陕西省政府采购信用融资平台(含各市分平台)自主选择金融机构及其融资产品，凭政府采购中标(成交)通知书或政府采购合同向金融机构提出融资申请。陕西省政府采购信用融资平台网址</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http</w:t>
      </w:r>
      <w:r>
        <w:rPr>
          <w:rFonts w:hint="eastAsia" w:ascii="宋体" w:hAnsi="宋体" w:eastAsia="宋体" w:cs="Times New Roman"/>
          <w:color w:val="auto"/>
          <w:sz w:val="24"/>
          <w:szCs w:val="24"/>
          <w:lang w:eastAsia="zh-CN"/>
        </w:rPr>
        <w:t>：</w:t>
      </w:r>
      <w:r>
        <w:rPr>
          <w:rFonts w:hint="eastAsia" w:ascii="宋体" w:hAnsi="宋体" w:eastAsia="宋体" w:cs="Times New Roman"/>
          <w:color w:val="auto"/>
          <w:sz w:val="24"/>
          <w:szCs w:val="24"/>
        </w:rPr>
        <w:t>//www.ccgp-shaanxi.gov.cn/zcdservice/zcd/shanxi/s</w:t>
      </w:r>
      <w:r>
        <w:rPr>
          <w:rFonts w:hint="eastAsia" w:ascii="宋体" w:hAnsi="宋体" w:eastAsia="宋体" w:cs="Times New Roman"/>
          <w:color w:val="auto"/>
          <w:sz w:val="24"/>
          <w:szCs w:val="24"/>
          <w:lang w:eastAsia="zh-CN"/>
        </w:rPr>
        <w:t>。</w:t>
      </w:r>
    </w:p>
    <w:p w14:paraId="7E95D8D1">
      <w:pPr>
        <w:pStyle w:val="3"/>
        <w:pageBreakBefore w:val="0"/>
        <w:widowControl w:val="0"/>
        <w:kinsoku/>
        <w:wordWrap/>
        <w:overflowPunct/>
        <w:topLinePunct w:val="0"/>
        <w:bidi w:val="0"/>
        <w:spacing w:before="0" w:after="0" w:line="440" w:lineRule="exact"/>
        <w:jc w:val="center"/>
        <w:textAlignment w:val="auto"/>
        <w:rPr>
          <w:color w:val="auto"/>
        </w:rPr>
      </w:pPr>
      <w:r>
        <w:rPr>
          <w:rFonts w:hint="eastAsia"/>
          <w:color w:val="auto"/>
        </w:rPr>
        <w:t>九</w:t>
      </w:r>
      <w:r>
        <w:rPr>
          <w:color w:val="auto"/>
        </w:rPr>
        <w:t>、</w:t>
      </w:r>
      <w:r>
        <w:rPr>
          <w:rFonts w:hint="eastAsia"/>
          <w:color w:val="auto"/>
        </w:rPr>
        <w:t>其它事项</w:t>
      </w:r>
      <w:bookmarkEnd w:id="84"/>
      <w:bookmarkEnd w:id="85"/>
    </w:p>
    <w:p w14:paraId="119BCD3D">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ascii="宋体" w:hAnsi="宋体"/>
          <w:b/>
          <w:color w:val="auto"/>
          <w:sz w:val="24"/>
          <w:szCs w:val="24"/>
        </w:rPr>
      </w:pPr>
      <w:r>
        <w:rPr>
          <w:rFonts w:ascii="宋体" w:hAnsi="宋体"/>
          <w:b/>
          <w:color w:val="auto"/>
          <w:sz w:val="24"/>
          <w:szCs w:val="24"/>
        </w:rPr>
        <w:t>3</w:t>
      </w:r>
      <w:r>
        <w:rPr>
          <w:rFonts w:hint="eastAsia" w:ascii="宋体" w:hAnsi="宋体"/>
          <w:b/>
          <w:color w:val="auto"/>
          <w:sz w:val="24"/>
          <w:szCs w:val="24"/>
          <w:lang w:eastAsia="zh-CN"/>
        </w:rPr>
        <w:t>4.</w:t>
      </w:r>
      <w:r>
        <w:rPr>
          <w:rFonts w:hint="eastAsia" w:ascii="宋体" w:hAnsi="宋体"/>
          <w:b/>
          <w:color w:val="auto"/>
          <w:sz w:val="24"/>
          <w:szCs w:val="24"/>
        </w:rPr>
        <w:t>其它事项</w:t>
      </w:r>
    </w:p>
    <w:p w14:paraId="73A5B69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rPr>
      </w:pPr>
      <w:r>
        <w:rPr>
          <w:rFonts w:ascii="宋体" w:hAnsi="宋体"/>
          <w:color w:val="auto"/>
          <w:sz w:val="24"/>
          <w:szCs w:val="24"/>
        </w:rPr>
        <w:t>34.1</w:t>
      </w:r>
      <w:r>
        <w:rPr>
          <w:rFonts w:hint="eastAsia" w:ascii="宋体" w:hAnsi="宋体"/>
          <w:color w:val="auto"/>
          <w:sz w:val="24"/>
          <w:szCs w:val="24"/>
        </w:rPr>
        <w:t>投标截止时间结束后参加投标的供应商不足三家的，除采购任务取消情形外，招标采购单位应当报告财政管理部门，由财政管理部门按照以下原则处理：</w:t>
      </w:r>
    </w:p>
    <w:p w14:paraId="3868329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（1）招标文件没有不合理条款、招标公告时间及程序符合规定的，同意采取竞争性谈判、询价或者单一来源方式采购；</w:t>
      </w:r>
    </w:p>
    <w:p w14:paraId="68628B3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（2）招标文件存在不合理条款的，招标公告时间及程序不符合规定的，应予废标，并责成招标采购单位依法重新招标。</w:t>
      </w:r>
    </w:p>
    <w:p w14:paraId="6C661C0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sz w:val="24"/>
          <w:szCs w:val="24"/>
        </w:rPr>
      </w:pPr>
      <w:r>
        <w:rPr>
          <w:rFonts w:hint="eastAsia" w:ascii="宋体" w:hAnsi="宋体"/>
          <w:color w:val="auto"/>
          <w:sz w:val="24"/>
          <w:szCs w:val="24"/>
        </w:rPr>
        <w:t>在评标期间，出现符合专业条件的供应商或者对招标文件作出实质响应的供应商不足三家情形的，可以比照前款规定执行。</w:t>
      </w:r>
    </w:p>
    <w:p w14:paraId="667EB2C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ascii="宋体" w:hAnsi="宋体"/>
          <w:color w:val="auto"/>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ascii="宋体" w:hAnsi="宋体"/>
          <w:color w:val="auto"/>
          <w:sz w:val="24"/>
          <w:szCs w:val="24"/>
        </w:rPr>
        <w:t xml:space="preserve">34.2 </w:t>
      </w:r>
      <w:r>
        <w:rPr>
          <w:rFonts w:hint="eastAsia" w:ascii="宋体" w:hAnsi="宋体"/>
          <w:color w:val="auto"/>
          <w:sz w:val="24"/>
          <w:szCs w:val="24"/>
        </w:rPr>
        <w:t>中标或者成交供应商拒绝与采购人签订合同的，采购人可以按照评审报告推荐的中标或者成交候选单位名单排序，确定下一候选人为中标或者成交供应商，也可以重新开展政府采购活动。</w:t>
      </w:r>
      <w:bookmarkStart w:id="86" w:name="_Toc26541331"/>
      <w:bookmarkStart w:id="87" w:name="_Toc53"/>
      <w:bookmarkStart w:id="88" w:name="_Toc484198838"/>
      <w:bookmarkStart w:id="89" w:name="_Toc23258614"/>
    </w:p>
    <w:p w14:paraId="5C0AB804">
      <w:pPr>
        <w:pStyle w:val="2"/>
        <w:keepNext/>
        <w:keepLines/>
        <w:pageBreakBefore w:val="0"/>
        <w:widowControl w:val="0"/>
        <w:numPr>
          <w:ilvl w:val="0"/>
          <w:numId w:val="5"/>
        </w:numPr>
        <w:tabs>
          <w:tab w:val="left" w:pos="305"/>
          <w:tab w:val="center" w:pos="4598"/>
        </w:tabs>
        <w:kinsoku/>
        <w:wordWrap/>
        <w:overflowPunct/>
        <w:topLinePunct w:val="0"/>
        <w:autoSpaceDE/>
        <w:autoSpaceDN/>
        <w:bidi w:val="0"/>
        <w:adjustRightInd/>
        <w:snapToGrid/>
        <w:spacing w:before="240" w:after="240" w:line="240" w:lineRule="auto"/>
        <w:jc w:val="center"/>
        <w:textAlignment w:val="auto"/>
        <w:rPr>
          <w:rFonts w:ascii="宋体" w:hAnsi="宋体"/>
          <w:color w:val="auto"/>
        </w:rPr>
      </w:pPr>
      <w:bookmarkStart w:id="90" w:name="_Toc26197"/>
      <w:r>
        <w:rPr>
          <w:rFonts w:hint="eastAsia" w:ascii="宋体" w:hAnsi="宋体"/>
          <w:color w:val="auto"/>
        </w:rPr>
        <w:t>采购内容</w:t>
      </w:r>
      <w:r>
        <w:rPr>
          <w:rFonts w:hint="eastAsia" w:ascii="宋体" w:hAnsi="宋体"/>
          <w:color w:val="auto"/>
          <w:lang w:val="en-US" w:eastAsia="zh-CN"/>
        </w:rPr>
        <w:t>及要求</w:t>
      </w:r>
      <w:bookmarkEnd w:id="90"/>
    </w:p>
    <w:bookmarkEnd w:id="86"/>
    <w:bookmarkEnd w:id="87"/>
    <w:bookmarkEnd w:id="88"/>
    <w:bookmarkEnd w:id="89"/>
    <w:p w14:paraId="6B5B3A9D">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0" w:leftChars="0" w:firstLine="482" w:firstLineChars="200"/>
        <w:textAlignment w:val="auto"/>
        <w:rPr>
          <w:rFonts w:hint="eastAsia" w:ascii="宋体" w:hAnsi="宋体" w:eastAsia="宋体" w:cs="Times New Roman"/>
          <w:b/>
          <w:bCs/>
          <w:color w:val="auto"/>
          <w:kern w:val="2"/>
          <w:sz w:val="24"/>
          <w:szCs w:val="24"/>
          <w:lang w:val="en-US" w:eastAsia="zh-CN" w:bidi="ar-SA"/>
        </w:rPr>
      </w:pPr>
      <w:bookmarkStart w:id="91" w:name="_Toc26541332"/>
      <w:bookmarkStart w:id="92" w:name="_Toc484890084"/>
      <w:bookmarkStart w:id="93" w:name="_Toc23258621"/>
      <w:r>
        <w:rPr>
          <w:rFonts w:hint="eastAsia" w:ascii="宋体" w:hAnsi="宋体" w:eastAsia="宋体" w:cs="Times New Roman"/>
          <w:b/>
          <w:bCs/>
          <w:color w:val="auto"/>
          <w:kern w:val="2"/>
          <w:sz w:val="24"/>
          <w:szCs w:val="24"/>
          <w:lang w:val="en-US" w:eastAsia="zh-CN" w:bidi="ar-SA"/>
        </w:rPr>
        <w:t>一、项目概况</w:t>
      </w:r>
    </w:p>
    <w:p w14:paraId="00738C81">
      <w:pPr>
        <w:pageBreakBefore w:val="0"/>
        <w:widowControl w:val="0"/>
        <w:kinsoku/>
        <w:wordWrap/>
        <w:overflowPunct/>
        <w:topLinePunct w:val="0"/>
        <w:bidi w:val="0"/>
        <w:spacing w:line="440" w:lineRule="exact"/>
        <w:ind w:firstLine="480" w:firstLineChars="200"/>
        <w:textAlignment w:val="auto"/>
        <w:rPr>
          <w:rFonts w:hint="eastAsia" w:ascii="宋体" w:hAnsi="宋体" w:eastAsia="宋体" w:cs="Times New Roman"/>
          <w:b w:val="0"/>
          <w:bCs w:val="0"/>
          <w:color w:val="auto"/>
          <w:kern w:val="2"/>
          <w:sz w:val="24"/>
          <w:szCs w:val="24"/>
          <w:lang w:val="en-US" w:eastAsia="zh-CN" w:bidi="ar-SA"/>
        </w:rPr>
      </w:pPr>
      <w:r>
        <w:rPr>
          <w:rFonts w:hint="eastAsia" w:ascii="宋体" w:hAnsi="宋体" w:eastAsia="宋体" w:cs="宋体"/>
          <w:sz w:val="24"/>
          <w:szCs w:val="24"/>
          <w:lang w:val="en-US" w:eastAsia="zh-CN"/>
        </w:rPr>
        <w:t>本</w:t>
      </w:r>
      <w:r>
        <w:rPr>
          <w:rFonts w:ascii="宋体" w:hAnsi="宋体" w:eastAsia="宋体" w:cs="宋体"/>
          <w:sz w:val="24"/>
          <w:szCs w:val="24"/>
        </w:rPr>
        <w:t xml:space="preserve">项目预算 </w:t>
      </w:r>
      <w:r>
        <w:rPr>
          <w:rFonts w:hint="eastAsia" w:ascii="宋体" w:hAnsi="宋体" w:cs="宋体"/>
          <w:sz w:val="24"/>
          <w:szCs w:val="24"/>
          <w:lang w:eastAsia="zh-CN"/>
        </w:rPr>
        <w:t>560000.00</w:t>
      </w:r>
      <w:r>
        <w:rPr>
          <w:rFonts w:ascii="宋体" w:hAnsi="宋体" w:eastAsia="宋体" w:cs="宋体"/>
          <w:sz w:val="24"/>
          <w:szCs w:val="24"/>
        </w:rPr>
        <w:t xml:space="preserve"> 元</w:t>
      </w:r>
      <w:r>
        <w:rPr>
          <w:rFonts w:hint="eastAsia" w:ascii="宋体" w:hAnsi="宋体" w:eastAsia="宋体" w:cs="宋体"/>
          <w:sz w:val="24"/>
          <w:szCs w:val="24"/>
          <w:lang w:eastAsia="zh-CN"/>
        </w:rPr>
        <w:t>，</w:t>
      </w:r>
      <w:r>
        <w:rPr>
          <w:rFonts w:hint="eastAsia" w:ascii="宋体" w:hAnsi="宋体" w:eastAsia="宋体" w:cs="Times New Roman"/>
          <w:b w:val="0"/>
          <w:bCs w:val="0"/>
          <w:color w:val="auto"/>
          <w:kern w:val="2"/>
          <w:sz w:val="24"/>
          <w:szCs w:val="24"/>
          <w:lang w:val="en-US" w:eastAsia="zh-CN" w:bidi="ar-SA"/>
        </w:rPr>
        <w:t>采购安装3</w:t>
      </w:r>
      <w:r>
        <w:rPr>
          <w:rFonts w:hint="eastAsia" w:ascii="宋体" w:hAnsi="宋体" w:cs="Times New Roman"/>
          <w:b w:val="0"/>
          <w:bCs w:val="0"/>
          <w:color w:val="auto"/>
          <w:kern w:val="2"/>
          <w:sz w:val="24"/>
          <w:szCs w:val="24"/>
          <w:lang w:val="en-US" w:eastAsia="zh-CN" w:bidi="ar-SA"/>
        </w:rPr>
        <w:t>0</w:t>
      </w:r>
      <w:r>
        <w:rPr>
          <w:rFonts w:hint="eastAsia" w:ascii="宋体" w:hAnsi="宋体" w:eastAsia="宋体" w:cs="Times New Roman"/>
          <w:b w:val="0"/>
          <w:bCs w:val="0"/>
          <w:color w:val="auto"/>
          <w:kern w:val="2"/>
          <w:sz w:val="24"/>
          <w:szCs w:val="24"/>
          <w:lang w:val="en-US" w:eastAsia="zh-CN" w:bidi="ar-SA"/>
        </w:rPr>
        <w:t>套AI课桌</w:t>
      </w:r>
      <w:r>
        <w:rPr>
          <w:rFonts w:hint="eastAsia" w:ascii="宋体" w:hAnsi="宋体" w:cs="Times New Roman"/>
          <w:b w:val="0"/>
          <w:bCs w:val="0"/>
          <w:color w:val="auto"/>
          <w:kern w:val="2"/>
          <w:sz w:val="24"/>
          <w:szCs w:val="24"/>
          <w:lang w:val="en-US" w:eastAsia="zh-CN" w:bidi="ar-SA"/>
        </w:rPr>
        <w:t>、1套</w:t>
      </w:r>
      <w:r>
        <w:rPr>
          <w:rFonts w:hint="eastAsia" w:ascii="宋体" w:hAnsi="宋体" w:eastAsia="宋体" w:cs="Times New Roman"/>
          <w:b w:val="0"/>
          <w:bCs w:val="0"/>
          <w:color w:val="auto"/>
          <w:kern w:val="2"/>
          <w:sz w:val="24"/>
          <w:szCs w:val="24"/>
          <w:lang w:val="en-US" w:eastAsia="zh-CN" w:bidi="ar-SA"/>
        </w:rPr>
        <w:t>AI</w:t>
      </w:r>
      <w:r>
        <w:rPr>
          <w:rFonts w:hint="eastAsia" w:ascii="宋体" w:hAnsi="宋体" w:cs="Times New Roman"/>
          <w:b w:val="0"/>
          <w:bCs w:val="0"/>
          <w:color w:val="auto"/>
          <w:kern w:val="2"/>
          <w:sz w:val="24"/>
          <w:szCs w:val="24"/>
          <w:lang w:val="en-US" w:eastAsia="zh-CN" w:bidi="ar-SA"/>
        </w:rPr>
        <w:t>讲</w:t>
      </w:r>
      <w:r>
        <w:rPr>
          <w:rFonts w:hint="eastAsia" w:ascii="宋体" w:hAnsi="宋体" w:eastAsia="宋体" w:cs="Times New Roman"/>
          <w:b w:val="0"/>
          <w:bCs w:val="0"/>
          <w:color w:val="auto"/>
          <w:kern w:val="2"/>
          <w:sz w:val="24"/>
          <w:szCs w:val="24"/>
          <w:lang w:val="en-US" w:eastAsia="zh-CN" w:bidi="ar-SA"/>
        </w:rPr>
        <w:t>桌及</w:t>
      </w:r>
      <w:r>
        <w:rPr>
          <w:rFonts w:hint="eastAsia" w:ascii="宋体" w:hAnsi="宋体" w:cs="Times New Roman"/>
          <w:b w:val="0"/>
          <w:bCs w:val="0"/>
          <w:color w:val="auto"/>
          <w:kern w:val="2"/>
          <w:sz w:val="24"/>
          <w:szCs w:val="24"/>
          <w:lang w:val="en-US" w:eastAsia="zh-CN" w:bidi="ar-SA"/>
        </w:rPr>
        <w:t>1套智慧课堂</w:t>
      </w:r>
      <w:r>
        <w:rPr>
          <w:rFonts w:hint="eastAsia" w:ascii="宋体" w:hAnsi="宋体" w:eastAsia="宋体" w:cs="Times New Roman"/>
          <w:b w:val="0"/>
          <w:bCs w:val="0"/>
          <w:color w:val="auto"/>
          <w:kern w:val="2"/>
          <w:sz w:val="24"/>
          <w:szCs w:val="24"/>
          <w:lang w:val="en-US" w:eastAsia="zh-CN" w:bidi="ar-SA"/>
        </w:rPr>
        <w:t>系统，装配一间生成式人工智能多功能智慧教室，作为我校推进“AI+教育”的重要平台，服务于人工智能课程教学、教师培训、跨学科融合及创新</w:t>
      </w:r>
      <w:r>
        <w:rPr>
          <w:rFonts w:hint="eastAsia" w:ascii="宋体" w:hAnsi="宋体" w:cs="Times New Roman"/>
          <w:b w:val="0"/>
          <w:bCs w:val="0"/>
          <w:color w:val="auto"/>
          <w:kern w:val="2"/>
          <w:sz w:val="24"/>
          <w:szCs w:val="24"/>
          <w:lang w:val="en-US" w:eastAsia="zh-CN" w:bidi="ar-SA"/>
        </w:rPr>
        <w:t>。</w:t>
      </w:r>
    </w:p>
    <w:p w14:paraId="73A8E6A8">
      <w:pPr>
        <w:numPr>
          <w:ilvl w:val="0"/>
          <w:numId w:val="6"/>
        </w:numPr>
        <w:ind w:firstLine="482" w:firstLineChars="200"/>
        <w:rPr>
          <w:rFonts w:hint="default" w:ascii="宋体" w:hAnsi="宋体" w:eastAsia="宋体" w:cs="Times New Roman"/>
          <w:b/>
          <w:bCs/>
          <w:color w:val="auto"/>
          <w:kern w:val="2"/>
          <w:sz w:val="24"/>
          <w:szCs w:val="24"/>
          <w:lang w:val="en-US" w:eastAsia="zh-CN" w:bidi="ar-SA"/>
        </w:rPr>
      </w:pPr>
      <w:r>
        <w:rPr>
          <w:rFonts w:hint="eastAsia" w:ascii="宋体" w:hAnsi="宋体" w:eastAsia="宋体" w:cs="Times New Roman"/>
          <w:b/>
          <w:bCs/>
          <w:color w:val="auto"/>
          <w:kern w:val="2"/>
          <w:sz w:val="24"/>
          <w:szCs w:val="24"/>
          <w:lang w:val="en-US" w:eastAsia="zh-CN" w:bidi="ar-SA"/>
        </w:rPr>
        <w:t>采购清单</w:t>
      </w:r>
      <w:r>
        <w:rPr>
          <w:rFonts w:hint="eastAsia" w:ascii="宋体" w:hAnsi="宋体" w:cs="Times New Roman"/>
          <w:b/>
          <w:bCs/>
          <w:color w:val="auto"/>
          <w:kern w:val="2"/>
          <w:sz w:val="24"/>
          <w:szCs w:val="24"/>
          <w:lang w:val="en-US" w:eastAsia="zh-CN" w:bidi="ar-SA"/>
        </w:rPr>
        <w:t>及</w:t>
      </w:r>
      <w:r>
        <w:rPr>
          <w:rFonts w:hint="eastAsia" w:ascii="宋体" w:hAnsi="宋体" w:eastAsia="宋体" w:cs="Times New Roman"/>
          <w:b/>
          <w:bCs/>
          <w:color w:val="auto"/>
          <w:kern w:val="2"/>
          <w:sz w:val="24"/>
          <w:szCs w:val="24"/>
          <w:lang w:val="en-US" w:eastAsia="zh-CN" w:bidi="ar-SA"/>
        </w:rPr>
        <w:t>技术参数</w:t>
      </w:r>
    </w:p>
    <w:tbl>
      <w:tblPr>
        <w:tblStyle w:val="116"/>
        <w:tblW w:w="14205" w:type="dxa"/>
        <w:tblInd w:w="71" w:type="dxa"/>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Layout w:type="fixed"/>
        <w:tblCellMar>
          <w:top w:w="0" w:type="dxa"/>
          <w:left w:w="0" w:type="dxa"/>
          <w:bottom w:w="0" w:type="dxa"/>
          <w:right w:w="0" w:type="dxa"/>
        </w:tblCellMar>
      </w:tblPr>
      <w:tblGrid>
        <w:gridCol w:w="487"/>
        <w:gridCol w:w="615"/>
        <w:gridCol w:w="801"/>
        <w:gridCol w:w="10947"/>
        <w:gridCol w:w="666"/>
        <w:gridCol w:w="689"/>
      </w:tblGrid>
      <w:tr w14:paraId="608B1764">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664" w:hRule="atLeast"/>
        </w:trPr>
        <w:tc>
          <w:tcPr>
            <w:tcW w:w="487" w:type="dxa"/>
            <w:tcBorders>
              <w:top w:val="single" w:color="1F2329" w:sz="4" w:space="0"/>
              <w:left w:val="single" w:color="1F2329" w:sz="4" w:space="0"/>
              <w:bottom w:val="single" w:color="1F2329" w:sz="4" w:space="0"/>
              <w:right w:val="single" w:color="1F2329" w:sz="4" w:space="0"/>
            </w:tcBorders>
            <w:textDirection w:val="tbRlV"/>
          </w:tcPr>
          <w:p w14:paraId="0E83E2A5">
            <w:pPr>
              <w:pStyle w:val="100"/>
              <w:autoSpaceDE w:val="0"/>
              <w:autoSpaceDN w:val="0"/>
              <w:spacing w:before="118" w:line="208" w:lineRule="auto"/>
              <w:ind w:left="54"/>
              <w:rPr>
                <w:rFonts w:hint="eastAsia"/>
              </w:rPr>
            </w:pPr>
            <w:r>
              <w:rPr>
                <w:rFonts w:hint="eastAsia"/>
                <w:spacing w:val="-1"/>
              </w:rPr>
              <w:t>序</w:t>
            </w:r>
            <w:r>
              <w:rPr>
                <w:rFonts w:hint="eastAsia"/>
                <w:spacing w:val="-47"/>
              </w:rPr>
              <w:t xml:space="preserve"> </w:t>
            </w:r>
            <w:r>
              <w:rPr>
                <w:rFonts w:hint="eastAsia"/>
                <w:spacing w:val="-1"/>
              </w:rPr>
              <w:t>号</w:t>
            </w:r>
          </w:p>
        </w:tc>
        <w:tc>
          <w:tcPr>
            <w:tcW w:w="615" w:type="dxa"/>
            <w:tcBorders>
              <w:top w:val="single" w:color="1F2329" w:sz="4" w:space="0"/>
              <w:left w:val="single" w:color="1F2329" w:sz="4" w:space="0"/>
              <w:bottom w:val="single" w:color="1F2329" w:sz="4" w:space="0"/>
              <w:right w:val="single" w:color="1F2329" w:sz="4" w:space="0"/>
            </w:tcBorders>
          </w:tcPr>
          <w:p w14:paraId="44780C5D">
            <w:pPr>
              <w:pStyle w:val="100"/>
              <w:autoSpaceDE w:val="0"/>
              <w:autoSpaceDN w:val="0"/>
              <w:spacing w:before="211" w:line="218" w:lineRule="auto"/>
              <w:ind w:left="65"/>
              <w:rPr>
                <w:rFonts w:hint="eastAsia"/>
              </w:rPr>
            </w:pPr>
            <w:r>
              <w:rPr>
                <w:rFonts w:hint="eastAsia"/>
                <w:spacing w:val="-5"/>
              </w:rPr>
              <w:t>类别</w:t>
            </w:r>
          </w:p>
        </w:tc>
        <w:tc>
          <w:tcPr>
            <w:tcW w:w="801" w:type="dxa"/>
            <w:tcBorders>
              <w:top w:val="single" w:color="1F2329" w:sz="4" w:space="0"/>
              <w:left w:val="single" w:color="1F2329" w:sz="4" w:space="0"/>
              <w:bottom w:val="single" w:color="1F2329" w:sz="4" w:space="0"/>
              <w:right w:val="single" w:color="1F2329" w:sz="4" w:space="0"/>
            </w:tcBorders>
          </w:tcPr>
          <w:p w14:paraId="720330C9">
            <w:pPr>
              <w:pStyle w:val="100"/>
              <w:autoSpaceDE w:val="0"/>
              <w:autoSpaceDN w:val="0"/>
              <w:spacing w:before="211" w:line="220" w:lineRule="auto"/>
              <w:ind w:left="163"/>
              <w:rPr>
                <w:rFonts w:hint="eastAsia"/>
              </w:rPr>
            </w:pPr>
            <w:r>
              <w:rPr>
                <w:rFonts w:hint="eastAsia"/>
                <w:spacing w:val="-7"/>
              </w:rPr>
              <w:t>名称</w:t>
            </w:r>
          </w:p>
        </w:tc>
        <w:tc>
          <w:tcPr>
            <w:tcW w:w="10945" w:type="dxa"/>
            <w:tcBorders>
              <w:top w:val="single" w:color="1F2329" w:sz="4" w:space="0"/>
              <w:left w:val="single" w:color="1F2329" w:sz="4" w:space="0"/>
              <w:bottom w:val="single" w:color="1F2329" w:sz="4" w:space="0"/>
              <w:right w:val="single" w:color="1F2329" w:sz="4" w:space="0"/>
            </w:tcBorders>
          </w:tcPr>
          <w:p w14:paraId="6772D6DD">
            <w:pPr>
              <w:pStyle w:val="100"/>
              <w:autoSpaceDE w:val="0"/>
              <w:autoSpaceDN w:val="0"/>
              <w:spacing w:before="211" w:line="218" w:lineRule="auto"/>
              <w:ind w:left="4999"/>
              <w:rPr>
                <w:rFonts w:hint="eastAsia"/>
              </w:rPr>
            </w:pPr>
            <w:r>
              <w:rPr>
                <w:rFonts w:hint="eastAsia"/>
                <w:spacing w:val="-3"/>
              </w:rPr>
              <w:t>参数规格</w:t>
            </w:r>
          </w:p>
        </w:tc>
        <w:tc>
          <w:tcPr>
            <w:tcW w:w="666" w:type="dxa"/>
            <w:tcBorders>
              <w:top w:val="single" w:color="1F2329" w:sz="4" w:space="0"/>
              <w:left w:val="single" w:color="1F2329" w:sz="4" w:space="0"/>
              <w:bottom w:val="single" w:color="1F2329" w:sz="4" w:space="0"/>
              <w:right w:val="single" w:color="1F2329" w:sz="4" w:space="0"/>
            </w:tcBorders>
          </w:tcPr>
          <w:p w14:paraId="372EE197">
            <w:pPr>
              <w:pStyle w:val="100"/>
              <w:autoSpaceDE w:val="0"/>
              <w:autoSpaceDN w:val="0"/>
              <w:spacing w:before="210" w:line="218" w:lineRule="auto"/>
              <w:ind w:left="102"/>
              <w:rPr>
                <w:rFonts w:hint="eastAsia"/>
              </w:rPr>
            </w:pPr>
            <w:r>
              <w:rPr>
                <w:rFonts w:hint="eastAsia"/>
                <w:spacing w:val="-6"/>
              </w:rPr>
              <w:t>单位</w:t>
            </w:r>
          </w:p>
        </w:tc>
        <w:tc>
          <w:tcPr>
            <w:tcW w:w="689" w:type="dxa"/>
            <w:tcBorders>
              <w:top w:val="single" w:color="1F2329" w:sz="4" w:space="0"/>
              <w:left w:val="single" w:color="1F2329" w:sz="4" w:space="0"/>
              <w:bottom w:val="single" w:color="1F2329" w:sz="4" w:space="0"/>
              <w:right w:val="single" w:color="1F2329" w:sz="4" w:space="0"/>
            </w:tcBorders>
          </w:tcPr>
          <w:p w14:paraId="40E38882">
            <w:pPr>
              <w:pStyle w:val="100"/>
              <w:autoSpaceDE w:val="0"/>
              <w:autoSpaceDN w:val="0"/>
              <w:spacing w:before="211" w:line="218" w:lineRule="auto"/>
              <w:ind w:left="113"/>
              <w:rPr>
                <w:rFonts w:hint="eastAsia"/>
              </w:rPr>
            </w:pPr>
            <w:r>
              <w:rPr>
                <w:rFonts w:hint="eastAsia"/>
                <w:spacing w:val="-6"/>
              </w:rPr>
              <w:t>数量</w:t>
            </w:r>
          </w:p>
        </w:tc>
      </w:tr>
      <w:tr w14:paraId="7566DA6A">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4369" w:hRule="atLeast"/>
        </w:trPr>
        <w:tc>
          <w:tcPr>
            <w:tcW w:w="487" w:type="dxa"/>
            <w:tcBorders>
              <w:top w:val="single" w:color="1F2329" w:sz="4" w:space="0"/>
              <w:left w:val="single" w:color="1F2329" w:sz="4" w:space="0"/>
              <w:bottom w:val="single" w:color="1F2329" w:sz="4" w:space="0"/>
              <w:right w:val="single" w:color="1F2329" w:sz="4" w:space="0"/>
            </w:tcBorders>
          </w:tcPr>
          <w:p w14:paraId="1D6EC98B">
            <w:pPr>
              <w:autoSpaceDE w:val="0"/>
              <w:autoSpaceDN w:val="0"/>
              <w:rPr>
                <w:sz w:val="20"/>
              </w:rPr>
            </w:pPr>
          </w:p>
          <w:p w14:paraId="3A791631">
            <w:pPr>
              <w:autoSpaceDE w:val="0"/>
              <w:autoSpaceDN w:val="0"/>
              <w:rPr>
                <w:sz w:val="20"/>
              </w:rPr>
            </w:pPr>
          </w:p>
          <w:p w14:paraId="0A7DC669">
            <w:pPr>
              <w:autoSpaceDE w:val="0"/>
              <w:autoSpaceDN w:val="0"/>
              <w:rPr>
                <w:sz w:val="20"/>
              </w:rPr>
            </w:pPr>
          </w:p>
          <w:p w14:paraId="62E3C027">
            <w:pPr>
              <w:autoSpaceDE w:val="0"/>
              <w:autoSpaceDN w:val="0"/>
              <w:rPr>
                <w:sz w:val="20"/>
              </w:rPr>
            </w:pPr>
          </w:p>
          <w:p w14:paraId="7C3636AE">
            <w:pPr>
              <w:autoSpaceDE w:val="0"/>
              <w:autoSpaceDN w:val="0"/>
              <w:rPr>
                <w:sz w:val="20"/>
              </w:rPr>
            </w:pPr>
          </w:p>
          <w:p w14:paraId="4808D1D4">
            <w:pPr>
              <w:autoSpaceDE w:val="0"/>
              <w:autoSpaceDN w:val="0"/>
              <w:rPr>
                <w:sz w:val="20"/>
              </w:rPr>
            </w:pPr>
          </w:p>
          <w:p w14:paraId="038E545D">
            <w:pPr>
              <w:autoSpaceDE w:val="0"/>
              <w:autoSpaceDN w:val="0"/>
              <w:rPr>
                <w:sz w:val="20"/>
              </w:rPr>
            </w:pPr>
          </w:p>
          <w:p w14:paraId="03405552">
            <w:pPr>
              <w:autoSpaceDE w:val="0"/>
              <w:autoSpaceDN w:val="0"/>
              <w:rPr>
                <w:sz w:val="20"/>
              </w:rPr>
            </w:pPr>
          </w:p>
          <w:p w14:paraId="5DB76B9A">
            <w:pPr>
              <w:autoSpaceDE w:val="0"/>
              <w:autoSpaceDN w:val="0"/>
              <w:rPr>
                <w:sz w:val="20"/>
              </w:rPr>
            </w:pPr>
          </w:p>
          <w:p w14:paraId="658BDCCF">
            <w:pPr>
              <w:autoSpaceDE w:val="0"/>
              <w:autoSpaceDN w:val="0"/>
              <w:rPr>
                <w:sz w:val="20"/>
              </w:rPr>
            </w:pPr>
          </w:p>
          <w:p w14:paraId="08726E0E">
            <w:pPr>
              <w:pStyle w:val="100"/>
              <w:autoSpaceDE w:val="0"/>
              <w:autoSpaceDN w:val="0"/>
              <w:spacing w:before="78"/>
              <w:ind w:left="205"/>
              <w:rPr>
                <w:rFonts w:hint="eastAsia"/>
              </w:rPr>
            </w:pPr>
            <w:r>
              <w:rPr>
                <w:rFonts w:hint="eastAsia"/>
              </w:rPr>
              <w:t>1</w:t>
            </w:r>
          </w:p>
        </w:tc>
        <w:tc>
          <w:tcPr>
            <w:tcW w:w="615" w:type="dxa"/>
            <w:tcBorders>
              <w:top w:val="single" w:color="1F2329" w:sz="4" w:space="0"/>
              <w:left w:val="single" w:color="1F2329" w:sz="4" w:space="0"/>
              <w:bottom w:val="single" w:color="1F2329" w:sz="4" w:space="0"/>
              <w:right w:val="single" w:color="1F2329" w:sz="4" w:space="0"/>
            </w:tcBorders>
          </w:tcPr>
          <w:p w14:paraId="07B58B44">
            <w:pPr>
              <w:autoSpaceDE w:val="0"/>
              <w:autoSpaceDN w:val="0"/>
              <w:spacing w:line="249" w:lineRule="auto"/>
              <w:rPr>
                <w:sz w:val="20"/>
              </w:rPr>
            </w:pPr>
          </w:p>
          <w:p w14:paraId="53D0B6FB">
            <w:pPr>
              <w:autoSpaceDE w:val="0"/>
              <w:autoSpaceDN w:val="0"/>
              <w:spacing w:line="249" w:lineRule="auto"/>
              <w:rPr>
                <w:sz w:val="20"/>
              </w:rPr>
            </w:pPr>
          </w:p>
          <w:p w14:paraId="1F0AC364">
            <w:pPr>
              <w:autoSpaceDE w:val="0"/>
              <w:autoSpaceDN w:val="0"/>
              <w:spacing w:line="249" w:lineRule="auto"/>
              <w:rPr>
                <w:sz w:val="20"/>
              </w:rPr>
            </w:pPr>
          </w:p>
          <w:p w14:paraId="18EAEE87">
            <w:pPr>
              <w:autoSpaceDE w:val="0"/>
              <w:autoSpaceDN w:val="0"/>
              <w:spacing w:line="249" w:lineRule="auto"/>
              <w:rPr>
                <w:sz w:val="20"/>
              </w:rPr>
            </w:pPr>
          </w:p>
          <w:p w14:paraId="4B5CD511">
            <w:pPr>
              <w:autoSpaceDE w:val="0"/>
              <w:autoSpaceDN w:val="0"/>
              <w:spacing w:line="249" w:lineRule="auto"/>
              <w:rPr>
                <w:sz w:val="20"/>
              </w:rPr>
            </w:pPr>
          </w:p>
          <w:p w14:paraId="3C31B8E9">
            <w:pPr>
              <w:autoSpaceDE w:val="0"/>
              <w:autoSpaceDN w:val="0"/>
              <w:spacing w:line="249" w:lineRule="auto"/>
              <w:rPr>
                <w:sz w:val="20"/>
              </w:rPr>
            </w:pPr>
          </w:p>
          <w:p w14:paraId="37F1EBE1">
            <w:pPr>
              <w:autoSpaceDE w:val="0"/>
              <w:autoSpaceDN w:val="0"/>
              <w:spacing w:line="249" w:lineRule="auto"/>
              <w:rPr>
                <w:sz w:val="20"/>
              </w:rPr>
            </w:pPr>
          </w:p>
          <w:p w14:paraId="7412B582">
            <w:pPr>
              <w:autoSpaceDE w:val="0"/>
              <w:autoSpaceDN w:val="0"/>
              <w:spacing w:line="249" w:lineRule="auto"/>
              <w:rPr>
                <w:sz w:val="20"/>
              </w:rPr>
            </w:pPr>
          </w:p>
          <w:p w14:paraId="720CC49E">
            <w:pPr>
              <w:autoSpaceDE w:val="0"/>
              <w:autoSpaceDN w:val="0"/>
              <w:spacing w:line="249" w:lineRule="auto"/>
              <w:rPr>
                <w:sz w:val="20"/>
              </w:rPr>
            </w:pPr>
          </w:p>
          <w:p w14:paraId="1E31C26E">
            <w:pPr>
              <w:pStyle w:val="100"/>
              <w:autoSpaceDE w:val="0"/>
              <w:autoSpaceDN w:val="0"/>
              <w:spacing w:before="78"/>
              <w:ind w:left="186" w:right="68" w:hanging="116"/>
              <w:rPr>
                <w:rFonts w:hint="eastAsia"/>
              </w:rPr>
            </w:pPr>
            <w:r>
              <w:rPr>
                <w:rFonts w:hint="eastAsia"/>
                <w:spacing w:val="-8"/>
              </w:rPr>
              <w:t>学生</w:t>
            </w:r>
            <w:r>
              <w:rPr>
                <w:rFonts w:hint="eastAsia"/>
              </w:rPr>
              <w:t>端</w:t>
            </w:r>
          </w:p>
        </w:tc>
        <w:tc>
          <w:tcPr>
            <w:tcW w:w="801" w:type="dxa"/>
            <w:tcBorders>
              <w:top w:val="single" w:color="1F2329" w:sz="4" w:space="0"/>
              <w:left w:val="single" w:color="1F2329" w:sz="4" w:space="0"/>
              <w:bottom w:val="single" w:color="1F2329" w:sz="4" w:space="0"/>
              <w:right w:val="single" w:color="1F2329" w:sz="4" w:space="0"/>
            </w:tcBorders>
          </w:tcPr>
          <w:p w14:paraId="37263A94">
            <w:pPr>
              <w:autoSpaceDE w:val="0"/>
              <w:autoSpaceDN w:val="0"/>
              <w:rPr>
                <w:sz w:val="20"/>
              </w:rPr>
            </w:pPr>
          </w:p>
          <w:p w14:paraId="24059AF1">
            <w:pPr>
              <w:autoSpaceDE w:val="0"/>
              <w:autoSpaceDN w:val="0"/>
              <w:rPr>
                <w:sz w:val="20"/>
              </w:rPr>
            </w:pPr>
          </w:p>
          <w:p w14:paraId="25F85D54">
            <w:pPr>
              <w:autoSpaceDE w:val="0"/>
              <w:autoSpaceDN w:val="0"/>
              <w:rPr>
                <w:sz w:val="20"/>
              </w:rPr>
            </w:pPr>
          </w:p>
          <w:p w14:paraId="2B160B3C">
            <w:pPr>
              <w:autoSpaceDE w:val="0"/>
              <w:autoSpaceDN w:val="0"/>
              <w:rPr>
                <w:sz w:val="20"/>
              </w:rPr>
            </w:pPr>
          </w:p>
          <w:p w14:paraId="282D77B5">
            <w:pPr>
              <w:autoSpaceDE w:val="0"/>
              <w:autoSpaceDN w:val="0"/>
              <w:rPr>
                <w:sz w:val="20"/>
              </w:rPr>
            </w:pPr>
          </w:p>
          <w:p w14:paraId="347F26A9">
            <w:pPr>
              <w:autoSpaceDE w:val="0"/>
              <w:autoSpaceDN w:val="0"/>
              <w:rPr>
                <w:sz w:val="20"/>
              </w:rPr>
            </w:pPr>
          </w:p>
          <w:p w14:paraId="14249DD4">
            <w:pPr>
              <w:autoSpaceDE w:val="0"/>
              <w:autoSpaceDN w:val="0"/>
              <w:rPr>
                <w:sz w:val="20"/>
              </w:rPr>
            </w:pPr>
          </w:p>
          <w:p w14:paraId="059C9048">
            <w:pPr>
              <w:autoSpaceDE w:val="0"/>
              <w:autoSpaceDN w:val="0"/>
              <w:rPr>
                <w:sz w:val="20"/>
              </w:rPr>
            </w:pPr>
          </w:p>
          <w:p w14:paraId="12368235">
            <w:pPr>
              <w:autoSpaceDE w:val="0"/>
              <w:autoSpaceDN w:val="0"/>
              <w:rPr>
                <w:sz w:val="20"/>
              </w:rPr>
            </w:pPr>
          </w:p>
          <w:p w14:paraId="54AD7E11">
            <w:pPr>
              <w:autoSpaceDE w:val="0"/>
              <w:autoSpaceDN w:val="0"/>
              <w:rPr>
                <w:sz w:val="20"/>
              </w:rPr>
            </w:pPr>
          </w:p>
          <w:p w14:paraId="2FAD42A9">
            <w:pPr>
              <w:pStyle w:val="100"/>
              <w:autoSpaceDE w:val="0"/>
              <w:autoSpaceDN w:val="0"/>
              <w:spacing w:before="78" w:line="218" w:lineRule="auto"/>
              <w:ind w:left="6"/>
              <w:rPr>
                <w:rFonts w:hint="eastAsia"/>
              </w:rPr>
            </w:pPr>
            <w:r>
              <w:rPr>
                <w:rFonts w:hint="eastAsia"/>
                <w:spacing w:val="-3"/>
              </w:rPr>
              <w:t>AI</w:t>
            </w:r>
            <w:r>
              <w:rPr>
                <w:rFonts w:hint="eastAsia"/>
                <w:spacing w:val="-59"/>
              </w:rPr>
              <w:t xml:space="preserve"> </w:t>
            </w:r>
            <w:r>
              <w:rPr>
                <w:rFonts w:hint="eastAsia"/>
                <w:spacing w:val="-3"/>
              </w:rPr>
              <w:t>课桌</w:t>
            </w:r>
          </w:p>
        </w:tc>
        <w:tc>
          <w:tcPr>
            <w:tcW w:w="10945" w:type="dxa"/>
            <w:tcBorders>
              <w:top w:val="single" w:color="1F2329" w:sz="4" w:space="0"/>
              <w:left w:val="single" w:color="1F2329" w:sz="4" w:space="0"/>
              <w:bottom w:val="single" w:color="1F2329" w:sz="4" w:space="0"/>
              <w:right w:val="single" w:color="1F2329" w:sz="4" w:space="0"/>
            </w:tcBorders>
          </w:tcPr>
          <w:p w14:paraId="62E7E64A">
            <w:pPr>
              <w:pStyle w:val="100"/>
              <w:autoSpaceDE w:val="0"/>
              <w:autoSpaceDN w:val="0"/>
              <w:spacing w:before="57" w:line="249" w:lineRule="auto"/>
              <w:ind w:left="17" w:right="9" w:firstLine="14"/>
              <w:rPr>
                <w:rFonts w:hint="eastAsia"/>
                <w:lang w:eastAsia="zh-CN"/>
              </w:rPr>
            </w:pPr>
            <w:r>
              <w:rPr>
                <w:lang w:eastAsia="zh-CN"/>
              </w:rPr>
              <w:t>1.</w:t>
            </w:r>
            <w:r>
              <w:rPr>
                <w:rFonts w:hint="eastAsia"/>
                <w:lang w:eastAsia="zh-CN"/>
              </w:rPr>
              <w:t>智能学习显示模块：采用</w:t>
            </w:r>
            <w:r>
              <w:rPr>
                <w:lang w:eastAsia="zh-CN"/>
              </w:rPr>
              <w:t xml:space="preserve"> LED </w:t>
            </w:r>
            <w:r>
              <w:rPr>
                <w:rFonts w:hint="eastAsia"/>
                <w:lang w:eastAsia="zh-CN"/>
              </w:rPr>
              <w:t>背光液晶模组，显示尺寸不小于</w:t>
            </w:r>
            <w:r>
              <w:rPr>
                <w:lang w:eastAsia="zh-CN"/>
              </w:rPr>
              <w:t xml:space="preserve"> 23 </w:t>
            </w:r>
            <w:r>
              <w:rPr>
                <w:rFonts w:hint="eastAsia"/>
                <w:lang w:eastAsia="zh-CN"/>
              </w:rPr>
              <w:t>英寸，屏幕宽高比</w:t>
            </w:r>
            <w:r>
              <w:rPr>
                <w:lang w:eastAsia="zh-CN"/>
              </w:rPr>
              <w:t xml:space="preserve"> 16</w:t>
            </w:r>
            <w:r>
              <w:rPr>
                <w:rFonts w:hint="eastAsia"/>
                <w:lang w:eastAsia="zh-CN"/>
              </w:rPr>
              <w:t>：</w:t>
            </w:r>
            <w:r>
              <w:rPr>
                <w:lang w:eastAsia="zh-CN"/>
              </w:rPr>
              <w:t>9</w:t>
            </w:r>
            <w:r>
              <w:rPr>
                <w:rFonts w:hint="eastAsia"/>
                <w:lang w:eastAsia="zh-CN"/>
              </w:rPr>
              <w:t>，最大支持分辨率</w:t>
            </w:r>
            <w:r>
              <w:rPr>
                <w:lang w:eastAsia="zh-CN"/>
              </w:rPr>
              <w:t xml:space="preserve"> 1920*1080</w:t>
            </w:r>
            <w:r>
              <w:rPr>
                <w:rFonts w:hint="eastAsia"/>
                <w:lang w:eastAsia="zh-CN"/>
              </w:rPr>
              <w:t>。</w:t>
            </w:r>
          </w:p>
          <w:p w14:paraId="14C7D693">
            <w:pPr>
              <w:pStyle w:val="100"/>
              <w:autoSpaceDE w:val="0"/>
              <w:autoSpaceDN w:val="0"/>
              <w:spacing w:before="57" w:line="249" w:lineRule="auto"/>
              <w:ind w:left="17" w:right="9" w:firstLine="14"/>
              <w:rPr>
                <w:rFonts w:hint="eastAsia"/>
                <w:lang w:eastAsia="zh-CN"/>
              </w:rPr>
            </w:pPr>
            <w:r>
              <w:rPr>
                <w:lang w:eastAsia="zh-CN"/>
              </w:rPr>
              <w:t xml:space="preserve">2. </w:t>
            </w:r>
            <w:r>
              <w:rPr>
                <w:rFonts w:hint="eastAsia"/>
                <w:lang w:eastAsia="zh-CN"/>
              </w:rPr>
              <w:t>屏幕触控：屏幕采用人机交互触控模式，手指轻触式多点（不小于</w:t>
            </w:r>
            <w:r>
              <w:rPr>
                <w:lang w:eastAsia="zh-CN"/>
              </w:rPr>
              <w:t xml:space="preserve"> 8</w:t>
            </w:r>
            <w:r>
              <w:rPr>
                <w:rFonts w:hint="eastAsia"/>
                <w:lang w:eastAsia="zh-CN"/>
              </w:rPr>
              <w:t>点触控）互动体验。连续响应速度≤</w:t>
            </w:r>
            <w:r>
              <w:rPr>
                <w:lang w:eastAsia="zh-CN"/>
              </w:rPr>
              <w:t>40ms</w:t>
            </w:r>
            <w:r>
              <w:rPr>
                <w:rFonts w:hint="eastAsia"/>
                <w:lang w:eastAsia="zh-CN"/>
              </w:rPr>
              <w:t>，触摸精度≤±</w:t>
            </w:r>
            <w:r>
              <w:rPr>
                <w:lang w:eastAsia="zh-CN"/>
              </w:rPr>
              <w:t>3mm</w:t>
            </w:r>
            <w:r>
              <w:rPr>
                <w:rFonts w:hint="eastAsia"/>
                <w:lang w:eastAsia="zh-CN"/>
              </w:rPr>
              <w:t>。</w:t>
            </w:r>
          </w:p>
          <w:p w14:paraId="6D7AEE49">
            <w:pPr>
              <w:pStyle w:val="100"/>
              <w:autoSpaceDE w:val="0"/>
              <w:autoSpaceDN w:val="0"/>
              <w:spacing w:before="57" w:line="249" w:lineRule="auto"/>
              <w:ind w:left="17" w:right="9" w:firstLine="14"/>
              <w:rPr>
                <w:rFonts w:hint="eastAsia"/>
                <w:lang w:eastAsia="zh-CN"/>
              </w:rPr>
            </w:pPr>
            <w:r>
              <w:rPr>
                <w:lang w:eastAsia="zh-CN"/>
              </w:rPr>
              <w:t xml:space="preserve">3. </w:t>
            </w:r>
            <w:r>
              <w:rPr>
                <w:rFonts w:hint="eastAsia"/>
                <w:lang w:eastAsia="zh-CN"/>
              </w:rPr>
              <w:t>★屏幕支持专用智能手写笔进行数字绘画，具备原笔迹三维压感识别。</w:t>
            </w:r>
          </w:p>
          <w:p w14:paraId="642C4309">
            <w:pPr>
              <w:pStyle w:val="100"/>
              <w:autoSpaceDE w:val="0"/>
              <w:autoSpaceDN w:val="0"/>
              <w:spacing w:before="57" w:line="249" w:lineRule="auto"/>
              <w:ind w:left="17" w:right="9" w:firstLine="14"/>
              <w:rPr>
                <w:rFonts w:hint="eastAsia"/>
                <w:lang w:eastAsia="zh-CN"/>
              </w:rPr>
            </w:pPr>
            <w:r>
              <w:rPr>
                <w:lang w:eastAsia="zh-CN"/>
              </w:rPr>
              <w:t xml:space="preserve">4. </w:t>
            </w:r>
            <w:r>
              <w:rPr>
                <w:rFonts w:hint="eastAsia"/>
                <w:lang w:eastAsia="zh-CN"/>
              </w:rPr>
              <w:t>★要求符合人机交互的一体化设计：桌面与屏幕采用一体化双面设计，一面为完整桌面，一面为电脑显示屏幕，桌面和屏幕可在角度</w:t>
            </w:r>
            <w:r>
              <w:rPr>
                <w:lang w:eastAsia="zh-CN"/>
              </w:rPr>
              <w:t xml:space="preserve"> 0-180 °</w:t>
            </w:r>
            <w:r>
              <w:rPr>
                <w:rFonts w:hint="eastAsia"/>
                <w:lang w:eastAsia="zh-CN"/>
              </w:rPr>
              <w:t>之间调节和中轴翻转。显示器、主机、桌面、桌体采用一体化设计，通过外置电源适配器供电。</w:t>
            </w:r>
          </w:p>
          <w:p w14:paraId="6E332232">
            <w:pPr>
              <w:pStyle w:val="100"/>
              <w:autoSpaceDE w:val="0"/>
              <w:autoSpaceDN w:val="0"/>
              <w:spacing w:before="57" w:line="249" w:lineRule="auto"/>
              <w:ind w:left="17" w:right="9" w:firstLine="14"/>
              <w:rPr>
                <w:rFonts w:hint="eastAsia"/>
                <w:lang w:eastAsia="zh-CN"/>
              </w:rPr>
            </w:pPr>
            <w:r>
              <w:rPr>
                <w:lang w:eastAsia="zh-CN"/>
              </w:rPr>
              <w:t xml:space="preserve">5. </w:t>
            </w:r>
            <w:r>
              <w:rPr>
                <w:rFonts w:hint="eastAsia"/>
                <w:lang w:eastAsia="zh-CN"/>
              </w:rPr>
              <w:t>桌面显示屏翻转：桌面和显示屏可同时在角度</w:t>
            </w:r>
            <w:r>
              <w:rPr>
                <w:lang w:eastAsia="zh-CN"/>
              </w:rPr>
              <w:t xml:space="preserve"> 0-180°</w:t>
            </w:r>
            <w:r>
              <w:rPr>
                <w:rFonts w:hint="eastAsia"/>
                <w:lang w:eastAsia="zh-CN"/>
              </w:rPr>
              <w:t>手动调节翻转。</w:t>
            </w:r>
          </w:p>
          <w:p w14:paraId="271ADF4E">
            <w:pPr>
              <w:pStyle w:val="100"/>
              <w:autoSpaceDE w:val="0"/>
              <w:autoSpaceDN w:val="0"/>
              <w:spacing w:before="57" w:line="249" w:lineRule="auto"/>
              <w:ind w:left="17" w:right="9" w:firstLine="14"/>
              <w:rPr>
                <w:rFonts w:hint="eastAsia"/>
                <w:lang w:eastAsia="zh-CN"/>
              </w:rPr>
            </w:pPr>
            <w:r>
              <w:rPr>
                <w:lang w:eastAsia="zh-CN"/>
              </w:rPr>
              <w:t>6.</w:t>
            </w:r>
            <w:r>
              <w:rPr>
                <w:rFonts w:hint="eastAsia"/>
                <w:lang w:eastAsia="zh-CN"/>
              </w:rPr>
              <w:t>材质要求：台腿框架材质采用轻质铝合金材质，外观富有科技感。屏幕表面采用</w:t>
            </w:r>
            <w:r>
              <w:rPr>
                <w:lang w:eastAsia="zh-CN"/>
              </w:rPr>
              <w:t>AF</w:t>
            </w:r>
            <w:r>
              <w:rPr>
                <w:rFonts w:hint="eastAsia"/>
                <w:lang w:eastAsia="zh-CN"/>
              </w:rPr>
              <w:t>防指纹钢化玻璃，铝合金边框包边，防滑防撞，表面硬度≥</w:t>
            </w:r>
            <w:r>
              <w:rPr>
                <w:lang w:eastAsia="zh-CN"/>
              </w:rPr>
              <w:t>6H</w:t>
            </w:r>
            <w:r>
              <w:rPr>
                <w:rFonts w:hint="eastAsia"/>
                <w:lang w:eastAsia="zh-CN"/>
              </w:rPr>
              <w:t>。主屏采用零距离全贴合工艺，钢化玻璃和液晶之间零间隙，无空气层，减少反射、折射，使得显示和画面更加清晰通透，可视角度更广。</w:t>
            </w:r>
          </w:p>
          <w:p w14:paraId="6343F4CE">
            <w:pPr>
              <w:pStyle w:val="100"/>
              <w:autoSpaceDE w:val="0"/>
              <w:autoSpaceDN w:val="0"/>
              <w:spacing w:before="57" w:line="249" w:lineRule="auto"/>
              <w:ind w:left="17" w:right="9" w:firstLine="14"/>
              <w:rPr>
                <w:rFonts w:hint="eastAsia"/>
                <w:lang w:eastAsia="zh-CN"/>
              </w:rPr>
            </w:pPr>
            <w:r>
              <w:rPr>
                <w:lang w:eastAsia="zh-CN"/>
              </w:rPr>
              <w:t xml:space="preserve">7. </w:t>
            </w:r>
            <w:r>
              <w:rPr>
                <w:rFonts w:hint="eastAsia"/>
                <w:lang w:eastAsia="zh-CN"/>
              </w:rPr>
              <w:t>开关机键：屏幕面配置触摸式开关机键，具有一键开关机功能和开关机状态指示功能，便于管理维护。</w:t>
            </w:r>
          </w:p>
          <w:p w14:paraId="6089AF56">
            <w:pPr>
              <w:pStyle w:val="100"/>
              <w:autoSpaceDE w:val="0"/>
              <w:autoSpaceDN w:val="0"/>
              <w:spacing w:before="57" w:line="249" w:lineRule="auto"/>
              <w:ind w:left="17" w:right="9" w:firstLine="14"/>
              <w:rPr>
                <w:rFonts w:hint="eastAsia"/>
                <w:lang w:eastAsia="zh-CN"/>
              </w:rPr>
            </w:pPr>
            <w:r>
              <w:rPr>
                <w:lang w:eastAsia="zh-CN"/>
              </w:rPr>
              <w:t xml:space="preserve">8. </w:t>
            </w:r>
            <w:r>
              <w:rPr>
                <w:rFonts w:hint="eastAsia"/>
                <w:lang w:eastAsia="zh-CN"/>
              </w:rPr>
              <w:t>★</w:t>
            </w:r>
            <w:r>
              <w:rPr>
                <w:lang w:eastAsia="zh-CN"/>
              </w:rPr>
              <w:t>智能摄录模块：</w:t>
            </w:r>
            <w:r>
              <w:rPr>
                <w:rFonts w:hint="eastAsia"/>
                <w:lang w:eastAsia="zh-CN"/>
              </w:rPr>
              <w:t>屏幕内前置麦克风及高清前置摄像头，摄像头像素≥</w:t>
            </w:r>
            <w:r>
              <w:rPr>
                <w:lang w:eastAsia="zh-CN"/>
              </w:rPr>
              <w:t>200</w:t>
            </w:r>
            <w:r>
              <w:rPr>
                <w:rFonts w:hint="eastAsia"/>
                <w:lang w:eastAsia="zh-CN"/>
              </w:rPr>
              <w:t>万像素，可实现学生影像录制及播放，可以接受线上课堂和接受远程授课。</w:t>
            </w:r>
          </w:p>
          <w:p w14:paraId="1C8AD11F">
            <w:pPr>
              <w:pStyle w:val="100"/>
              <w:autoSpaceDE w:val="0"/>
              <w:autoSpaceDN w:val="0"/>
              <w:spacing w:before="1" w:line="216" w:lineRule="auto"/>
              <w:ind w:right="240"/>
              <w:rPr>
                <w:rFonts w:hint="eastAsia"/>
                <w:lang w:eastAsia="zh-CN"/>
              </w:rPr>
            </w:pPr>
            <w:r>
              <w:rPr>
                <w:lang w:eastAsia="zh-CN"/>
              </w:rPr>
              <w:t xml:space="preserve">9. </w:t>
            </w:r>
            <w:r>
              <w:rPr>
                <w:rFonts w:hint="eastAsia"/>
                <w:lang w:eastAsia="zh-CN"/>
              </w:rPr>
              <w:t>输入输出接口：包括</w:t>
            </w:r>
            <w:r>
              <w:rPr>
                <w:lang w:eastAsia="zh-CN"/>
              </w:rPr>
              <w:t xml:space="preserve"> USB </w:t>
            </w:r>
            <w:r>
              <w:rPr>
                <w:rFonts w:hint="eastAsia"/>
                <w:lang w:eastAsia="zh-CN"/>
              </w:rPr>
              <w:t>接口。电源接口。</w:t>
            </w:r>
            <w:r>
              <w:rPr>
                <w:lang w:eastAsia="zh-CN"/>
              </w:rPr>
              <w:t xml:space="preserve">RJ45 </w:t>
            </w:r>
            <w:r>
              <w:rPr>
                <w:rFonts w:hint="eastAsia"/>
                <w:lang w:eastAsia="zh-CN"/>
              </w:rPr>
              <w:t>接口。</w:t>
            </w:r>
            <w:r>
              <w:rPr>
                <w:lang w:eastAsia="zh-CN"/>
              </w:rPr>
              <w:t xml:space="preserve">HDMI </w:t>
            </w:r>
            <w:r>
              <w:rPr>
                <w:rFonts w:hint="eastAsia"/>
                <w:lang w:eastAsia="zh-CN"/>
              </w:rPr>
              <w:t>接口，</w:t>
            </w:r>
            <w:r>
              <w:rPr>
                <w:lang w:eastAsia="zh-CN"/>
              </w:rPr>
              <w:t xml:space="preserve">3.5mm </w:t>
            </w:r>
            <w:r>
              <w:rPr>
                <w:rFonts w:hint="eastAsia"/>
                <w:lang w:eastAsia="zh-CN"/>
              </w:rPr>
              <w:t>音频输出，</w:t>
            </w:r>
            <w:r>
              <w:rPr>
                <w:lang w:eastAsia="zh-CN"/>
              </w:rPr>
              <w:t>3.5mm MI</w:t>
            </w:r>
            <w:r>
              <w:rPr>
                <w:rFonts w:hint="eastAsia"/>
                <w:lang w:eastAsia="zh-CN"/>
              </w:rPr>
              <w:t>C输入。</w:t>
            </w:r>
          </w:p>
        </w:tc>
        <w:tc>
          <w:tcPr>
            <w:tcW w:w="666" w:type="dxa"/>
            <w:tcBorders>
              <w:top w:val="single" w:color="1F2329" w:sz="4" w:space="0"/>
              <w:left w:val="single" w:color="1F2329" w:sz="4" w:space="0"/>
              <w:bottom w:val="single" w:color="1F2329" w:sz="4" w:space="0"/>
              <w:right w:val="single" w:color="1F2329" w:sz="4" w:space="0"/>
            </w:tcBorders>
          </w:tcPr>
          <w:p w14:paraId="3A9ADC16">
            <w:pPr>
              <w:autoSpaceDE w:val="0"/>
              <w:autoSpaceDN w:val="0"/>
              <w:rPr>
                <w:sz w:val="20"/>
                <w:lang w:eastAsia="zh-CN"/>
              </w:rPr>
            </w:pPr>
          </w:p>
          <w:p w14:paraId="6234673D">
            <w:pPr>
              <w:autoSpaceDE w:val="0"/>
              <w:autoSpaceDN w:val="0"/>
              <w:rPr>
                <w:sz w:val="20"/>
                <w:lang w:eastAsia="zh-CN"/>
              </w:rPr>
            </w:pPr>
          </w:p>
          <w:p w14:paraId="500B97FF">
            <w:pPr>
              <w:autoSpaceDE w:val="0"/>
              <w:autoSpaceDN w:val="0"/>
              <w:rPr>
                <w:sz w:val="20"/>
                <w:lang w:eastAsia="zh-CN"/>
              </w:rPr>
            </w:pPr>
          </w:p>
          <w:p w14:paraId="2D25C8A4">
            <w:pPr>
              <w:autoSpaceDE w:val="0"/>
              <w:autoSpaceDN w:val="0"/>
              <w:rPr>
                <w:sz w:val="20"/>
                <w:lang w:eastAsia="zh-CN"/>
              </w:rPr>
            </w:pPr>
          </w:p>
          <w:p w14:paraId="1E32B5FD">
            <w:pPr>
              <w:autoSpaceDE w:val="0"/>
              <w:autoSpaceDN w:val="0"/>
              <w:rPr>
                <w:sz w:val="20"/>
                <w:lang w:eastAsia="zh-CN"/>
              </w:rPr>
            </w:pPr>
          </w:p>
          <w:p w14:paraId="264A813E">
            <w:pPr>
              <w:autoSpaceDE w:val="0"/>
              <w:autoSpaceDN w:val="0"/>
              <w:rPr>
                <w:sz w:val="20"/>
                <w:lang w:eastAsia="zh-CN"/>
              </w:rPr>
            </w:pPr>
          </w:p>
          <w:p w14:paraId="2B29BF63">
            <w:pPr>
              <w:autoSpaceDE w:val="0"/>
              <w:autoSpaceDN w:val="0"/>
              <w:rPr>
                <w:sz w:val="20"/>
                <w:lang w:eastAsia="zh-CN"/>
              </w:rPr>
            </w:pPr>
          </w:p>
          <w:p w14:paraId="2C5C1291">
            <w:pPr>
              <w:autoSpaceDE w:val="0"/>
              <w:autoSpaceDN w:val="0"/>
              <w:rPr>
                <w:sz w:val="20"/>
                <w:lang w:eastAsia="zh-CN"/>
              </w:rPr>
            </w:pPr>
          </w:p>
          <w:p w14:paraId="2FB3A18E">
            <w:pPr>
              <w:autoSpaceDE w:val="0"/>
              <w:autoSpaceDN w:val="0"/>
              <w:rPr>
                <w:sz w:val="20"/>
                <w:lang w:eastAsia="zh-CN"/>
              </w:rPr>
            </w:pPr>
          </w:p>
          <w:p w14:paraId="2FA0AEE8">
            <w:pPr>
              <w:autoSpaceDE w:val="0"/>
              <w:autoSpaceDN w:val="0"/>
              <w:rPr>
                <w:sz w:val="20"/>
                <w:lang w:eastAsia="zh-CN"/>
              </w:rPr>
            </w:pPr>
          </w:p>
          <w:p w14:paraId="1B576295">
            <w:pPr>
              <w:pStyle w:val="100"/>
              <w:autoSpaceDE w:val="0"/>
              <w:autoSpaceDN w:val="0"/>
              <w:spacing w:before="78" w:line="218" w:lineRule="auto"/>
              <w:ind w:left="221"/>
              <w:rPr>
                <w:rFonts w:hint="eastAsia"/>
              </w:rPr>
            </w:pPr>
            <w:r>
              <w:rPr>
                <w:rFonts w:hint="eastAsia"/>
              </w:rPr>
              <w:t>套</w:t>
            </w:r>
          </w:p>
        </w:tc>
        <w:tc>
          <w:tcPr>
            <w:tcW w:w="689" w:type="dxa"/>
            <w:tcBorders>
              <w:top w:val="single" w:color="1F2329" w:sz="4" w:space="0"/>
              <w:left w:val="single" w:color="1F2329" w:sz="4" w:space="0"/>
              <w:bottom w:val="single" w:color="1F2329" w:sz="4" w:space="0"/>
              <w:right w:val="single" w:color="1F2329" w:sz="4" w:space="0"/>
            </w:tcBorders>
          </w:tcPr>
          <w:p w14:paraId="2DB54DF5">
            <w:pPr>
              <w:autoSpaceDE w:val="0"/>
              <w:autoSpaceDN w:val="0"/>
              <w:rPr>
                <w:sz w:val="20"/>
              </w:rPr>
            </w:pPr>
          </w:p>
          <w:p w14:paraId="4F2DFBA7">
            <w:pPr>
              <w:autoSpaceDE w:val="0"/>
              <w:autoSpaceDN w:val="0"/>
              <w:rPr>
                <w:sz w:val="20"/>
              </w:rPr>
            </w:pPr>
          </w:p>
          <w:p w14:paraId="7C38C417">
            <w:pPr>
              <w:autoSpaceDE w:val="0"/>
              <w:autoSpaceDN w:val="0"/>
              <w:rPr>
                <w:sz w:val="20"/>
              </w:rPr>
            </w:pPr>
          </w:p>
          <w:p w14:paraId="33BC439F">
            <w:pPr>
              <w:autoSpaceDE w:val="0"/>
              <w:autoSpaceDN w:val="0"/>
              <w:rPr>
                <w:sz w:val="20"/>
              </w:rPr>
            </w:pPr>
          </w:p>
          <w:p w14:paraId="2E269427">
            <w:pPr>
              <w:autoSpaceDE w:val="0"/>
              <w:autoSpaceDN w:val="0"/>
              <w:rPr>
                <w:sz w:val="20"/>
              </w:rPr>
            </w:pPr>
          </w:p>
          <w:p w14:paraId="6C89C326">
            <w:pPr>
              <w:autoSpaceDE w:val="0"/>
              <w:autoSpaceDN w:val="0"/>
              <w:rPr>
                <w:sz w:val="20"/>
              </w:rPr>
            </w:pPr>
          </w:p>
          <w:p w14:paraId="2466871B">
            <w:pPr>
              <w:autoSpaceDE w:val="0"/>
              <w:autoSpaceDN w:val="0"/>
              <w:rPr>
                <w:sz w:val="20"/>
              </w:rPr>
            </w:pPr>
          </w:p>
          <w:p w14:paraId="74FCB3AE">
            <w:pPr>
              <w:autoSpaceDE w:val="0"/>
              <w:autoSpaceDN w:val="0"/>
              <w:rPr>
                <w:sz w:val="20"/>
              </w:rPr>
            </w:pPr>
          </w:p>
          <w:p w14:paraId="37E5BE9F">
            <w:pPr>
              <w:autoSpaceDE w:val="0"/>
              <w:autoSpaceDN w:val="0"/>
              <w:rPr>
                <w:sz w:val="20"/>
              </w:rPr>
            </w:pPr>
          </w:p>
          <w:p w14:paraId="7690CAEB">
            <w:pPr>
              <w:autoSpaceDE w:val="0"/>
              <w:autoSpaceDN w:val="0"/>
              <w:rPr>
                <w:sz w:val="20"/>
              </w:rPr>
            </w:pPr>
          </w:p>
          <w:p w14:paraId="14431B8F">
            <w:pPr>
              <w:pStyle w:val="100"/>
              <w:autoSpaceDE w:val="0"/>
              <w:autoSpaceDN w:val="0"/>
              <w:spacing w:before="78"/>
              <w:ind w:left="235"/>
              <w:rPr>
                <w:rFonts w:hint="eastAsia"/>
              </w:rPr>
            </w:pPr>
            <w:r>
              <w:rPr>
                <w:rFonts w:hint="eastAsia"/>
                <w:spacing w:val="-8"/>
              </w:rPr>
              <w:t>30</w:t>
            </w:r>
          </w:p>
        </w:tc>
      </w:tr>
    </w:tbl>
    <w:p w14:paraId="5D92FFCB">
      <w:pPr>
        <w:pStyle w:val="4"/>
        <w:pageBreakBefore w:val="0"/>
        <w:widowControl w:val="0"/>
        <w:numPr>
          <w:ilvl w:val="0"/>
          <w:numId w:val="0"/>
        </w:numPr>
        <w:kinsoku/>
        <w:wordWrap/>
        <w:overflowPunct/>
        <w:topLinePunct w:val="0"/>
        <w:autoSpaceDE/>
        <w:autoSpaceDN/>
        <w:bidi w:val="0"/>
        <w:adjustRightInd/>
        <w:snapToGrid/>
        <w:spacing w:before="0" w:beforeAutospacing="0" w:after="0" w:afterAutospacing="0" w:line="480" w:lineRule="exact"/>
        <w:ind w:leftChars="200"/>
        <w:textAlignment w:val="auto"/>
        <w:rPr>
          <w:rFonts w:hint="default" w:ascii="宋体" w:hAnsi="宋体" w:cs="宋体"/>
          <w:color w:val="auto"/>
          <w:sz w:val="24"/>
          <w:szCs w:val="24"/>
          <w:lang w:val="en-US" w:eastAsia="zh-CN"/>
        </w:rPr>
      </w:pPr>
    </w:p>
    <w:p w14:paraId="7B1E480C">
      <w:pPr>
        <w:keepNext w:val="0"/>
        <w:keepLines w:val="0"/>
        <w:pageBreakBefore w:val="0"/>
        <w:widowControl w:val="0"/>
        <w:kinsoku/>
        <w:wordWrap/>
        <w:overflowPunct/>
        <w:topLinePunct w:val="0"/>
        <w:autoSpaceDE/>
        <w:autoSpaceDN/>
        <w:bidi w:val="0"/>
        <w:adjustRightInd/>
        <w:snapToGrid/>
        <w:spacing w:line="520" w:lineRule="exact"/>
        <w:ind w:firstLine="482" w:firstLineChars="200"/>
        <w:textAlignment w:val="auto"/>
        <w:rPr>
          <w:rFonts w:hint="eastAsia" w:ascii="宋体" w:hAnsi="宋体" w:cs="宋体"/>
          <w:b/>
          <w:bCs/>
          <w:color w:val="auto"/>
          <w:kern w:val="0"/>
          <w:sz w:val="24"/>
          <w:szCs w:val="24"/>
          <w:lang w:val="en-US" w:eastAsia="zh-CN" w:bidi="ar-SA"/>
        </w:rPr>
      </w:pPr>
    </w:p>
    <w:tbl>
      <w:tblPr>
        <w:tblStyle w:val="116"/>
        <w:tblW w:w="14205" w:type="dxa"/>
        <w:tblInd w:w="69" w:type="dxa"/>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Layout w:type="fixed"/>
        <w:tblCellMar>
          <w:top w:w="0" w:type="dxa"/>
          <w:left w:w="0" w:type="dxa"/>
          <w:bottom w:w="0" w:type="dxa"/>
          <w:right w:w="0" w:type="dxa"/>
        </w:tblCellMar>
      </w:tblPr>
      <w:tblGrid>
        <w:gridCol w:w="487"/>
        <w:gridCol w:w="615"/>
        <w:gridCol w:w="801"/>
        <w:gridCol w:w="10947"/>
        <w:gridCol w:w="666"/>
        <w:gridCol w:w="689"/>
      </w:tblGrid>
      <w:tr w14:paraId="6B5BCD5A">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3021" w:hRule="atLeast"/>
        </w:trPr>
        <w:tc>
          <w:tcPr>
            <w:tcW w:w="487" w:type="dxa"/>
            <w:tcBorders>
              <w:top w:val="single" w:color="1F2329" w:sz="4" w:space="0"/>
              <w:left w:val="single" w:color="1F2329" w:sz="4" w:space="0"/>
              <w:bottom w:val="single" w:color="1F2329" w:sz="4" w:space="0"/>
              <w:right w:val="single" w:color="1F2329" w:sz="4" w:space="0"/>
            </w:tcBorders>
          </w:tcPr>
          <w:p w14:paraId="54535A50">
            <w:pPr>
              <w:autoSpaceDE w:val="0"/>
              <w:autoSpaceDN w:val="0"/>
              <w:rPr>
                <w:sz w:val="20"/>
              </w:rPr>
            </w:pPr>
          </w:p>
        </w:tc>
        <w:tc>
          <w:tcPr>
            <w:tcW w:w="615" w:type="dxa"/>
            <w:tcBorders>
              <w:top w:val="single" w:color="1F2329" w:sz="4" w:space="0"/>
              <w:left w:val="single" w:color="1F2329" w:sz="4" w:space="0"/>
              <w:bottom w:val="single" w:color="1F2329" w:sz="4" w:space="0"/>
              <w:right w:val="single" w:color="1F2329" w:sz="4" w:space="0"/>
            </w:tcBorders>
          </w:tcPr>
          <w:p w14:paraId="6E86AEC7">
            <w:pPr>
              <w:autoSpaceDE w:val="0"/>
              <w:autoSpaceDN w:val="0"/>
              <w:rPr>
                <w:sz w:val="20"/>
              </w:rPr>
            </w:pPr>
          </w:p>
        </w:tc>
        <w:tc>
          <w:tcPr>
            <w:tcW w:w="801" w:type="dxa"/>
            <w:tcBorders>
              <w:top w:val="single" w:color="1F2329" w:sz="4" w:space="0"/>
              <w:left w:val="single" w:color="1F2329" w:sz="4" w:space="0"/>
              <w:bottom w:val="single" w:color="1F2329" w:sz="4" w:space="0"/>
              <w:right w:val="single" w:color="1F2329" w:sz="4" w:space="0"/>
            </w:tcBorders>
          </w:tcPr>
          <w:p w14:paraId="3E147F10">
            <w:pPr>
              <w:autoSpaceDE w:val="0"/>
              <w:autoSpaceDN w:val="0"/>
              <w:rPr>
                <w:sz w:val="20"/>
              </w:rPr>
            </w:pPr>
          </w:p>
        </w:tc>
        <w:tc>
          <w:tcPr>
            <w:tcW w:w="10947" w:type="dxa"/>
            <w:tcBorders>
              <w:top w:val="single" w:color="1F2329" w:sz="4" w:space="0"/>
              <w:left w:val="single" w:color="1F2329" w:sz="4" w:space="0"/>
              <w:bottom w:val="single" w:color="1F2329" w:sz="4" w:space="0"/>
              <w:right w:val="single" w:color="1F2329" w:sz="4" w:space="0"/>
            </w:tcBorders>
          </w:tcPr>
          <w:p w14:paraId="79CF140E">
            <w:pPr>
              <w:pStyle w:val="100"/>
              <w:autoSpaceDE w:val="0"/>
              <w:autoSpaceDN w:val="0"/>
              <w:spacing w:before="30" w:line="218" w:lineRule="auto"/>
              <w:rPr>
                <w:rFonts w:hint="eastAsia"/>
                <w:lang w:eastAsia="zh-CN"/>
              </w:rPr>
            </w:pPr>
            <w:r>
              <w:rPr>
                <w:lang w:eastAsia="zh-CN"/>
              </w:rPr>
              <w:t xml:space="preserve">10. </w:t>
            </w:r>
            <w:r>
              <w:rPr>
                <w:rFonts w:hint="eastAsia"/>
                <w:lang w:eastAsia="zh-CN"/>
              </w:rPr>
              <w:t>学习算力模块：</w:t>
            </w:r>
            <w:r>
              <w:rPr>
                <w:lang w:eastAsia="zh-CN"/>
              </w:rPr>
              <w:t>中央处理器最大频率</w:t>
            </w:r>
            <w:r>
              <w:rPr>
                <w:spacing w:val="-1"/>
                <w:lang w:eastAsia="zh-CN"/>
              </w:rPr>
              <w:t>≥4.0GHz，</w:t>
            </w:r>
            <w:r>
              <w:rPr>
                <w:rFonts w:hint="eastAsia"/>
                <w:lang w:eastAsia="zh-CN"/>
              </w:rPr>
              <w:t>运行内存≥</w:t>
            </w:r>
            <w:r>
              <w:rPr>
                <w:lang w:eastAsia="zh-CN"/>
              </w:rPr>
              <w:t xml:space="preserve"> 8G</w:t>
            </w:r>
            <w:r>
              <w:rPr>
                <w:rFonts w:hint="eastAsia"/>
                <w:lang w:eastAsia="zh-CN"/>
              </w:rPr>
              <w:t>，固态存储空间≥</w:t>
            </w:r>
            <w:r>
              <w:rPr>
                <w:lang w:eastAsia="zh-CN"/>
              </w:rPr>
              <w:t>256G</w:t>
            </w:r>
            <w:r>
              <w:rPr>
                <w:rFonts w:hint="eastAsia"/>
                <w:lang w:eastAsia="zh-CN"/>
              </w:rPr>
              <w:t>。</w:t>
            </w:r>
          </w:p>
          <w:p w14:paraId="4282E03D">
            <w:pPr>
              <w:pStyle w:val="100"/>
              <w:autoSpaceDE w:val="0"/>
              <w:autoSpaceDN w:val="0"/>
              <w:spacing w:before="30" w:line="218" w:lineRule="auto"/>
              <w:rPr>
                <w:rFonts w:hint="eastAsia"/>
                <w:lang w:eastAsia="zh-CN"/>
              </w:rPr>
            </w:pPr>
            <w:r>
              <w:rPr>
                <w:lang w:eastAsia="zh-CN"/>
              </w:rPr>
              <w:t xml:space="preserve">11. </w:t>
            </w:r>
            <w:r>
              <w:rPr>
                <w:rFonts w:hint="eastAsia"/>
                <w:lang w:eastAsia="zh-CN"/>
              </w:rPr>
              <w:t>★高度调节：通过手动摇臂，可实现屏幕及桌面离地高度在</w:t>
            </w:r>
            <w:r>
              <w:rPr>
                <w:lang w:eastAsia="zh-CN"/>
              </w:rPr>
              <w:t xml:space="preserve"> 700mm—900mm </w:t>
            </w:r>
            <w:r>
              <w:rPr>
                <w:rFonts w:hint="eastAsia"/>
                <w:lang w:eastAsia="zh-CN"/>
              </w:rPr>
              <w:t>之间无级调节。</w:t>
            </w:r>
          </w:p>
          <w:p w14:paraId="162603EF">
            <w:pPr>
              <w:pStyle w:val="100"/>
              <w:autoSpaceDE w:val="0"/>
              <w:autoSpaceDN w:val="0"/>
              <w:spacing w:before="30" w:line="218" w:lineRule="auto"/>
              <w:rPr>
                <w:rFonts w:hint="eastAsia"/>
                <w:lang w:eastAsia="zh-CN"/>
              </w:rPr>
            </w:pPr>
            <w:r>
              <w:rPr>
                <w:lang w:eastAsia="zh-CN"/>
              </w:rPr>
              <w:t xml:space="preserve">12. </w:t>
            </w:r>
            <w:r>
              <w:rPr>
                <w:rFonts w:hint="eastAsia"/>
                <w:lang w:eastAsia="zh-CN"/>
              </w:rPr>
              <w:t>设备供电方式：整机采用外置电源适配器单电源线供电，安全可靠，机身输入电压低于</w:t>
            </w:r>
            <w:r>
              <w:rPr>
                <w:lang w:eastAsia="zh-CN"/>
              </w:rPr>
              <w:t xml:space="preserve"> 20V</w:t>
            </w:r>
            <w:r>
              <w:rPr>
                <w:rFonts w:hint="eastAsia"/>
                <w:lang w:eastAsia="zh-CN"/>
              </w:rPr>
              <w:t>，整机功耗不超过</w:t>
            </w:r>
            <w:r>
              <w:rPr>
                <w:lang w:eastAsia="zh-CN"/>
              </w:rPr>
              <w:t xml:space="preserve"> 90W</w:t>
            </w:r>
            <w:r>
              <w:rPr>
                <w:rFonts w:hint="eastAsia"/>
                <w:lang w:eastAsia="zh-CN"/>
              </w:rPr>
              <w:t>。</w:t>
            </w:r>
          </w:p>
          <w:p w14:paraId="1B5E82C9">
            <w:pPr>
              <w:pStyle w:val="100"/>
              <w:autoSpaceDE w:val="0"/>
              <w:autoSpaceDN w:val="0"/>
              <w:spacing w:before="30" w:line="218" w:lineRule="auto"/>
              <w:rPr>
                <w:rFonts w:hint="eastAsia"/>
                <w:lang w:eastAsia="zh-CN"/>
              </w:rPr>
            </w:pPr>
            <w:r>
              <w:rPr>
                <w:lang w:eastAsia="zh-CN"/>
              </w:rPr>
              <w:t xml:space="preserve">13. </w:t>
            </w:r>
            <w:r>
              <w:rPr>
                <w:rFonts w:hint="eastAsia"/>
                <w:lang w:eastAsia="zh-CN"/>
              </w:rPr>
              <w:t>网络支持：支持网线接入网络。</w:t>
            </w:r>
          </w:p>
          <w:p w14:paraId="0210DC45">
            <w:pPr>
              <w:pStyle w:val="100"/>
              <w:autoSpaceDE w:val="0"/>
              <w:autoSpaceDN w:val="0"/>
              <w:spacing w:before="30" w:line="218" w:lineRule="auto"/>
              <w:rPr>
                <w:rFonts w:hint="eastAsia"/>
                <w:lang w:eastAsia="zh-CN"/>
              </w:rPr>
            </w:pPr>
            <w:r>
              <w:rPr>
                <w:lang w:eastAsia="zh-CN"/>
              </w:rPr>
              <w:t xml:space="preserve">14. </w:t>
            </w:r>
            <w:r>
              <w:rPr>
                <w:rFonts w:hint="eastAsia"/>
                <w:lang w:eastAsia="zh-CN"/>
              </w:rPr>
              <w:t>操作系统：</w:t>
            </w:r>
            <w:r>
              <w:rPr>
                <w:lang w:eastAsia="zh-CN"/>
              </w:rPr>
              <w:t xml:space="preserve">64 </w:t>
            </w:r>
            <w:r>
              <w:rPr>
                <w:rFonts w:hint="eastAsia"/>
                <w:lang w:eastAsia="zh-CN"/>
              </w:rPr>
              <w:t>位</w:t>
            </w:r>
            <w:r>
              <w:rPr>
                <w:lang w:eastAsia="zh-CN"/>
              </w:rPr>
              <w:t xml:space="preserve"> Windows </w:t>
            </w:r>
            <w:r>
              <w:rPr>
                <w:rFonts w:hint="eastAsia"/>
                <w:lang w:eastAsia="zh-CN"/>
              </w:rPr>
              <w:t>操作系统，支持</w:t>
            </w:r>
            <w:r>
              <w:rPr>
                <w:lang w:eastAsia="zh-CN"/>
              </w:rPr>
              <w:t xml:space="preserve"> Windows </w:t>
            </w:r>
            <w:r>
              <w:rPr>
                <w:rFonts w:hint="eastAsia"/>
                <w:lang w:eastAsia="zh-CN"/>
              </w:rPr>
              <w:t>应用软件安装和卸载，支持重装系统。支持</w:t>
            </w:r>
            <w:r>
              <w:rPr>
                <w:lang w:eastAsia="zh-CN"/>
              </w:rPr>
              <w:t xml:space="preserve"> WMV</w:t>
            </w:r>
            <w:r>
              <w:rPr>
                <w:rFonts w:hint="eastAsia"/>
                <w:lang w:eastAsia="zh-CN"/>
              </w:rPr>
              <w:t>、</w:t>
            </w:r>
            <w:r>
              <w:rPr>
                <w:lang w:eastAsia="zh-CN"/>
              </w:rPr>
              <w:t>AVI</w:t>
            </w:r>
            <w:r>
              <w:rPr>
                <w:rFonts w:hint="eastAsia"/>
                <w:lang w:eastAsia="zh-CN"/>
              </w:rPr>
              <w:t>、</w:t>
            </w:r>
            <w:r>
              <w:rPr>
                <w:lang w:eastAsia="zh-CN"/>
              </w:rPr>
              <w:t>FLV</w:t>
            </w:r>
            <w:r>
              <w:rPr>
                <w:rFonts w:hint="eastAsia"/>
                <w:lang w:eastAsia="zh-CN"/>
              </w:rPr>
              <w:t>、</w:t>
            </w:r>
            <w:r>
              <w:rPr>
                <w:lang w:eastAsia="zh-CN"/>
              </w:rPr>
              <w:t>RM</w:t>
            </w:r>
            <w:r>
              <w:rPr>
                <w:rFonts w:hint="eastAsia"/>
                <w:lang w:eastAsia="zh-CN"/>
              </w:rPr>
              <w:t>、</w:t>
            </w:r>
            <w:r>
              <w:rPr>
                <w:lang w:eastAsia="zh-CN"/>
              </w:rPr>
              <w:t>RMVB</w:t>
            </w:r>
            <w:r>
              <w:rPr>
                <w:rFonts w:hint="eastAsia"/>
                <w:lang w:eastAsia="zh-CN"/>
              </w:rPr>
              <w:t>、</w:t>
            </w:r>
            <w:r>
              <w:rPr>
                <w:lang w:eastAsia="zh-CN"/>
              </w:rPr>
              <w:t>MPEG</w:t>
            </w:r>
            <w:r>
              <w:rPr>
                <w:rFonts w:hint="eastAsia"/>
                <w:lang w:eastAsia="zh-CN"/>
              </w:rPr>
              <w:t>、</w:t>
            </w:r>
            <w:r>
              <w:rPr>
                <w:lang w:eastAsia="zh-CN"/>
              </w:rPr>
              <w:t>TS</w:t>
            </w:r>
            <w:r>
              <w:rPr>
                <w:rFonts w:hint="eastAsia"/>
                <w:lang w:eastAsia="zh-CN"/>
              </w:rPr>
              <w:t>、</w:t>
            </w:r>
            <w:r>
              <w:rPr>
                <w:lang w:eastAsia="zh-CN"/>
              </w:rPr>
              <w:t xml:space="preserve">MP4 </w:t>
            </w:r>
            <w:r>
              <w:rPr>
                <w:rFonts w:hint="eastAsia"/>
                <w:lang w:eastAsia="zh-CN"/>
              </w:rPr>
              <w:t>等常用格式彩色视频播放，支持</w:t>
            </w:r>
            <w:r>
              <w:rPr>
                <w:lang w:eastAsia="zh-CN"/>
              </w:rPr>
              <w:t xml:space="preserve"> BMP</w:t>
            </w:r>
            <w:r>
              <w:rPr>
                <w:rFonts w:hint="eastAsia"/>
                <w:lang w:eastAsia="zh-CN"/>
              </w:rPr>
              <w:t>、</w:t>
            </w:r>
            <w:r>
              <w:rPr>
                <w:lang w:eastAsia="zh-CN"/>
              </w:rPr>
              <w:t>JPEG</w:t>
            </w:r>
            <w:r>
              <w:rPr>
                <w:rFonts w:hint="eastAsia"/>
                <w:lang w:eastAsia="zh-CN"/>
              </w:rPr>
              <w:t>、</w:t>
            </w:r>
            <w:r>
              <w:rPr>
                <w:lang w:eastAsia="zh-CN"/>
              </w:rPr>
              <w:t>PNG</w:t>
            </w:r>
            <w:r>
              <w:rPr>
                <w:rFonts w:hint="eastAsia"/>
                <w:lang w:eastAsia="zh-CN"/>
              </w:rPr>
              <w:t>、</w:t>
            </w:r>
            <w:r>
              <w:rPr>
                <w:lang w:eastAsia="zh-CN"/>
              </w:rPr>
              <w:t xml:space="preserve">GIF </w:t>
            </w:r>
            <w:r>
              <w:rPr>
                <w:rFonts w:hint="eastAsia"/>
                <w:lang w:eastAsia="zh-CN"/>
              </w:rPr>
              <w:t>等格式彩色图片查看等功能。</w:t>
            </w:r>
          </w:p>
          <w:p w14:paraId="4DE57434">
            <w:pPr>
              <w:pStyle w:val="100"/>
              <w:autoSpaceDE w:val="0"/>
              <w:autoSpaceDN w:val="0"/>
              <w:spacing w:before="30" w:line="218" w:lineRule="auto"/>
              <w:rPr>
                <w:rFonts w:hint="eastAsia"/>
                <w:lang w:eastAsia="zh-CN"/>
              </w:rPr>
            </w:pPr>
            <w:r>
              <w:rPr>
                <w:lang w:eastAsia="zh-CN"/>
              </w:rPr>
              <w:t xml:space="preserve">15. </w:t>
            </w:r>
            <w:r>
              <w:rPr>
                <w:rFonts w:hint="eastAsia"/>
                <w:lang w:eastAsia="zh-CN"/>
              </w:rPr>
              <w:t>护眼健康：支持软件调整屏显色温，一键去蓝光。</w:t>
            </w:r>
          </w:p>
          <w:p w14:paraId="4EB78D2A">
            <w:pPr>
              <w:pStyle w:val="100"/>
              <w:autoSpaceDE w:val="0"/>
              <w:autoSpaceDN w:val="0"/>
              <w:spacing w:before="30" w:line="218" w:lineRule="auto"/>
              <w:rPr>
                <w:rFonts w:hint="eastAsia"/>
                <w:lang w:eastAsia="zh-CN"/>
              </w:rPr>
            </w:pPr>
            <w:r>
              <w:rPr>
                <w:lang w:eastAsia="zh-CN"/>
              </w:rPr>
              <w:t xml:space="preserve">16. </w:t>
            </w:r>
            <w:r>
              <w:rPr>
                <w:rFonts w:hint="eastAsia"/>
                <w:lang w:eastAsia="zh-CN"/>
              </w:rPr>
              <w:t>要求支持一机多场景，在主系统界面上体现固定的功能图标，图标不可从用户界面进行移动和更改，通过触控可以直接打开虚拟仿真实验、数字绘画、仿真乐器等应用软件，可以一键进入国家教育智慧平台。支持仿真实验课堂、数字绘画课堂、数字音乐课堂等多场景教学。</w:t>
            </w:r>
          </w:p>
          <w:p w14:paraId="32776E41">
            <w:pPr>
              <w:pStyle w:val="100"/>
              <w:autoSpaceDE w:val="0"/>
              <w:autoSpaceDN w:val="0"/>
              <w:spacing w:before="30" w:line="218" w:lineRule="auto"/>
              <w:rPr>
                <w:rFonts w:hint="eastAsia"/>
                <w:lang w:eastAsia="zh-CN"/>
              </w:rPr>
            </w:pPr>
            <w:r>
              <w:rPr>
                <w:lang w:eastAsia="zh-CN"/>
              </w:rPr>
              <w:t xml:space="preserve">17. </w:t>
            </w:r>
            <w:r>
              <w:rPr>
                <w:rFonts w:hint="eastAsia"/>
                <w:lang w:eastAsia="zh-CN"/>
              </w:rPr>
              <w:t>★专用智能手写笔：充电式主动智能书写笔。具有柔性笔尖，在屏幕上模拟纸面书写阻尼感。具有原笔迹压感识别技术。充满电支持续航时间不低于</w:t>
            </w:r>
            <w:r>
              <w:rPr>
                <w:lang w:eastAsia="zh-CN"/>
              </w:rPr>
              <w:t xml:space="preserve"> 200 </w:t>
            </w:r>
            <w:r>
              <w:rPr>
                <w:rFonts w:hint="eastAsia"/>
                <w:lang w:eastAsia="zh-CN"/>
              </w:rPr>
              <w:t>小时。</w:t>
            </w:r>
          </w:p>
          <w:p w14:paraId="7FC8B840">
            <w:pPr>
              <w:pStyle w:val="100"/>
              <w:autoSpaceDE w:val="0"/>
              <w:autoSpaceDN w:val="0"/>
              <w:spacing w:before="30" w:line="218" w:lineRule="auto"/>
              <w:rPr>
                <w:rFonts w:hint="eastAsia"/>
                <w:lang w:eastAsia="zh-CN"/>
              </w:rPr>
            </w:pPr>
            <w:r>
              <w:rPr>
                <w:lang w:eastAsia="zh-CN"/>
              </w:rPr>
              <w:t>18.</w:t>
            </w:r>
            <w:r>
              <w:rPr>
                <w:rFonts w:hint="eastAsia"/>
                <w:lang w:eastAsia="zh-CN"/>
              </w:rPr>
              <w:t>复合型学习空间功能</w:t>
            </w:r>
          </w:p>
          <w:p w14:paraId="0DCEF748">
            <w:pPr>
              <w:pStyle w:val="100"/>
              <w:autoSpaceDE w:val="0"/>
              <w:autoSpaceDN w:val="0"/>
              <w:spacing w:before="30" w:line="218" w:lineRule="auto"/>
              <w:rPr>
                <w:rFonts w:hint="eastAsia"/>
                <w:lang w:eastAsia="zh-CN"/>
              </w:rPr>
            </w:pPr>
            <w:r>
              <w:rPr>
                <w:rFonts w:hint="eastAsia"/>
                <w:lang w:eastAsia="zh-CN"/>
              </w:rPr>
              <w:t>（</w:t>
            </w:r>
            <w:r>
              <w:rPr>
                <w:lang w:eastAsia="zh-CN"/>
              </w:rPr>
              <w:t>1</w:t>
            </w:r>
            <w:r>
              <w:rPr>
                <w:rFonts w:hint="eastAsia"/>
                <w:lang w:eastAsia="zh-CN"/>
              </w:rPr>
              <w:t>）智能学习空间系统：在</w:t>
            </w:r>
            <w:r>
              <w:rPr>
                <w:lang w:eastAsia="zh-CN"/>
              </w:rPr>
              <w:t>Windows</w:t>
            </w:r>
            <w:r>
              <w:rPr>
                <w:rFonts w:hint="eastAsia"/>
                <w:lang w:eastAsia="zh-CN"/>
              </w:rPr>
              <w:t>界面上全屏覆盖智能教学空间系统，通过触控可以直接打开虚拟仿真实验、数字绘画、仿真乐器等应用软件，可以一键进入国家教育智慧平台，支持仿真实验课堂、数字绘画课堂、数字音乐课堂等多场景教学。可以实现一键启动应用、一键返回桌面等功能。</w:t>
            </w:r>
          </w:p>
          <w:p w14:paraId="5512F9D1">
            <w:pPr>
              <w:pStyle w:val="100"/>
              <w:autoSpaceDE w:val="0"/>
              <w:autoSpaceDN w:val="0"/>
              <w:spacing w:before="30" w:line="218" w:lineRule="auto"/>
              <w:rPr>
                <w:rFonts w:hint="eastAsia"/>
                <w:lang w:eastAsia="zh-CN"/>
              </w:rPr>
            </w:pPr>
            <w:r>
              <w:rPr>
                <w:rFonts w:hint="eastAsia"/>
                <w:lang w:eastAsia="zh-CN"/>
              </w:rPr>
              <w:t>（</w:t>
            </w:r>
            <w:r>
              <w:rPr>
                <w:lang w:eastAsia="zh-CN"/>
              </w:rPr>
              <w:t>2</w:t>
            </w:r>
            <w:r>
              <w:rPr>
                <w:rFonts w:hint="eastAsia"/>
                <w:lang w:eastAsia="zh-CN"/>
              </w:rPr>
              <w:t>）仿真实验课堂：不需通过头戴式显示器、键盘、鼠标等其他辅助设备，可直接在屏幕上进行仿真实验素材的拖动、连接及演示，全彩呈现数字化实验素材，体现虚拟仿真实验的颜色、动画、声音效果。</w:t>
            </w:r>
          </w:p>
          <w:p w14:paraId="7454C5CD">
            <w:pPr>
              <w:pStyle w:val="100"/>
              <w:autoSpaceDE w:val="0"/>
              <w:autoSpaceDN w:val="0"/>
              <w:spacing w:before="30" w:line="218" w:lineRule="auto"/>
              <w:rPr>
                <w:rFonts w:hint="eastAsia"/>
                <w:lang w:eastAsia="zh-CN"/>
              </w:rPr>
            </w:pPr>
            <w:r>
              <w:rPr>
                <w:rFonts w:hint="eastAsia"/>
                <w:lang w:eastAsia="zh-CN"/>
              </w:rPr>
              <w:t>（</w:t>
            </w:r>
            <w:r>
              <w:rPr>
                <w:lang w:eastAsia="zh-CN"/>
              </w:rPr>
              <w:t>3</w:t>
            </w:r>
            <w:r>
              <w:rPr>
                <w:rFonts w:hint="eastAsia"/>
                <w:lang w:eastAsia="zh-CN"/>
              </w:rPr>
              <w:t>）数字绘画课堂：可进行数字化绘画作品及创作过程的教学演示，支持播放多媒体美术教学素材和临摹样板，支持在同一屏幕内同时显示临摹样板和数字画板，通过手写笔及手指在屏幕进行数字绘画，支持笔优先机制，使用手写笔进行屏幕绘画时，手触不会造成误触。</w:t>
            </w:r>
          </w:p>
          <w:p w14:paraId="2E7ED319">
            <w:pPr>
              <w:pStyle w:val="100"/>
              <w:autoSpaceDE w:val="0"/>
              <w:autoSpaceDN w:val="0"/>
              <w:spacing w:before="30" w:line="218" w:lineRule="auto"/>
              <w:rPr>
                <w:rFonts w:hint="eastAsia"/>
                <w:lang w:eastAsia="zh-CN"/>
              </w:rPr>
            </w:pPr>
            <w:r>
              <w:rPr>
                <w:rFonts w:hint="eastAsia"/>
                <w:lang w:eastAsia="zh-CN"/>
              </w:rPr>
              <w:t>（</w:t>
            </w:r>
            <w:r>
              <w:rPr>
                <w:lang w:eastAsia="zh-CN"/>
              </w:rPr>
              <w:t>4</w:t>
            </w:r>
            <w:r>
              <w:rPr>
                <w:rFonts w:hint="eastAsia"/>
                <w:lang w:eastAsia="zh-CN"/>
              </w:rPr>
              <w:t>）数字绘课堂：内嵌数字画板，支持新建自定义画布尺寸，并提供网格和标尺对照。提供不少</w:t>
            </w:r>
            <w:r>
              <w:rPr>
                <w:lang w:eastAsia="zh-CN"/>
              </w:rPr>
              <w:t>9</w:t>
            </w:r>
            <w:r>
              <w:rPr>
                <w:rFonts w:hint="eastAsia"/>
                <w:lang w:eastAsia="zh-CN"/>
              </w:rPr>
              <w:t>种的仿真笔刷，</w:t>
            </w:r>
            <w:r>
              <w:rPr>
                <w:lang w:eastAsia="zh-CN"/>
              </w:rPr>
              <w:t>4</w:t>
            </w:r>
            <w:r>
              <w:rPr>
                <w:rFonts w:hint="eastAsia"/>
                <w:lang w:eastAsia="zh-CN"/>
              </w:rPr>
              <w:t>个等级线条粗细。提供不少于</w:t>
            </w:r>
            <w:r>
              <w:rPr>
                <w:lang w:eastAsia="zh-CN"/>
              </w:rPr>
              <w:t>48</w:t>
            </w:r>
            <w:r>
              <w:rPr>
                <w:rFonts w:hint="eastAsia"/>
                <w:lang w:eastAsia="zh-CN"/>
              </w:rPr>
              <w:t>种基本颜色，支持</w:t>
            </w:r>
            <w:r>
              <w:rPr>
                <w:lang w:eastAsia="zh-CN"/>
              </w:rPr>
              <w:t>RGB</w:t>
            </w:r>
            <w:r>
              <w:rPr>
                <w:rFonts w:hint="eastAsia"/>
                <w:lang w:eastAsia="zh-CN"/>
              </w:rPr>
              <w:t>和</w:t>
            </w:r>
            <w:r>
              <w:rPr>
                <w:lang w:eastAsia="zh-CN"/>
              </w:rPr>
              <w:t>HSV</w:t>
            </w:r>
            <w:r>
              <w:rPr>
                <w:rFonts w:hint="eastAsia"/>
                <w:lang w:eastAsia="zh-CN"/>
              </w:rPr>
              <w:t>调色，支持不少</w:t>
            </w:r>
            <w:r>
              <w:rPr>
                <w:lang w:eastAsia="zh-CN"/>
              </w:rPr>
              <w:t>24</w:t>
            </w:r>
            <w:r>
              <w:rPr>
                <w:rFonts w:hint="eastAsia"/>
                <w:lang w:eastAsia="zh-CN"/>
              </w:rPr>
              <w:t>种自定义颜色。提供不少于</w:t>
            </w:r>
            <w:r>
              <w:rPr>
                <w:lang w:eastAsia="zh-CN"/>
              </w:rPr>
              <w:t>23</w:t>
            </w:r>
            <w:r>
              <w:rPr>
                <w:rFonts w:hint="eastAsia"/>
                <w:lang w:eastAsia="zh-CN"/>
              </w:rPr>
              <w:t>种基本几何形状，并可对图形提供不少</w:t>
            </w:r>
            <w:r>
              <w:rPr>
                <w:lang w:eastAsia="zh-CN"/>
              </w:rPr>
              <w:t>6</w:t>
            </w:r>
            <w:r>
              <w:rPr>
                <w:rFonts w:hint="eastAsia"/>
                <w:lang w:eastAsia="zh-CN"/>
              </w:rPr>
              <w:t>种笔刷轮廓线。支持分图层绘画，图层叠加数量不少</w:t>
            </w:r>
            <w:r>
              <w:rPr>
                <w:lang w:eastAsia="zh-CN"/>
              </w:rPr>
              <w:t>10</w:t>
            </w:r>
            <w:r>
              <w:rPr>
                <w:rFonts w:hint="eastAsia"/>
                <w:lang w:eastAsia="zh-CN"/>
              </w:rPr>
              <w:t>层。支持导入图片文件进行裁剪、重设尺寸、角度翻转及删除背景编辑。支持作品的本地化保存。屏幕可根据绘画要求进行度</w:t>
            </w:r>
            <w:r>
              <w:rPr>
                <w:lang w:eastAsia="zh-CN"/>
              </w:rPr>
              <w:t>0°-180°</w:t>
            </w:r>
            <w:r>
              <w:rPr>
                <w:rFonts w:hint="eastAsia"/>
                <w:lang w:eastAsia="zh-CN"/>
              </w:rPr>
              <w:t>的调整。</w:t>
            </w:r>
          </w:p>
          <w:p w14:paraId="7F09403E">
            <w:pPr>
              <w:pStyle w:val="100"/>
              <w:autoSpaceDE w:val="0"/>
              <w:autoSpaceDN w:val="0"/>
              <w:spacing w:before="30" w:line="218" w:lineRule="auto"/>
              <w:rPr>
                <w:rFonts w:hint="eastAsia"/>
                <w:lang w:eastAsia="zh-CN"/>
              </w:rPr>
            </w:pPr>
            <w:r>
              <w:rPr>
                <w:rFonts w:hint="eastAsia"/>
                <w:lang w:eastAsia="zh-CN"/>
              </w:rPr>
              <w:t>（</w:t>
            </w:r>
            <w:r>
              <w:rPr>
                <w:lang w:eastAsia="zh-CN"/>
              </w:rPr>
              <w:t>5</w:t>
            </w:r>
            <w:r>
              <w:rPr>
                <w:rFonts w:hint="eastAsia"/>
                <w:lang w:eastAsia="zh-CN"/>
              </w:rPr>
              <w:t>）数字音乐教学：支持教学多媒体文件的播放，支持通过手写笔及手机在屏幕进行乐器的弹奏，支持双手同时进行触控弹奏，还原真实乐器的弹奏姿态。支持外放声音，支持通过外接耳机听音。</w:t>
            </w:r>
          </w:p>
          <w:p w14:paraId="5578C9FE">
            <w:pPr>
              <w:pStyle w:val="100"/>
              <w:autoSpaceDE w:val="0"/>
              <w:autoSpaceDN w:val="0"/>
              <w:spacing w:before="30" w:line="218" w:lineRule="auto"/>
              <w:rPr>
                <w:rFonts w:hint="eastAsia"/>
                <w:lang w:eastAsia="zh-CN"/>
              </w:rPr>
            </w:pPr>
            <w:r>
              <w:rPr>
                <w:rFonts w:hint="eastAsia"/>
                <w:lang w:eastAsia="zh-CN"/>
              </w:rPr>
              <w:t>（</w:t>
            </w:r>
            <w:r>
              <w:rPr>
                <w:lang w:eastAsia="zh-CN"/>
              </w:rPr>
              <w:t>6</w:t>
            </w:r>
            <w:r>
              <w:rPr>
                <w:rFonts w:hint="eastAsia"/>
                <w:lang w:eastAsia="zh-CN"/>
              </w:rPr>
              <w:t>）电子钢琴：内嵌电子钢琴，通过触摸屏进行电子钢琴的弹奏，支持双手十指同时进行触控弹奏支持音调变化，具有</w:t>
            </w:r>
            <w:r>
              <w:rPr>
                <w:lang w:eastAsia="zh-CN"/>
              </w:rPr>
              <w:t>5</w:t>
            </w:r>
            <w:r>
              <w:rPr>
                <w:rFonts w:hint="eastAsia"/>
                <w:lang w:eastAsia="zh-CN"/>
              </w:rPr>
              <w:t>档调节，数字化显示钢琴键频率。可仿真不少于</w:t>
            </w:r>
            <w:r>
              <w:rPr>
                <w:lang w:eastAsia="zh-CN"/>
              </w:rPr>
              <w:t>97</w:t>
            </w:r>
            <w:r>
              <w:rPr>
                <w:rFonts w:hint="eastAsia"/>
                <w:lang w:eastAsia="zh-CN"/>
              </w:rPr>
              <w:t>键的钢琴音色，支持八度移位。内置节拍器，</w:t>
            </w:r>
            <w:r>
              <w:rPr>
                <w:lang w:eastAsia="zh-CN"/>
              </w:rPr>
              <w:t>2~4</w:t>
            </w:r>
            <w:r>
              <w:rPr>
                <w:rFonts w:hint="eastAsia"/>
                <w:lang w:eastAsia="zh-CN"/>
              </w:rPr>
              <w:t>可见八度音阶。琴键上显示琴键符号，显示键盘与琴键的对应关系。选项设置支持复位，保存等操作。</w:t>
            </w:r>
          </w:p>
          <w:p w14:paraId="79352C04">
            <w:pPr>
              <w:pStyle w:val="100"/>
              <w:autoSpaceDE w:val="0"/>
              <w:autoSpaceDN w:val="0"/>
              <w:spacing w:before="30" w:line="218" w:lineRule="auto"/>
              <w:rPr>
                <w:rFonts w:hint="eastAsia"/>
                <w:lang w:eastAsia="zh-CN"/>
              </w:rPr>
            </w:pPr>
            <w:r>
              <w:rPr>
                <w:rFonts w:hint="eastAsia"/>
                <w:lang w:eastAsia="zh-CN"/>
              </w:rPr>
              <w:t>（</w:t>
            </w:r>
            <w:r>
              <w:rPr>
                <w:lang w:eastAsia="zh-CN"/>
              </w:rPr>
              <w:t>7</w:t>
            </w:r>
            <w:r>
              <w:rPr>
                <w:rFonts w:hint="eastAsia"/>
                <w:lang w:eastAsia="zh-CN"/>
              </w:rPr>
              <w:t>）电子鼓：内嵌电子鼓，可以通过手触直接触摸来敲击虚拟琴键，支持多点触控。</w:t>
            </w:r>
            <w:r>
              <w:rPr>
                <w:lang w:eastAsia="zh-CN"/>
              </w:rPr>
              <w:t xml:space="preserve"> </w:t>
            </w:r>
            <w:r>
              <w:rPr>
                <w:rFonts w:hint="eastAsia"/>
                <w:lang w:eastAsia="zh-CN"/>
              </w:rPr>
              <w:t>内置高品质的实体鼓音色样本，模拟</w:t>
            </w:r>
            <w:r>
              <w:rPr>
                <w:lang w:eastAsia="zh-CN"/>
              </w:rPr>
              <w:t>10</w:t>
            </w:r>
            <w:r>
              <w:rPr>
                <w:rFonts w:hint="eastAsia"/>
                <w:lang w:eastAsia="zh-CN"/>
              </w:rPr>
              <w:t>种鼓的发音，发音高度还原真实鼓的音质。</w:t>
            </w:r>
          </w:p>
          <w:p w14:paraId="51A3F19D">
            <w:pPr>
              <w:pStyle w:val="100"/>
              <w:autoSpaceDE w:val="0"/>
              <w:autoSpaceDN w:val="0"/>
              <w:spacing w:before="30" w:line="218" w:lineRule="auto"/>
              <w:rPr>
                <w:rFonts w:hint="eastAsia"/>
                <w:lang w:eastAsia="zh-CN"/>
              </w:rPr>
            </w:pPr>
            <w:r>
              <w:rPr>
                <w:rFonts w:hint="eastAsia"/>
                <w:lang w:eastAsia="zh-CN"/>
              </w:rPr>
              <w:t>（</w:t>
            </w:r>
            <w:r>
              <w:rPr>
                <w:lang w:eastAsia="zh-CN"/>
              </w:rPr>
              <w:t>8</w:t>
            </w:r>
            <w:r>
              <w:rPr>
                <w:rFonts w:hint="eastAsia"/>
                <w:lang w:eastAsia="zh-CN"/>
              </w:rPr>
              <w:t>）电子木琴：内嵌电子木琴，模拟实体木琴的键盘布局，</w:t>
            </w:r>
            <w:r>
              <w:rPr>
                <w:lang w:eastAsia="zh-CN"/>
              </w:rPr>
              <w:t xml:space="preserve"> </w:t>
            </w:r>
            <w:r>
              <w:rPr>
                <w:rFonts w:hint="eastAsia"/>
                <w:lang w:eastAsia="zh-CN"/>
              </w:rPr>
              <w:t>用户可以通过手触直接触摸来敲击虚拟琴键，支持多点触控。内置高品质的木琴音色样本，每一键的发音都能高度还原真实木琴的音质。</w:t>
            </w:r>
            <w:r>
              <w:rPr>
                <w:lang w:eastAsia="zh-CN"/>
              </w:rPr>
              <w:t xml:space="preserve"> </w:t>
            </w:r>
            <w:r>
              <w:rPr>
                <w:rFonts w:hint="eastAsia"/>
                <w:lang w:eastAsia="zh-CN"/>
              </w:rPr>
              <w:t>琴键有五线谱音符标识。</w:t>
            </w:r>
          </w:p>
          <w:p w14:paraId="07DC87F7">
            <w:pPr>
              <w:pStyle w:val="100"/>
              <w:autoSpaceDE w:val="0"/>
              <w:autoSpaceDN w:val="0"/>
              <w:spacing w:before="30" w:line="218" w:lineRule="auto"/>
              <w:rPr>
                <w:rFonts w:hint="eastAsia"/>
                <w:lang w:eastAsia="zh-CN"/>
              </w:rPr>
            </w:pPr>
            <w:r>
              <w:rPr>
                <w:rFonts w:hint="eastAsia"/>
                <w:lang w:eastAsia="zh-CN"/>
              </w:rPr>
              <w:t>（</w:t>
            </w:r>
            <w:r>
              <w:rPr>
                <w:lang w:eastAsia="zh-CN"/>
              </w:rPr>
              <w:t>9</w:t>
            </w:r>
            <w:r>
              <w:rPr>
                <w:rFonts w:hint="eastAsia"/>
                <w:lang w:eastAsia="zh-CN"/>
              </w:rPr>
              <w:t>）数字书法临摹台：内嵌数字书法台，可播放多媒体数字书法教学资源和字帖图片，支持不小于</w:t>
            </w:r>
            <w:r>
              <w:rPr>
                <w:lang w:eastAsia="zh-CN"/>
              </w:rPr>
              <w:t>A3</w:t>
            </w:r>
            <w:r>
              <w:rPr>
                <w:rFonts w:hint="eastAsia"/>
                <w:lang w:eastAsia="zh-CN"/>
              </w:rPr>
              <w:t>纸尺寸的蒙纸临摹。</w:t>
            </w:r>
          </w:p>
          <w:p w14:paraId="5C5ECE51">
            <w:pPr>
              <w:pStyle w:val="100"/>
              <w:autoSpaceDE w:val="0"/>
              <w:autoSpaceDN w:val="0"/>
              <w:spacing w:before="30" w:line="218" w:lineRule="auto"/>
              <w:rPr>
                <w:rFonts w:hint="eastAsia"/>
                <w:lang w:eastAsia="zh-CN"/>
              </w:rPr>
            </w:pPr>
            <w:r>
              <w:rPr>
                <w:rFonts w:hint="eastAsia"/>
                <w:lang w:eastAsia="zh-CN"/>
              </w:rPr>
              <w:t>（</w:t>
            </w:r>
            <w:r>
              <w:rPr>
                <w:lang w:eastAsia="zh-CN"/>
              </w:rPr>
              <w:t>10</w:t>
            </w:r>
            <w:r>
              <w:rPr>
                <w:rFonts w:hint="eastAsia"/>
                <w:lang w:eastAsia="zh-CN"/>
              </w:rPr>
              <w:t>）可视化编程教学：支持通过手写笔及手指直接在屏幕上进行拖拽式编程，并且支持硬件扩展功能库，直接使用即可以对上百种硬件模块，包括各种传感器、执行器、通讯模块、显示器、功能模块进行编程控制。使用图形化积木编程时可以自动转换为</w:t>
            </w:r>
            <w:r>
              <w:rPr>
                <w:lang w:eastAsia="zh-CN"/>
              </w:rPr>
              <w:t>Python</w:t>
            </w:r>
            <w:r>
              <w:rPr>
                <w:rFonts w:hint="eastAsia"/>
                <w:lang w:eastAsia="zh-CN"/>
              </w:rPr>
              <w:t>或</w:t>
            </w:r>
            <w:r>
              <w:rPr>
                <w:lang w:eastAsia="zh-CN"/>
              </w:rPr>
              <w:t>C</w:t>
            </w:r>
            <w:r>
              <w:rPr>
                <w:rFonts w:hint="eastAsia"/>
                <w:lang w:eastAsia="zh-CN"/>
              </w:rPr>
              <w:t>代码。</w:t>
            </w:r>
          </w:p>
          <w:p w14:paraId="18123305">
            <w:pPr>
              <w:pStyle w:val="100"/>
              <w:autoSpaceDE w:val="0"/>
              <w:autoSpaceDN w:val="0"/>
              <w:spacing w:before="30" w:line="218" w:lineRule="auto"/>
              <w:rPr>
                <w:rFonts w:hint="eastAsia"/>
                <w:lang w:eastAsia="zh-CN"/>
              </w:rPr>
            </w:pPr>
            <w:r>
              <w:rPr>
                <w:rFonts w:hint="eastAsia"/>
                <w:lang w:eastAsia="zh-CN"/>
              </w:rPr>
              <w:t>（</w:t>
            </w:r>
            <w:r>
              <w:rPr>
                <w:lang w:eastAsia="zh-CN"/>
              </w:rPr>
              <w:t>11</w:t>
            </w:r>
            <w:r>
              <w:rPr>
                <w:rFonts w:hint="eastAsia"/>
                <w:lang w:eastAsia="zh-CN"/>
              </w:rPr>
              <w:t>）文档处理助手：支持文档创建与编辑各种类型的文档，如</w:t>
            </w:r>
            <w:r>
              <w:rPr>
                <w:lang w:eastAsia="zh-CN"/>
              </w:rPr>
              <w:t>Word</w:t>
            </w:r>
            <w:r>
              <w:rPr>
                <w:rFonts w:hint="eastAsia"/>
                <w:lang w:eastAsia="zh-CN"/>
              </w:rPr>
              <w:t>、</w:t>
            </w:r>
            <w:r>
              <w:rPr>
                <w:lang w:eastAsia="zh-CN"/>
              </w:rPr>
              <w:t>Excel</w:t>
            </w:r>
            <w:r>
              <w:rPr>
                <w:rFonts w:hint="eastAsia"/>
                <w:lang w:eastAsia="zh-CN"/>
              </w:rPr>
              <w:t>、</w:t>
            </w:r>
            <w:r>
              <w:rPr>
                <w:lang w:eastAsia="zh-CN"/>
              </w:rPr>
              <w:t xml:space="preserve"> PPT</w:t>
            </w:r>
            <w:r>
              <w:rPr>
                <w:rFonts w:hint="eastAsia"/>
                <w:lang w:eastAsia="zh-CN"/>
              </w:rPr>
              <w:t>等。支持多种格式设置，如字体、字号行距、对齐方式等。支持在文档中插入图片、表格、图表、符号等元素。支持文档页面布局调整，如页边距、纸张大小等。支持文档字词查找和替换功能，以提高文档编辑效率。</w:t>
            </w:r>
          </w:p>
          <w:p w14:paraId="08E06E7C">
            <w:pPr>
              <w:pStyle w:val="100"/>
              <w:autoSpaceDE w:val="0"/>
              <w:autoSpaceDN w:val="0"/>
              <w:spacing w:before="30" w:line="218" w:lineRule="auto"/>
              <w:rPr>
                <w:rFonts w:hint="eastAsia"/>
                <w:lang w:eastAsia="zh-CN"/>
              </w:rPr>
            </w:pPr>
            <w:r>
              <w:rPr>
                <w:rFonts w:hint="eastAsia"/>
                <w:lang w:eastAsia="zh-CN"/>
              </w:rPr>
              <w:t>（</w:t>
            </w:r>
            <w:r>
              <w:rPr>
                <w:lang w:eastAsia="zh-CN"/>
              </w:rPr>
              <w:t>12</w:t>
            </w:r>
            <w:r>
              <w:rPr>
                <w:rFonts w:hint="eastAsia"/>
                <w:lang w:eastAsia="zh-CN"/>
              </w:rPr>
              <w:t>）智能书写功能：支持通过手写笔在屏幕上书写，屏幕显示手写原笔迹，执笔书写时支持笔优先机制，笔写同时手触不会造成误触。支持中文、英文、数字和标点符号的手写识别。</w:t>
            </w:r>
          </w:p>
          <w:p w14:paraId="5B48923B">
            <w:pPr>
              <w:pStyle w:val="100"/>
              <w:autoSpaceDE w:val="0"/>
              <w:autoSpaceDN w:val="0"/>
              <w:spacing w:before="30" w:line="218" w:lineRule="auto"/>
              <w:ind w:left="32" w:right="9" w:firstLine="11"/>
              <w:rPr>
                <w:rFonts w:hint="eastAsia"/>
                <w:lang w:eastAsia="zh-CN"/>
              </w:rPr>
            </w:pPr>
            <w:r>
              <w:rPr>
                <w:rFonts w:hint="eastAsia"/>
                <w:lang w:eastAsia="zh-CN"/>
              </w:rPr>
              <w:t>（</w:t>
            </w:r>
            <w:r>
              <w:rPr>
                <w:lang w:eastAsia="zh-CN"/>
              </w:rPr>
              <w:t>13</w:t>
            </w:r>
            <w:r>
              <w:rPr>
                <w:rFonts w:hint="eastAsia"/>
                <w:lang w:eastAsia="zh-CN"/>
              </w:rPr>
              <w:t>）屏幕键盘输入功能：不需要键盘鼠标，通过触控和虚拟键盘可进行文字的输入。</w:t>
            </w:r>
          </w:p>
        </w:tc>
        <w:tc>
          <w:tcPr>
            <w:tcW w:w="666" w:type="dxa"/>
            <w:tcBorders>
              <w:top w:val="single" w:color="1F2329" w:sz="4" w:space="0"/>
              <w:left w:val="single" w:color="1F2329" w:sz="4" w:space="0"/>
              <w:bottom w:val="single" w:color="1F2329" w:sz="4" w:space="0"/>
              <w:right w:val="single" w:color="1F2329" w:sz="4" w:space="0"/>
            </w:tcBorders>
          </w:tcPr>
          <w:p w14:paraId="7F2A92F6">
            <w:pPr>
              <w:autoSpaceDE w:val="0"/>
              <w:autoSpaceDN w:val="0"/>
              <w:rPr>
                <w:sz w:val="20"/>
                <w:lang w:eastAsia="zh-CN"/>
              </w:rPr>
            </w:pPr>
          </w:p>
        </w:tc>
        <w:tc>
          <w:tcPr>
            <w:tcW w:w="689" w:type="dxa"/>
            <w:tcBorders>
              <w:top w:val="single" w:color="1F2329" w:sz="4" w:space="0"/>
              <w:left w:val="single" w:color="1F2329" w:sz="4" w:space="0"/>
              <w:bottom w:val="single" w:color="1F2329" w:sz="4" w:space="0"/>
              <w:right w:val="single" w:color="1F2329" w:sz="4" w:space="0"/>
            </w:tcBorders>
          </w:tcPr>
          <w:p w14:paraId="413B2460">
            <w:pPr>
              <w:autoSpaceDE w:val="0"/>
              <w:autoSpaceDN w:val="0"/>
              <w:rPr>
                <w:sz w:val="20"/>
                <w:lang w:eastAsia="zh-CN"/>
              </w:rPr>
            </w:pPr>
          </w:p>
        </w:tc>
      </w:tr>
      <w:tr w14:paraId="115655E4">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943" w:hRule="atLeast"/>
        </w:trPr>
        <w:tc>
          <w:tcPr>
            <w:tcW w:w="487" w:type="dxa"/>
            <w:tcBorders>
              <w:top w:val="single" w:color="1F2329" w:sz="4" w:space="0"/>
              <w:left w:val="single" w:color="1F2329" w:sz="4" w:space="0"/>
              <w:bottom w:val="single" w:color="1F2329" w:sz="4" w:space="0"/>
              <w:right w:val="single" w:color="1F2329" w:sz="4" w:space="0"/>
            </w:tcBorders>
            <w:vAlign w:val="center"/>
          </w:tcPr>
          <w:p w14:paraId="6AC19079">
            <w:pPr>
              <w:autoSpaceDE w:val="0"/>
              <w:autoSpaceDN w:val="0"/>
              <w:spacing w:line="244" w:lineRule="auto"/>
              <w:jc w:val="center"/>
              <w:rPr>
                <w:sz w:val="20"/>
                <w:lang w:eastAsia="zh-CN"/>
              </w:rPr>
            </w:pPr>
          </w:p>
          <w:p w14:paraId="380D3C83">
            <w:pPr>
              <w:autoSpaceDE w:val="0"/>
              <w:autoSpaceDN w:val="0"/>
              <w:spacing w:line="244" w:lineRule="auto"/>
              <w:jc w:val="center"/>
              <w:rPr>
                <w:sz w:val="20"/>
                <w:lang w:eastAsia="zh-CN"/>
              </w:rPr>
            </w:pPr>
          </w:p>
          <w:p w14:paraId="7F64F02C">
            <w:pPr>
              <w:autoSpaceDE w:val="0"/>
              <w:autoSpaceDN w:val="0"/>
              <w:spacing w:line="244" w:lineRule="auto"/>
              <w:jc w:val="center"/>
              <w:rPr>
                <w:sz w:val="20"/>
                <w:lang w:eastAsia="zh-CN"/>
              </w:rPr>
            </w:pPr>
          </w:p>
          <w:p w14:paraId="2F699E18">
            <w:pPr>
              <w:autoSpaceDE w:val="0"/>
              <w:autoSpaceDN w:val="0"/>
              <w:spacing w:line="244" w:lineRule="auto"/>
              <w:jc w:val="center"/>
              <w:rPr>
                <w:sz w:val="20"/>
                <w:lang w:eastAsia="zh-CN"/>
              </w:rPr>
            </w:pPr>
          </w:p>
          <w:p w14:paraId="590BC8BC">
            <w:pPr>
              <w:autoSpaceDE w:val="0"/>
              <w:autoSpaceDN w:val="0"/>
              <w:spacing w:line="244" w:lineRule="auto"/>
              <w:jc w:val="center"/>
              <w:rPr>
                <w:sz w:val="20"/>
                <w:lang w:eastAsia="zh-CN"/>
              </w:rPr>
            </w:pPr>
          </w:p>
          <w:p w14:paraId="2E61F9C9">
            <w:pPr>
              <w:autoSpaceDE w:val="0"/>
              <w:autoSpaceDN w:val="0"/>
              <w:spacing w:line="244" w:lineRule="auto"/>
              <w:jc w:val="center"/>
              <w:rPr>
                <w:sz w:val="20"/>
                <w:lang w:eastAsia="zh-CN"/>
              </w:rPr>
            </w:pPr>
          </w:p>
          <w:p w14:paraId="4DDD9816">
            <w:pPr>
              <w:autoSpaceDE w:val="0"/>
              <w:autoSpaceDN w:val="0"/>
              <w:spacing w:line="244" w:lineRule="auto"/>
              <w:jc w:val="center"/>
              <w:rPr>
                <w:sz w:val="20"/>
                <w:lang w:eastAsia="zh-CN"/>
              </w:rPr>
            </w:pPr>
          </w:p>
          <w:p w14:paraId="42BD4F46">
            <w:pPr>
              <w:autoSpaceDE w:val="0"/>
              <w:autoSpaceDN w:val="0"/>
              <w:spacing w:line="244" w:lineRule="auto"/>
              <w:jc w:val="center"/>
              <w:rPr>
                <w:sz w:val="20"/>
                <w:lang w:eastAsia="zh-CN"/>
              </w:rPr>
            </w:pPr>
          </w:p>
          <w:p w14:paraId="492D5F89">
            <w:pPr>
              <w:autoSpaceDE w:val="0"/>
              <w:autoSpaceDN w:val="0"/>
              <w:spacing w:line="244" w:lineRule="auto"/>
              <w:jc w:val="center"/>
              <w:rPr>
                <w:sz w:val="20"/>
                <w:lang w:eastAsia="zh-CN"/>
              </w:rPr>
            </w:pPr>
          </w:p>
          <w:p w14:paraId="3D04C842">
            <w:pPr>
              <w:autoSpaceDE w:val="0"/>
              <w:autoSpaceDN w:val="0"/>
              <w:spacing w:line="244" w:lineRule="auto"/>
              <w:jc w:val="center"/>
              <w:rPr>
                <w:sz w:val="20"/>
                <w:lang w:eastAsia="zh-CN"/>
              </w:rPr>
            </w:pPr>
          </w:p>
          <w:p w14:paraId="35C3A424">
            <w:pPr>
              <w:autoSpaceDE w:val="0"/>
              <w:autoSpaceDN w:val="0"/>
              <w:spacing w:line="244" w:lineRule="auto"/>
              <w:jc w:val="center"/>
              <w:rPr>
                <w:sz w:val="20"/>
                <w:lang w:eastAsia="zh-CN"/>
              </w:rPr>
            </w:pPr>
          </w:p>
          <w:p w14:paraId="3065A635">
            <w:pPr>
              <w:autoSpaceDE w:val="0"/>
              <w:autoSpaceDN w:val="0"/>
              <w:spacing w:line="244" w:lineRule="auto"/>
              <w:jc w:val="center"/>
              <w:rPr>
                <w:sz w:val="20"/>
                <w:lang w:eastAsia="zh-CN"/>
              </w:rPr>
            </w:pPr>
          </w:p>
          <w:p w14:paraId="0D30D445">
            <w:pPr>
              <w:autoSpaceDE w:val="0"/>
              <w:autoSpaceDN w:val="0"/>
              <w:spacing w:line="244" w:lineRule="auto"/>
              <w:jc w:val="center"/>
              <w:rPr>
                <w:sz w:val="20"/>
                <w:lang w:eastAsia="zh-CN"/>
              </w:rPr>
            </w:pPr>
          </w:p>
          <w:p w14:paraId="30582CA7">
            <w:pPr>
              <w:autoSpaceDE w:val="0"/>
              <w:autoSpaceDN w:val="0"/>
              <w:spacing w:line="244" w:lineRule="auto"/>
              <w:jc w:val="center"/>
              <w:rPr>
                <w:sz w:val="20"/>
                <w:lang w:eastAsia="zh-CN"/>
              </w:rPr>
            </w:pPr>
          </w:p>
          <w:p w14:paraId="6934A40F">
            <w:pPr>
              <w:autoSpaceDE w:val="0"/>
              <w:autoSpaceDN w:val="0"/>
              <w:spacing w:line="244" w:lineRule="auto"/>
              <w:jc w:val="center"/>
              <w:rPr>
                <w:sz w:val="20"/>
                <w:lang w:eastAsia="zh-CN"/>
              </w:rPr>
            </w:pPr>
          </w:p>
          <w:p w14:paraId="22C91A45">
            <w:pPr>
              <w:autoSpaceDE w:val="0"/>
              <w:autoSpaceDN w:val="0"/>
              <w:spacing w:line="244" w:lineRule="auto"/>
              <w:jc w:val="center"/>
              <w:rPr>
                <w:sz w:val="20"/>
                <w:lang w:eastAsia="zh-CN"/>
              </w:rPr>
            </w:pPr>
          </w:p>
          <w:p w14:paraId="38B35B72">
            <w:pPr>
              <w:autoSpaceDE w:val="0"/>
              <w:autoSpaceDN w:val="0"/>
              <w:spacing w:line="244" w:lineRule="auto"/>
              <w:jc w:val="center"/>
              <w:rPr>
                <w:sz w:val="20"/>
                <w:lang w:eastAsia="zh-CN"/>
              </w:rPr>
            </w:pPr>
          </w:p>
          <w:p w14:paraId="7925EADA">
            <w:pPr>
              <w:pStyle w:val="100"/>
              <w:autoSpaceDE w:val="0"/>
              <w:autoSpaceDN w:val="0"/>
              <w:spacing w:before="78"/>
              <w:ind w:left="190"/>
              <w:jc w:val="center"/>
              <w:rPr>
                <w:rFonts w:hint="eastAsia"/>
              </w:rPr>
            </w:pPr>
            <w:r>
              <w:rPr>
                <w:rFonts w:hint="eastAsia"/>
              </w:rPr>
              <w:t>2</w:t>
            </w:r>
          </w:p>
        </w:tc>
        <w:tc>
          <w:tcPr>
            <w:tcW w:w="615" w:type="dxa"/>
            <w:tcBorders>
              <w:top w:val="single" w:color="1F2329" w:sz="4" w:space="0"/>
              <w:left w:val="single" w:color="1F2329" w:sz="4" w:space="0"/>
              <w:bottom w:val="single" w:color="1F2329" w:sz="4" w:space="0"/>
              <w:right w:val="single" w:color="1F2329" w:sz="4" w:space="0"/>
            </w:tcBorders>
            <w:vAlign w:val="center"/>
          </w:tcPr>
          <w:p w14:paraId="128863E3">
            <w:pPr>
              <w:autoSpaceDE w:val="0"/>
              <w:autoSpaceDN w:val="0"/>
              <w:spacing w:line="252" w:lineRule="auto"/>
              <w:jc w:val="center"/>
              <w:rPr>
                <w:sz w:val="20"/>
              </w:rPr>
            </w:pPr>
          </w:p>
          <w:p w14:paraId="3522D888">
            <w:pPr>
              <w:autoSpaceDE w:val="0"/>
              <w:autoSpaceDN w:val="0"/>
              <w:spacing w:line="252" w:lineRule="auto"/>
              <w:jc w:val="center"/>
              <w:rPr>
                <w:sz w:val="20"/>
              </w:rPr>
            </w:pPr>
          </w:p>
          <w:p w14:paraId="214AD33F">
            <w:pPr>
              <w:autoSpaceDE w:val="0"/>
              <w:autoSpaceDN w:val="0"/>
              <w:spacing w:line="252" w:lineRule="auto"/>
              <w:jc w:val="center"/>
              <w:rPr>
                <w:sz w:val="20"/>
              </w:rPr>
            </w:pPr>
          </w:p>
          <w:p w14:paraId="0DE3A976">
            <w:pPr>
              <w:autoSpaceDE w:val="0"/>
              <w:autoSpaceDN w:val="0"/>
              <w:spacing w:line="252" w:lineRule="auto"/>
              <w:jc w:val="center"/>
              <w:rPr>
                <w:sz w:val="20"/>
              </w:rPr>
            </w:pPr>
          </w:p>
          <w:p w14:paraId="541630DA">
            <w:pPr>
              <w:autoSpaceDE w:val="0"/>
              <w:autoSpaceDN w:val="0"/>
              <w:spacing w:line="252" w:lineRule="auto"/>
              <w:jc w:val="center"/>
              <w:rPr>
                <w:sz w:val="20"/>
              </w:rPr>
            </w:pPr>
          </w:p>
          <w:p w14:paraId="6FCA0E06">
            <w:pPr>
              <w:autoSpaceDE w:val="0"/>
              <w:autoSpaceDN w:val="0"/>
              <w:spacing w:line="252" w:lineRule="auto"/>
              <w:jc w:val="center"/>
              <w:rPr>
                <w:sz w:val="20"/>
              </w:rPr>
            </w:pPr>
          </w:p>
          <w:p w14:paraId="406CF3F5">
            <w:pPr>
              <w:autoSpaceDE w:val="0"/>
              <w:autoSpaceDN w:val="0"/>
              <w:spacing w:line="252" w:lineRule="auto"/>
              <w:jc w:val="center"/>
              <w:rPr>
                <w:sz w:val="20"/>
              </w:rPr>
            </w:pPr>
          </w:p>
          <w:p w14:paraId="359DDA52">
            <w:pPr>
              <w:autoSpaceDE w:val="0"/>
              <w:autoSpaceDN w:val="0"/>
              <w:spacing w:line="252" w:lineRule="auto"/>
              <w:jc w:val="center"/>
              <w:rPr>
                <w:sz w:val="20"/>
              </w:rPr>
            </w:pPr>
          </w:p>
          <w:p w14:paraId="2422236F">
            <w:pPr>
              <w:autoSpaceDE w:val="0"/>
              <w:autoSpaceDN w:val="0"/>
              <w:spacing w:line="252" w:lineRule="auto"/>
              <w:jc w:val="center"/>
              <w:rPr>
                <w:sz w:val="20"/>
              </w:rPr>
            </w:pPr>
          </w:p>
          <w:p w14:paraId="26F097E7">
            <w:pPr>
              <w:autoSpaceDE w:val="0"/>
              <w:autoSpaceDN w:val="0"/>
              <w:spacing w:line="252" w:lineRule="auto"/>
              <w:jc w:val="center"/>
              <w:rPr>
                <w:sz w:val="20"/>
              </w:rPr>
            </w:pPr>
          </w:p>
          <w:p w14:paraId="45DDDC46">
            <w:pPr>
              <w:autoSpaceDE w:val="0"/>
              <w:autoSpaceDN w:val="0"/>
              <w:spacing w:line="252" w:lineRule="auto"/>
              <w:jc w:val="center"/>
              <w:rPr>
                <w:sz w:val="20"/>
              </w:rPr>
            </w:pPr>
          </w:p>
          <w:p w14:paraId="78ECC6C9">
            <w:pPr>
              <w:autoSpaceDE w:val="0"/>
              <w:autoSpaceDN w:val="0"/>
              <w:spacing w:line="252" w:lineRule="auto"/>
              <w:jc w:val="center"/>
              <w:rPr>
                <w:sz w:val="20"/>
              </w:rPr>
            </w:pPr>
          </w:p>
          <w:p w14:paraId="49A89413">
            <w:pPr>
              <w:autoSpaceDE w:val="0"/>
              <w:autoSpaceDN w:val="0"/>
              <w:spacing w:line="252" w:lineRule="auto"/>
              <w:jc w:val="center"/>
              <w:rPr>
                <w:sz w:val="20"/>
              </w:rPr>
            </w:pPr>
          </w:p>
          <w:p w14:paraId="0A982D9D">
            <w:pPr>
              <w:autoSpaceDE w:val="0"/>
              <w:autoSpaceDN w:val="0"/>
              <w:spacing w:line="252" w:lineRule="auto"/>
              <w:jc w:val="center"/>
              <w:rPr>
                <w:sz w:val="20"/>
              </w:rPr>
            </w:pPr>
          </w:p>
          <w:p w14:paraId="78A12CAD">
            <w:pPr>
              <w:autoSpaceDE w:val="0"/>
              <w:autoSpaceDN w:val="0"/>
              <w:spacing w:line="252" w:lineRule="auto"/>
              <w:jc w:val="center"/>
              <w:rPr>
                <w:sz w:val="20"/>
              </w:rPr>
            </w:pPr>
          </w:p>
          <w:p w14:paraId="729EA03F">
            <w:pPr>
              <w:autoSpaceDE w:val="0"/>
              <w:autoSpaceDN w:val="0"/>
              <w:spacing w:line="252" w:lineRule="auto"/>
              <w:jc w:val="center"/>
              <w:rPr>
                <w:sz w:val="20"/>
              </w:rPr>
            </w:pPr>
          </w:p>
          <w:p w14:paraId="2CFEF8FC">
            <w:pPr>
              <w:pStyle w:val="100"/>
              <w:autoSpaceDE w:val="0"/>
              <w:autoSpaceDN w:val="0"/>
              <w:spacing w:before="78"/>
              <w:ind w:left="186" w:right="68" w:hanging="118"/>
              <w:jc w:val="center"/>
              <w:rPr>
                <w:rFonts w:hint="eastAsia"/>
              </w:rPr>
            </w:pPr>
            <w:r>
              <w:rPr>
                <w:rFonts w:hint="eastAsia"/>
                <w:spacing w:val="-7"/>
              </w:rPr>
              <w:t>教师</w:t>
            </w:r>
            <w:r>
              <w:rPr>
                <w:rFonts w:hint="eastAsia"/>
              </w:rPr>
              <w:t>端</w:t>
            </w:r>
          </w:p>
        </w:tc>
        <w:tc>
          <w:tcPr>
            <w:tcW w:w="801" w:type="dxa"/>
            <w:tcBorders>
              <w:top w:val="single" w:color="1F2329" w:sz="4" w:space="0"/>
              <w:left w:val="single" w:color="1F2329" w:sz="4" w:space="0"/>
              <w:bottom w:val="single" w:color="1F2329" w:sz="4" w:space="0"/>
              <w:right w:val="single" w:color="1F2329" w:sz="4" w:space="0"/>
            </w:tcBorders>
            <w:vAlign w:val="center"/>
          </w:tcPr>
          <w:p w14:paraId="6717DDCA">
            <w:pPr>
              <w:autoSpaceDE w:val="0"/>
              <w:autoSpaceDN w:val="0"/>
              <w:spacing w:line="244" w:lineRule="auto"/>
              <w:jc w:val="center"/>
              <w:rPr>
                <w:sz w:val="20"/>
              </w:rPr>
            </w:pPr>
          </w:p>
          <w:p w14:paraId="1E550670">
            <w:pPr>
              <w:autoSpaceDE w:val="0"/>
              <w:autoSpaceDN w:val="0"/>
              <w:spacing w:line="244" w:lineRule="auto"/>
              <w:jc w:val="center"/>
              <w:rPr>
                <w:sz w:val="20"/>
              </w:rPr>
            </w:pPr>
          </w:p>
          <w:p w14:paraId="0A28D825">
            <w:pPr>
              <w:autoSpaceDE w:val="0"/>
              <w:autoSpaceDN w:val="0"/>
              <w:spacing w:line="244" w:lineRule="auto"/>
              <w:jc w:val="center"/>
              <w:rPr>
                <w:sz w:val="20"/>
              </w:rPr>
            </w:pPr>
          </w:p>
          <w:p w14:paraId="4BB5FD46">
            <w:pPr>
              <w:autoSpaceDE w:val="0"/>
              <w:autoSpaceDN w:val="0"/>
              <w:spacing w:line="244" w:lineRule="auto"/>
              <w:jc w:val="center"/>
              <w:rPr>
                <w:sz w:val="20"/>
              </w:rPr>
            </w:pPr>
          </w:p>
          <w:p w14:paraId="50A32AA6">
            <w:pPr>
              <w:autoSpaceDE w:val="0"/>
              <w:autoSpaceDN w:val="0"/>
              <w:spacing w:line="244" w:lineRule="auto"/>
              <w:jc w:val="center"/>
              <w:rPr>
                <w:sz w:val="20"/>
              </w:rPr>
            </w:pPr>
          </w:p>
          <w:p w14:paraId="779EAC95">
            <w:pPr>
              <w:autoSpaceDE w:val="0"/>
              <w:autoSpaceDN w:val="0"/>
              <w:spacing w:line="244" w:lineRule="auto"/>
              <w:jc w:val="center"/>
              <w:rPr>
                <w:sz w:val="20"/>
              </w:rPr>
            </w:pPr>
          </w:p>
          <w:p w14:paraId="1AADDBAB">
            <w:pPr>
              <w:autoSpaceDE w:val="0"/>
              <w:autoSpaceDN w:val="0"/>
              <w:spacing w:line="244" w:lineRule="auto"/>
              <w:jc w:val="center"/>
              <w:rPr>
                <w:sz w:val="20"/>
              </w:rPr>
            </w:pPr>
          </w:p>
          <w:p w14:paraId="45A7F553">
            <w:pPr>
              <w:autoSpaceDE w:val="0"/>
              <w:autoSpaceDN w:val="0"/>
              <w:spacing w:line="244" w:lineRule="auto"/>
              <w:jc w:val="center"/>
              <w:rPr>
                <w:sz w:val="20"/>
              </w:rPr>
            </w:pPr>
          </w:p>
          <w:p w14:paraId="7901C70C">
            <w:pPr>
              <w:autoSpaceDE w:val="0"/>
              <w:autoSpaceDN w:val="0"/>
              <w:spacing w:line="244" w:lineRule="auto"/>
              <w:jc w:val="center"/>
              <w:rPr>
                <w:sz w:val="20"/>
              </w:rPr>
            </w:pPr>
          </w:p>
          <w:p w14:paraId="1A43F4F7">
            <w:pPr>
              <w:autoSpaceDE w:val="0"/>
              <w:autoSpaceDN w:val="0"/>
              <w:spacing w:line="244" w:lineRule="auto"/>
              <w:jc w:val="center"/>
              <w:rPr>
                <w:sz w:val="20"/>
              </w:rPr>
            </w:pPr>
          </w:p>
          <w:p w14:paraId="47FBEB7D">
            <w:pPr>
              <w:autoSpaceDE w:val="0"/>
              <w:autoSpaceDN w:val="0"/>
              <w:spacing w:line="244" w:lineRule="auto"/>
              <w:jc w:val="center"/>
              <w:rPr>
                <w:sz w:val="20"/>
              </w:rPr>
            </w:pPr>
          </w:p>
          <w:p w14:paraId="51348DC2">
            <w:pPr>
              <w:autoSpaceDE w:val="0"/>
              <w:autoSpaceDN w:val="0"/>
              <w:spacing w:line="244" w:lineRule="auto"/>
              <w:jc w:val="center"/>
              <w:rPr>
                <w:sz w:val="20"/>
              </w:rPr>
            </w:pPr>
          </w:p>
          <w:p w14:paraId="7CE5512C">
            <w:pPr>
              <w:autoSpaceDE w:val="0"/>
              <w:autoSpaceDN w:val="0"/>
              <w:spacing w:line="244" w:lineRule="auto"/>
              <w:jc w:val="center"/>
              <w:rPr>
                <w:sz w:val="20"/>
              </w:rPr>
            </w:pPr>
          </w:p>
          <w:p w14:paraId="150A04F5">
            <w:pPr>
              <w:autoSpaceDE w:val="0"/>
              <w:autoSpaceDN w:val="0"/>
              <w:spacing w:line="244" w:lineRule="auto"/>
              <w:jc w:val="center"/>
              <w:rPr>
                <w:sz w:val="20"/>
              </w:rPr>
            </w:pPr>
          </w:p>
          <w:p w14:paraId="46A60F98">
            <w:pPr>
              <w:autoSpaceDE w:val="0"/>
              <w:autoSpaceDN w:val="0"/>
              <w:spacing w:line="244" w:lineRule="auto"/>
              <w:jc w:val="center"/>
              <w:rPr>
                <w:sz w:val="20"/>
              </w:rPr>
            </w:pPr>
          </w:p>
          <w:p w14:paraId="62D7731B">
            <w:pPr>
              <w:autoSpaceDE w:val="0"/>
              <w:autoSpaceDN w:val="0"/>
              <w:spacing w:line="244" w:lineRule="auto"/>
              <w:jc w:val="center"/>
              <w:rPr>
                <w:sz w:val="20"/>
              </w:rPr>
            </w:pPr>
          </w:p>
          <w:p w14:paraId="540D4438">
            <w:pPr>
              <w:autoSpaceDE w:val="0"/>
              <w:autoSpaceDN w:val="0"/>
              <w:spacing w:line="244" w:lineRule="auto"/>
              <w:jc w:val="center"/>
              <w:rPr>
                <w:sz w:val="20"/>
              </w:rPr>
            </w:pPr>
          </w:p>
          <w:p w14:paraId="4B7A8AB2">
            <w:pPr>
              <w:pStyle w:val="100"/>
              <w:autoSpaceDE w:val="0"/>
              <w:autoSpaceDN w:val="0"/>
              <w:spacing w:before="78" w:line="218" w:lineRule="auto"/>
              <w:ind w:left="6"/>
              <w:jc w:val="center"/>
              <w:rPr>
                <w:rFonts w:hint="eastAsia"/>
              </w:rPr>
            </w:pPr>
            <w:r>
              <w:rPr>
                <w:rFonts w:hint="eastAsia"/>
                <w:spacing w:val="-3"/>
              </w:rPr>
              <w:t>AI</w:t>
            </w:r>
            <w:r>
              <w:rPr>
                <w:rFonts w:hint="eastAsia"/>
                <w:spacing w:val="-58"/>
              </w:rPr>
              <w:t xml:space="preserve"> </w:t>
            </w:r>
            <w:r>
              <w:rPr>
                <w:rFonts w:hint="eastAsia"/>
                <w:spacing w:val="-3"/>
              </w:rPr>
              <w:t>讲桌</w:t>
            </w:r>
          </w:p>
        </w:tc>
        <w:tc>
          <w:tcPr>
            <w:tcW w:w="10947" w:type="dxa"/>
            <w:tcBorders>
              <w:top w:val="single" w:color="1F2329" w:sz="4" w:space="0"/>
              <w:left w:val="single" w:color="1F2329" w:sz="4" w:space="0"/>
              <w:bottom w:val="single" w:color="1F2329" w:sz="4" w:space="0"/>
              <w:right w:val="single" w:color="1F2329" w:sz="4" w:space="0"/>
            </w:tcBorders>
          </w:tcPr>
          <w:p w14:paraId="5DDC91A3">
            <w:pPr>
              <w:pStyle w:val="100"/>
              <w:autoSpaceDE w:val="0"/>
              <w:autoSpaceDN w:val="0"/>
              <w:spacing w:before="66" w:line="249" w:lineRule="auto"/>
              <w:ind w:left="14" w:right="7" w:firstLine="18"/>
              <w:rPr>
                <w:rFonts w:hint="eastAsia"/>
                <w:spacing w:val="-3"/>
                <w:lang w:eastAsia="zh-CN"/>
              </w:rPr>
            </w:pPr>
            <w:r>
              <w:rPr>
                <w:spacing w:val="-3"/>
                <w:lang w:eastAsia="zh-CN"/>
              </w:rPr>
              <w:t>1.</w:t>
            </w:r>
            <w:r>
              <w:rPr>
                <w:spacing w:val="-3"/>
                <w:lang w:eastAsia="zh-CN"/>
              </w:rPr>
              <w:tab/>
            </w:r>
            <w:r>
              <w:rPr>
                <w:rFonts w:hint="eastAsia"/>
                <w:spacing w:val="-3"/>
                <w:lang w:eastAsia="zh-CN"/>
              </w:rPr>
              <w:t>★台面：集成桌面扩展接口，前方具备立板可用于安装校徽；台面中央区域为主屏，主屏一面为触控屏幕，一面为普通台面，双面可在角度</w:t>
            </w:r>
            <w:r>
              <w:rPr>
                <w:spacing w:val="-3"/>
                <w:lang w:eastAsia="zh-CN"/>
              </w:rPr>
              <w:t>0-180°</w:t>
            </w:r>
            <w:r>
              <w:rPr>
                <w:rFonts w:hint="eastAsia"/>
                <w:spacing w:val="-3"/>
                <w:lang w:eastAsia="zh-CN"/>
              </w:rPr>
              <w:t>之间调节和中轴翻转，可停留在</w:t>
            </w:r>
            <w:r>
              <w:rPr>
                <w:spacing w:val="-3"/>
                <w:lang w:eastAsia="zh-CN"/>
              </w:rPr>
              <w:t>0-180°</w:t>
            </w:r>
            <w:r>
              <w:rPr>
                <w:rFonts w:hint="eastAsia"/>
                <w:spacing w:val="-3"/>
                <w:lang w:eastAsia="zh-CN"/>
              </w:rPr>
              <w:t>任意角度；普通台面可翻转至与台面平齐，可放置笔记本电脑和教材教具等。</w:t>
            </w:r>
          </w:p>
          <w:p w14:paraId="028BA425">
            <w:pPr>
              <w:pStyle w:val="100"/>
              <w:autoSpaceDE w:val="0"/>
              <w:autoSpaceDN w:val="0"/>
              <w:spacing w:before="66" w:line="249" w:lineRule="auto"/>
              <w:ind w:left="14" w:right="7" w:firstLine="18"/>
              <w:rPr>
                <w:rFonts w:hint="eastAsia"/>
                <w:spacing w:val="-3"/>
                <w:lang w:eastAsia="zh-CN"/>
              </w:rPr>
            </w:pPr>
            <w:r>
              <w:rPr>
                <w:spacing w:val="-3"/>
                <w:lang w:eastAsia="zh-CN"/>
              </w:rPr>
              <w:t>2.</w:t>
            </w:r>
            <w:r>
              <w:rPr>
                <w:spacing w:val="-3"/>
                <w:lang w:eastAsia="zh-CN"/>
              </w:rPr>
              <w:tab/>
            </w:r>
            <w:r>
              <w:rPr>
                <w:rFonts w:hint="eastAsia"/>
                <w:spacing w:val="-3"/>
                <w:lang w:eastAsia="zh-CN"/>
              </w:rPr>
              <w:t>要求采用符合人机交互的屏桌双面一体化结构：桌面与屏幕采用一体化双面结构，一面为物理实体桌面，一面为人机交互屏幕，桌面和屏幕绕中轴在</w:t>
            </w:r>
            <w:r>
              <w:rPr>
                <w:spacing w:val="-3"/>
                <w:lang w:eastAsia="zh-CN"/>
              </w:rPr>
              <w:t>0-180°</w:t>
            </w:r>
            <w:r>
              <w:rPr>
                <w:rFonts w:hint="eastAsia"/>
                <w:spacing w:val="-3"/>
                <w:lang w:eastAsia="zh-CN"/>
              </w:rPr>
              <w:t>角度之间调节，实现传统桌面与数字终端的随手切换；屏幕、桌面、主机、桌体采用一体化结构。</w:t>
            </w:r>
          </w:p>
          <w:p w14:paraId="052DD6B7">
            <w:pPr>
              <w:pStyle w:val="100"/>
              <w:autoSpaceDE w:val="0"/>
              <w:autoSpaceDN w:val="0"/>
              <w:spacing w:before="66" w:line="249" w:lineRule="auto"/>
              <w:ind w:left="14" w:right="7" w:firstLine="18"/>
              <w:rPr>
                <w:rFonts w:hint="eastAsia"/>
                <w:spacing w:val="-3"/>
                <w:lang w:eastAsia="zh-CN"/>
              </w:rPr>
            </w:pPr>
            <w:r>
              <w:rPr>
                <w:spacing w:val="-3"/>
                <w:lang w:eastAsia="zh-CN"/>
              </w:rPr>
              <w:t>3.</w:t>
            </w:r>
            <w:r>
              <w:rPr>
                <w:spacing w:val="-3"/>
                <w:lang w:eastAsia="zh-CN"/>
              </w:rPr>
              <w:tab/>
            </w:r>
            <w:r>
              <w:rPr>
                <w:rFonts w:hint="eastAsia"/>
                <w:spacing w:val="-3"/>
                <w:lang w:eastAsia="zh-CN"/>
              </w:rPr>
              <w:t>材质要求：台腿框架采用轻质铝合金材质，屏幕表面采用</w:t>
            </w:r>
            <w:r>
              <w:rPr>
                <w:spacing w:val="-3"/>
                <w:lang w:eastAsia="zh-CN"/>
              </w:rPr>
              <w:t>AF</w:t>
            </w:r>
            <w:r>
              <w:rPr>
                <w:rFonts w:hint="eastAsia"/>
                <w:spacing w:val="-3"/>
                <w:lang w:eastAsia="zh-CN"/>
              </w:rPr>
              <w:t>防指纹钢化玻璃，铝合金边框包边，防滑防撞，表面硬度≥</w:t>
            </w:r>
            <w:r>
              <w:rPr>
                <w:spacing w:val="-3"/>
                <w:lang w:eastAsia="zh-CN"/>
              </w:rPr>
              <w:t>6H</w:t>
            </w:r>
            <w:r>
              <w:rPr>
                <w:rFonts w:hint="eastAsia"/>
                <w:spacing w:val="-3"/>
                <w:lang w:eastAsia="zh-CN"/>
              </w:rPr>
              <w:t>；主屏采用零距离全贴合工艺，钢化玻璃和液晶之间零间隙，无空气层，减少反射、折射，使得显示和画面更加清晰通透，可视角度更广。</w:t>
            </w:r>
          </w:p>
          <w:p w14:paraId="624DC597">
            <w:pPr>
              <w:pStyle w:val="100"/>
              <w:autoSpaceDE w:val="0"/>
              <w:autoSpaceDN w:val="0"/>
              <w:spacing w:before="66" w:line="249" w:lineRule="auto"/>
              <w:ind w:left="14" w:right="7" w:firstLine="18"/>
              <w:rPr>
                <w:rFonts w:hint="eastAsia"/>
                <w:spacing w:val="-3"/>
                <w:lang w:eastAsia="zh-CN"/>
              </w:rPr>
            </w:pPr>
            <w:r>
              <w:rPr>
                <w:spacing w:val="-3"/>
                <w:lang w:eastAsia="zh-CN"/>
              </w:rPr>
              <w:t>4.</w:t>
            </w:r>
            <w:r>
              <w:rPr>
                <w:spacing w:val="-3"/>
                <w:lang w:eastAsia="zh-CN"/>
              </w:rPr>
              <w:tab/>
            </w:r>
            <w:r>
              <w:rPr>
                <w:rFonts w:hint="eastAsia"/>
                <w:spacing w:val="-3"/>
                <w:lang w:eastAsia="zh-CN"/>
              </w:rPr>
              <w:t>智能学习显示模块：采用</w:t>
            </w:r>
            <w:r>
              <w:rPr>
                <w:spacing w:val="-3"/>
                <w:lang w:eastAsia="zh-CN"/>
              </w:rPr>
              <w:t xml:space="preserve"> LED </w:t>
            </w:r>
            <w:r>
              <w:rPr>
                <w:rFonts w:hint="eastAsia"/>
                <w:spacing w:val="-3"/>
                <w:lang w:eastAsia="zh-CN"/>
              </w:rPr>
              <w:t>背光液晶模组，显示尺寸不小于</w:t>
            </w:r>
            <w:r>
              <w:rPr>
                <w:spacing w:val="-3"/>
                <w:lang w:eastAsia="zh-CN"/>
              </w:rPr>
              <w:t xml:space="preserve"> 23 </w:t>
            </w:r>
            <w:r>
              <w:rPr>
                <w:rFonts w:hint="eastAsia"/>
                <w:spacing w:val="-3"/>
                <w:lang w:eastAsia="zh-CN"/>
              </w:rPr>
              <w:t>英寸，屏幕宽高比</w:t>
            </w:r>
            <w:r>
              <w:rPr>
                <w:spacing w:val="-3"/>
                <w:lang w:eastAsia="zh-CN"/>
              </w:rPr>
              <w:t xml:space="preserve"> 16</w:t>
            </w:r>
            <w:r>
              <w:rPr>
                <w:rFonts w:hint="eastAsia"/>
                <w:spacing w:val="-3"/>
                <w:lang w:eastAsia="zh-CN"/>
              </w:rPr>
              <w:t>：</w:t>
            </w:r>
            <w:r>
              <w:rPr>
                <w:spacing w:val="-3"/>
                <w:lang w:eastAsia="zh-CN"/>
              </w:rPr>
              <w:t>9</w:t>
            </w:r>
            <w:r>
              <w:rPr>
                <w:rFonts w:hint="eastAsia"/>
                <w:spacing w:val="-3"/>
                <w:lang w:eastAsia="zh-CN"/>
              </w:rPr>
              <w:t>，最大支持分辨率</w:t>
            </w:r>
            <w:r>
              <w:rPr>
                <w:spacing w:val="-3"/>
                <w:lang w:eastAsia="zh-CN"/>
              </w:rPr>
              <w:t xml:space="preserve"> 1920*1080</w:t>
            </w:r>
            <w:r>
              <w:rPr>
                <w:rFonts w:hint="eastAsia"/>
                <w:spacing w:val="-3"/>
                <w:lang w:eastAsia="zh-CN"/>
              </w:rPr>
              <w:t>。</w:t>
            </w:r>
          </w:p>
          <w:p w14:paraId="0B43E73B">
            <w:pPr>
              <w:pStyle w:val="100"/>
              <w:autoSpaceDE w:val="0"/>
              <w:autoSpaceDN w:val="0"/>
              <w:spacing w:before="66" w:line="249" w:lineRule="auto"/>
              <w:ind w:left="14" w:right="7" w:firstLine="18"/>
              <w:rPr>
                <w:rFonts w:hint="eastAsia"/>
                <w:spacing w:val="-3"/>
                <w:lang w:eastAsia="zh-CN"/>
              </w:rPr>
            </w:pPr>
            <w:r>
              <w:rPr>
                <w:spacing w:val="-3"/>
                <w:lang w:eastAsia="zh-CN"/>
              </w:rPr>
              <w:t>5.</w:t>
            </w:r>
            <w:r>
              <w:rPr>
                <w:spacing w:val="-3"/>
                <w:lang w:eastAsia="zh-CN"/>
              </w:rPr>
              <w:tab/>
            </w:r>
            <w:r>
              <w:rPr>
                <w:rFonts w:hint="eastAsia"/>
                <w:spacing w:val="-3"/>
                <w:lang w:eastAsia="zh-CN"/>
              </w:rPr>
              <w:t>★屏幕可使用专用智能手写笔进行数字绘画，具备原笔迹三维压感识别。</w:t>
            </w:r>
          </w:p>
          <w:p w14:paraId="5977947D">
            <w:pPr>
              <w:pStyle w:val="100"/>
              <w:autoSpaceDE w:val="0"/>
              <w:autoSpaceDN w:val="0"/>
              <w:spacing w:before="66" w:line="249" w:lineRule="auto"/>
              <w:ind w:left="14" w:right="7" w:firstLine="18"/>
              <w:rPr>
                <w:rFonts w:hint="eastAsia"/>
                <w:spacing w:val="-3"/>
                <w:lang w:eastAsia="zh-CN"/>
              </w:rPr>
            </w:pPr>
            <w:r>
              <w:rPr>
                <w:spacing w:val="-3"/>
                <w:lang w:eastAsia="zh-CN"/>
              </w:rPr>
              <w:t>6.</w:t>
            </w:r>
            <w:r>
              <w:rPr>
                <w:spacing w:val="-3"/>
                <w:lang w:eastAsia="zh-CN"/>
              </w:rPr>
              <w:tab/>
            </w:r>
            <w:r>
              <w:rPr>
                <w:rFonts w:hint="eastAsia"/>
                <w:spacing w:val="-3"/>
                <w:lang w:eastAsia="zh-CN"/>
              </w:rPr>
              <w:t>主屏屏幕触控：屏幕采用人机交互触控模式，支持有源主动式触控笔，手指轻触式（不小于</w:t>
            </w:r>
            <w:r>
              <w:rPr>
                <w:spacing w:val="-3"/>
                <w:lang w:eastAsia="zh-CN"/>
              </w:rPr>
              <w:t>8</w:t>
            </w:r>
            <w:r>
              <w:rPr>
                <w:rFonts w:hint="eastAsia"/>
                <w:spacing w:val="-3"/>
                <w:lang w:eastAsia="zh-CN"/>
              </w:rPr>
              <w:t>点触控）互动体验。连续响应速度≤</w:t>
            </w:r>
            <w:r>
              <w:rPr>
                <w:spacing w:val="-3"/>
                <w:lang w:eastAsia="zh-CN"/>
              </w:rPr>
              <w:t>40ms</w:t>
            </w:r>
            <w:r>
              <w:rPr>
                <w:rFonts w:hint="eastAsia"/>
                <w:spacing w:val="-3"/>
                <w:lang w:eastAsia="zh-CN"/>
              </w:rPr>
              <w:t>，触摸精度≤±</w:t>
            </w:r>
            <w:r>
              <w:rPr>
                <w:spacing w:val="-3"/>
                <w:lang w:eastAsia="zh-CN"/>
              </w:rPr>
              <w:t>3mm</w:t>
            </w:r>
            <w:r>
              <w:rPr>
                <w:rFonts w:hint="eastAsia"/>
                <w:spacing w:val="-3"/>
                <w:lang w:eastAsia="zh-CN"/>
              </w:rPr>
              <w:t>；触摸屏识别为鼠标点击操作，手触操作或专用智能手写笔操作。</w:t>
            </w:r>
          </w:p>
          <w:p w14:paraId="55B3FC65">
            <w:pPr>
              <w:pStyle w:val="100"/>
              <w:autoSpaceDE w:val="0"/>
              <w:autoSpaceDN w:val="0"/>
              <w:spacing w:before="66" w:line="249" w:lineRule="auto"/>
              <w:ind w:left="14" w:right="7" w:firstLine="18"/>
              <w:rPr>
                <w:rFonts w:hint="eastAsia"/>
                <w:spacing w:val="-3"/>
                <w:lang w:eastAsia="zh-CN"/>
              </w:rPr>
            </w:pPr>
            <w:r>
              <w:rPr>
                <w:spacing w:val="-3"/>
                <w:lang w:eastAsia="zh-CN"/>
              </w:rPr>
              <w:t>7.</w:t>
            </w:r>
            <w:r>
              <w:rPr>
                <w:spacing w:val="-3"/>
                <w:lang w:eastAsia="zh-CN"/>
              </w:rPr>
              <w:tab/>
            </w:r>
            <w:r>
              <w:rPr>
                <w:rFonts w:hint="eastAsia"/>
                <w:spacing w:val="-3"/>
                <w:lang w:eastAsia="zh-CN"/>
              </w:rPr>
              <w:t>★专用智能手写笔：充电式主动智能书写笔。具有柔性笔尖，在屏幕上模拟纸面书写阻尼感。具有原笔迹压感识别技术。充满电支持续航时间不低于</w:t>
            </w:r>
            <w:r>
              <w:rPr>
                <w:spacing w:val="-3"/>
                <w:lang w:eastAsia="zh-CN"/>
              </w:rPr>
              <w:t xml:space="preserve"> 200 </w:t>
            </w:r>
            <w:r>
              <w:rPr>
                <w:rFonts w:hint="eastAsia"/>
                <w:spacing w:val="-3"/>
                <w:lang w:eastAsia="zh-CN"/>
              </w:rPr>
              <w:t>小时。</w:t>
            </w:r>
          </w:p>
          <w:p w14:paraId="0CBCCF95">
            <w:pPr>
              <w:pStyle w:val="100"/>
              <w:autoSpaceDE w:val="0"/>
              <w:autoSpaceDN w:val="0"/>
              <w:spacing w:before="66" w:line="249" w:lineRule="auto"/>
              <w:ind w:left="14" w:right="7" w:firstLine="18"/>
              <w:rPr>
                <w:rFonts w:hint="eastAsia"/>
                <w:spacing w:val="-3"/>
                <w:lang w:eastAsia="zh-CN"/>
              </w:rPr>
            </w:pPr>
            <w:r>
              <w:rPr>
                <w:spacing w:val="-3"/>
                <w:lang w:eastAsia="zh-CN"/>
              </w:rPr>
              <w:t>8.</w:t>
            </w:r>
            <w:r>
              <w:rPr>
                <w:spacing w:val="-3"/>
                <w:lang w:eastAsia="zh-CN"/>
              </w:rPr>
              <w:tab/>
            </w:r>
            <w:r>
              <w:rPr>
                <w:rFonts w:hint="eastAsia"/>
                <w:spacing w:val="-3"/>
                <w:lang w:eastAsia="zh-CN"/>
              </w:rPr>
              <w:t>开关机键：屏幕面配置独立触摸式开关机键，具有一键开关机功能和开关机状态指示功能，便于管理维护。</w:t>
            </w:r>
          </w:p>
          <w:p w14:paraId="0E6672F4">
            <w:pPr>
              <w:pStyle w:val="100"/>
              <w:autoSpaceDE w:val="0"/>
              <w:autoSpaceDN w:val="0"/>
              <w:spacing w:before="66" w:line="249" w:lineRule="auto"/>
              <w:ind w:left="14" w:right="7" w:firstLine="18"/>
              <w:rPr>
                <w:rFonts w:hint="eastAsia"/>
                <w:spacing w:val="-3"/>
                <w:lang w:eastAsia="zh-CN"/>
              </w:rPr>
            </w:pPr>
            <w:r>
              <w:rPr>
                <w:spacing w:val="-3"/>
                <w:lang w:eastAsia="zh-CN"/>
              </w:rPr>
              <w:t>9.</w:t>
            </w:r>
            <w:r>
              <w:rPr>
                <w:spacing w:val="-3"/>
                <w:lang w:eastAsia="zh-CN"/>
              </w:rPr>
              <w:tab/>
            </w:r>
            <w:r>
              <w:rPr>
                <w:rFonts w:hint="eastAsia"/>
                <w:spacing w:val="-3"/>
                <w:lang w:eastAsia="zh-CN"/>
              </w:rPr>
              <w:t>★智能配件模块：屏幕内前置麦克风及高清前置摄像头，摄像头像素≥</w:t>
            </w:r>
            <w:r>
              <w:rPr>
                <w:spacing w:val="-3"/>
                <w:lang w:eastAsia="zh-CN"/>
              </w:rPr>
              <w:t>200</w:t>
            </w:r>
            <w:r>
              <w:rPr>
                <w:rFonts w:hint="eastAsia"/>
                <w:spacing w:val="-3"/>
                <w:lang w:eastAsia="zh-CN"/>
              </w:rPr>
              <w:t>万像素。</w:t>
            </w:r>
          </w:p>
          <w:p w14:paraId="7090F7C9">
            <w:pPr>
              <w:pStyle w:val="100"/>
              <w:autoSpaceDE w:val="0"/>
              <w:autoSpaceDN w:val="0"/>
              <w:spacing w:before="66" w:line="249" w:lineRule="auto"/>
              <w:ind w:left="14" w:right="7" w:firstLine="18"/>
              <w:rPr>
                <w:rFonts w:hint="eastAsia"/>
                <w:spacing w:val="-3"/>
                <w:lang w:eastAsia="zh-CN"/>
              </w:rPr>
            </w:pPr>
            <w:r>
              <w:rPr>
                <w:spacing w:val="-3"/>
                <w:lang w:eastAsia="zh-CN"/>
              </w:rPr>
              <w:t>10.</w:t>
            </w:r>
            <w:r>
              <w:rPr>
                <w:spacing w:val="-3"/>
                <w:lang w:eastAsia="zh-CN"/>
              </w:rPr>
              <w:tab/>
            </w:r>
            <w:r>
              <w:rPr>
                <w:rFonts w:hint="eastAsia"/>
                <w:spacing w:val="-3"/>
                <w:lang w:eastAsia="zh-CN"/>
              </w:rPr>
              <w:t>输入输出接口：为满足不同设备接入需求，整机提供多种接口，包括</w:t>
            </w:r>
            <w:r>
              <w:rPr>
                <w:spacing w:val="-3"/>
                <w:lang w:eastAsia="zh-CN"/>
              </w:rPr>
              <w:t xml:space="preserve">USB </w:t>
            </w:r>
            <w:r>
              <w:rPr>
                <w:rFonts w:hint="eastAsia"/>
                <w:spacing w:val="-3"/>
                <w:lang w:eastAsia="zh-CN"/>
              </w:rPr>
              <w:t>接口、</w:t>
            </w:r>
            <w:r>
              <w:rPr>
                <w:spacing w:val="-3"/>
                <w:lang w:eastAsia="zh-CN"/>
              </w:rPr>
              <w:t>DC</w:t>
            </w:r>
            <w:r>
              <w:rPr>
                <w:rFonts w:hint="eastAsia"/>
                <w:spacing w:val="-3"/>
                <w:lang w:eastAsia="zh-CN"/>
              </w:rPr>
              <w:t>电源接口、网线接口、</w:t>
            </w:r>
            <w:r>
              <w:rPr>
                <w:spacing w:val="-3"/>
                <w:lang w:eastAsia="zh-CN"/>
              </w:rPr>
              <w:t>HDMI</w:t>
            </w:r>
            <w:r>
              <w:rPr>
                <w:rFonts w:hint="eastAsia"/>
                <w:spacing w:val="-3"/>
                <w:lang w:eastAsia="zh-CN"/>
              </w:rPr>
              <w:t>输出接口、</w:t>
            </w:r>
            <w:r>
              <w:rPr>
                <w:spacing w:val="-3"/>
                <w:lang w:eastAsia="zh-CN"/>
              </w:rPr>
              <w:t xml:space="preserve">3.5mm </w:t>
            </w:r>
            <w:r>
              <w:rPr>
                <w:rFonts w:hint="eastAsia"/>
                <w:spacing w:val="-3"/>
                <w:lang w:eastAsia="zh-CN"/>
              </w:rPr>
              <w:t>音频输出和</w:t>
            </w:r>
            <w:r>
              <w:rPr>
                <w:spacing w:val="-3"/>
                <w:lang w:eastAsia="zh-CN"/>
              </w:rPr>
              <w:t xml:space="preserve">3.5mm MIC </w:t>
            </w:r>
            <w:r>
              <w:rPr>
                <w:rFonts w:hint="eastAsia"/>
                <w:spacing w:val="-3"/>
                <w:lang w:eastAsia="zh-CN"/>
              </w:rPr>
              <w:t>输入。</w:t>
            </w:r>
          </w:p>
          <w:p w14:paraId="4FB863D2">
            <w:pPr>
              <w:pStyle w:val="100"/>
              <w:autoSpaceDE w:val="0"/>
              <w:autoSpaceDN w:val="0"/>
              <w:spacing w:before="66" w:line="249" w:lineRule="auto"/>
              <w:ind w:left="14" w:right="7" w:firstLine="18"/>
              <w:rPr>
                <w:rFonts w:hint="eastAsia"/>
                <w:spacing w:val="-3"/>
                <w:lang w:eastAsia="zh-CN"/>
              </w:rPr>
            </w:pPr>
            <w:r>
              <w:rPr>
                <w:spacing w:val="-3"/>
                <w:lang w:eastAsia="zh-CN"/>
              </w:rPr>
              <w:t>11.</w:t>
            </w:r>
            <w:r>
              <w:rPr>
                <w:spacing w:val="-3"/>
                <w:lang w:eastAsia="zh-CN"/>
              </w:rPr>
              <w:tab/>
            </w:r>
            <w:r>
              <w:rPr>
                <w:rFonts w:hint="eastAsia"/>
                <w:spacing w:val="-3"/>
                <w:lang w:eastAsia="zh-CN"/>
              </w:rPr>
              <w:t>学习算力模块：运行内存≥</w:t>
            </w:r>
            <w:r>
              <w:rPr>
                <w:spacing w:val="-3"/>
                <w:lang w:eastAsia="zh-CN"/>
              </w:rPr>
              <w:t xml:space="preserve"> 8G</w:t>
            </w:r>
            <w:r>
              <w:rPr>
                <w:rFonts w:hint="eastAsia"/>
                <w:spacing w:val="-3"/>
                <w:lang w:eastAsia="zh-CN"/>
              </w:rPr>
              <w:t>；固态存储空间≥</w:t>
            </w:r>
            <w:r>
              <w:rPr>
                <w:spacing w:val="-3"/>
                <w:lang w:eastAsia="zh-CN"/>
              </w:rPr>
              <w:t>256G</w:t>
            </w:r>
            <w:r>
              <w:rPr>
                <w:rFonts w:hint="eastAsia"/>
                <w:spacing w:val="-3"/>
                <w:lang w:eastAsia="zh-CN"/>
              </w:rPr>
              <w:t>。</w:t>
            </w:r>
          </w:p>
          <w:p w14:paraId="6D5AD714">
            <w:pPr>
              <w:pStyle w:val="100"/>
              <w:autoSpaceDE w:val="0"/>
              <w:autoSpaceDN w:val="0"/>
              <w:spacing w:before="66" w:line="249" w:lineRule="auto"/>
              <w:ind w:left="14" w:right="7" w:firstLine="18"/>
              <w:rPr>
                <w:rFonts w:hint="eastAsia"/>
                <w:spacing w:val="-3"/>
                <w:lang w:eastAsia="zh-CN"/>
              </w:rPr>
            </w:pPr>
            <w:r>
              <w:rPr>
                <w:spacing w:val="-3"/>
                <w:lang w:eastAsia="zh-CN"/>
              </w:rPr>
              <w:t>12.</w:t>
            </w:r>
            <w:r>
              <w:rPr>
                <w:spacing w:val="-3"/>
                <w:lang w:eastAsia="zh-CN"/>
              </w:rPr>
              <w:tab/>
            </w:r>
            <w:r>
              <w:rPr>
                <w:rFonts w:hint="eastAsia"/>
                <w:spacing w:val="-3"/>
                <w:lang w:eastAsia="zh-CN"/>
              </w:rPr>
              <w:t>★整机高度调节：整机高度可调，通过电动升降控制可实现控制台面离地高度在</w:t>
            </w:r>
            <w:r>
              <w:rPr>
                <w:spacing w:val="-3"/>
                <w:lang w:eastAsia="zh-CN"/>
              </w:rPr>
              <w:t xml:space="preserve">700mm—900mm </w:t>
            </w:r>
            <w:r>
              <w:rPr>
                <w:rFonts w:hint="eastAsia"/>
                <w:spacing w:val="-3"/>
                <w:lang w:eastAsia="zh-CN"/>
              </w:rPr>
              <w:t>之间无级调节，具备升降功能。</w:t>
            </w:r>
          </w:p>
          <w:p w14:paraId="2F26CBD2">
            <w:pPr>
              <w:pStyle w:val="100"/>
              <w:autoSpaceDE w:val="0"/>
              <w:autoSpaceDN w:val="0"/>
              <w:spacing w:before="66" w:line="249" w:lineRule="auto"/>
              <w:ind w:left="14" w:right="7" w:firstLine="18"/>
              <w:rPr>
                <w:rFonts w:hint="eastAsia"/>
                <w:spacing w:val="-3"/>
                <w:lang w:eastAsia="zh-CN"/>
              </w:rPr>
            </w:pPr>
            <w:r>
              <w:rPr>
                <w:spacing w:val="-3"/>
                <w:lang w:eastAsia="zh-CN"/>
              </w:rPr>
              <w:t>13.</w:t>
            </w:r>
            <w:r>
              <w:rPr>
                <w:spacing w:val="-3"/>
                <w:lang w:eastAsia="zh-CN"/>
              </w:rPr>
              <w:tab/>
            </w:r>
            <w:r>
              <w:rPr>
                <w:rFonts w:hint="eastAsia"/>
                <w:spacing w:val="-3"/>
                <w:lang w:eastAsia="zh-CN"/>
              </w:rPr>
              <w:t>设备接入电源：通过直流电源适配器供电，主机接入电压≤</w:t>
            </w:r>
            <w:r>
              <w:rPr>
                <w:spacing w:val="-3"/>
                <w:lang w:eastAsia="zh-CN"/>
              </w:rPr>
              <w:t xml:space="preserve">36V </w:t>
            </w:r>
            <w:r>
              <w:rPr>
                <w:rFonts w:hint="eastAsia"/>
                <w:spacing w:val="-3"/>
                <w:lang w:eastAsia="zh-CN"/>
              </w:rPr>
              <w:t>。</w:t>
            </w:r>
          </w:p>
          <w:p w14:paraId="7A2E24CE">
            <w:pPr>
              <w:pStyle w:val="100"/>
              <w:autoSpaceDE w:val="0"/>
              <w:autoSpaceDN w:val="0"/>
              <w:spacing w:before="66" w:line="249" w:lineRule="auto"/>
              <w:ind w:left="14" w:right="7" w:firstLine="18"/>
              <w:rPr>
                <w:rFonts w:hint="eastAsia"/>
                <w:spacing w:val="-3"/>
                <w:lang w:eastAsia="zh-CN"/>
              </w:rPr>
            </w:pPr>
            <w:r>
              <w:rPr>
                <w:spacing w:val="-3"/>
                <w:lang w:eastAsia="zh-CN"/>
              </w:rPr>
              <w:t>14.</w:t>
            </w:r>
            <w:r>
              <w:rPr>
                <w:spacing w:val="-3"/>
                <w:lang w:eastAsia="zh-CN"/>
              </w:rPr>
              <w:tab/>
            </w:r>
            <w:r>
              <w:rPr>
                <w:rFonts w:hint="eastAsia"/>
                <w:spacing w:val="-3"/>
                <w:lang w:eastAsia="zh-CN"/>
              </w:rPr>
              <w:t>网络支持：提供多样化的网络接入方式，可使用网线接入网络或外置</w:t>
            </w:r>
            <w:r>
              <w:rPr>
                <w:spacing w:val="-3"/>
                <w:lang w:eastAsia="zh-CN"/>
              </w:rPr>
              <w:t>WiFi</w:t>
            </w:r>
            <w:r>
              <w:rPr>
                <w:rFonts w:hint="eastAsia"/>
                <w:spacing w:val="-3"/>
                <w:lang w:eastAsia="zh-CN"/>
              </w:rPr>
              <w:t>、蓝牙模块设备接入网络。</w:t>
            </w:r>
          </w:p>
          <w:p w14:paraId="35F1D950">
            <w:pPr>
              <w:pStyle w:val="100"/>
              <w:autoSpaceDE w:val="0"/>
              <w:autoSpaceDN w:val="0"/>
              <w:spacing w:before="66" w:line="249" w:lineRule="auto"/>
              <w:ind w:left="14" w:right="7" w:firstLine="18"/>
              <w:rPr>
                <w:rFonts w:hint="eastAsia"/>
                <w:spacing w:val="-3"/>
                <w:lang w:eastAsia="zh-CN"/>
              </w:rPr>
            </w:pPr>
            <w:r>
              <w:rPr>
                <w:spacing w:val="-3"/>
                <w:lang w:eastAsia="zh-CN"/>
              </w:rPr>
              <w:t>15.</w:t>
            </w:r>
            <w:r>
              <w:rPr>
                <w:spacing w:val="-3"/>
                <w:lang w:eastAsia="zh-CN"/>
              </w:rPr>
              <w:tab/>
            </w:r>
            <w:r>
              <w:rPr>
                <w:rFonts w:hint="eastAsia"/>
                <w:spacing w:val="-3"/>
                <w:lang w:eastAsia="zh-CN"/>
              </w:rPr>
              <w:t>操作系统：</w:t>
            </w:r>
            <w:r>
              <w:rPr>
                <w:spacing w:val="-3"/>
                <w:lang w:eastAsia="zh-CN"/>
              </w:rPr>
              <w:t xml:space="preserve">64 </w:t>
            </w:r>
            <w:r>
              <w:rPr>
                <w:rFonts w:hint="eastAsia"/>
                <w:spacing w:val="-3"/>
                <w:lang w:eastAsia="zh-CN"/>
              </w:rPr>
              <w:t>位</w:t>
            </w:r>
            <w:r>
              <w:rPr>
                <w:spacing w:val="-3"/>
                <w:lang w:eastAsia="zh-CN"/>
              </w:rPr>
              <w:t xml:space="preserve"> Windows </w:t>
            </w:r>
            <w:r>
              <w:rPr>
                <w:rFonts w:hint="eastAsia"/>
                <w:spacing w:val="-3"/>
                <w:lang w:eastAsia="zh-CN"/>
              </w:rPr>
              <w:t>操作系统，</w:t>
            </w:r>
            <w:r>
              <w:rPr>
                <w:spacing w:val="-3"/>
                <w:lang w:eastAsia="zh-CN"/>
              </w:rPr>
              <w:t>Windows</w:t>
            </w:r>
            <w:r>
              <w:rPr>
                <w:rFonts w:hint="eastAsia"/>
                <w:spacing w:val="-3"/>
                <w:lang w:eastAsia="zh-CN"/>
              </w:rPr>
              <w:t>具备应用软件安装、卸载，可重装系统。具备</w:t>
            </w:r>
            <w:r>
              <w:rPr>
                <w:spacing w:val="-3"/>
                <w:lang w:eastAsia="zh-CN"/>
              </w:rPr>
              <w:t xml:space="preserve"> WMV</w:t>
            </w:r>
            <w:r>
              <w:rPr>
                <w:rFonts w:hint="eastAsia"/>
                <w:spacing w:val="-3"/>
                <w:lang w:eastAsia="zh-CN"/>
              </w:rPr>
              <w:t>、</w:t>
            </w:r>
            <w:r>
              <w:rPr>
                <w:spacing w:val="-3"/>
                <w:lang w:eastAsia="zh-CN"/>
              </w:rPr>
              <w:t>AVI</w:t>
            </w:r>
            <w:r>
              <w:rPr>
                <w:rFonts w:hint="eastAsia"/>
                <w:spacing w:val="-3"/>
                <w:lang w:eastAsia="zh-CN"/>
              </w:rPr>
              <w:t>、</w:t>
            </w:r>
            <w:r>
              <w:rPr>
                <w:spacing w:val="-3"/>
                <w:lang w:eastAsia="zh-CN"/>
              </w:rPr>
              <w:t>FLV</w:t>
            </w:r>
            <w:r>
              <w:rPr>
                <w:rFonts w:hint="eastAsia"/>
                <w:spacing w:val="-3"/>
                <w:lang w:eastAsia="zh-CN"/>
              </w:rPr>
              <w:t>、</w:t>
            </w:r>
            <w:r>
              <w:rPr>
                <w:spacing w:val="-3"/>
                <w:lang w:eastAsia="zh-CN"/>
              </w:rPr>
              <w:t>RM</w:t>
            </w:r>
            <w:r>
              <w:rPr>
                <w:rFonts w:hint="eastAsia"/>
                <w:spacing w:val="-3"/>
                <w:lang w:eastAsia="zh-CN"/>
              </w:rPr>
              <w:t>、</w:t>
            </w:r>
            <w:r>
              <w:rPr>
                <w:spacing w:val="-3"/>
                <w:lang w:eastAsia="zh-CN"/>
              </w:rPr>
              <w:t>RMVB</w:t>
            </w:r>
            <w:r>
              <w:rPr>
                <w:rFonts w:hint="eastAsia"/>
                <w:spacing w:val="-3"/>
                <w:lang w:eastAsia="zh-CN"/>
              </w:rPr>
              <w:t>、</w:t>
            </w:r>
            <w:r>
              <w:rPr>
                <w:spacing w:val="-3"/>
                <w:lang w:eastAsia="zh-CN"/>
              </w:rPr>
              <w:t>MPEG</w:t>
            </w:r>
            <w:r>
              <w:rPr>
                <w:rFonts w:hint="eastAsia"/>
                <w:spacing w:val="-3"/>
                <w:lang w:eastAsia="zh-CN"/>
              </w:rPr>
              <w:t>、</w:t>
            </w:r>
            <w:r>
              <w:rPr>
                <w:spacing w:val="-3"/>
                <w:lang w:eastAsia="zh-CN"/>
              </w:rPr>
              <w:t>TS</w:t>
            </w:r>
            <w:r>
              <w:rPr>
                <w:rFonts w:hint="eastAsia"/>
                <w:spacing w:val="-3"/>
                <w:lang w:eastAsia="zh-CN"/>
              </w:rPr>
              <w:t>、</w:t>
            </w:r>
            <w:r>
              <w:rPr>
                <w:spacing w:val="-3"/>
                <w:lang w:eastAsia="zh-CN"/>
              </w:rPr>
              <w:t xml:space="preserve">MP4 </w:t>
            </w:r>
            <w:r>
              <w:rPr>
                <w:rFonts w:hint="eastAsia"/>
                <w:spacing w:val="-3"/>
                <w:lang w:eastAsia="zh-CN"/>
              </w:rPr>
              <w:t>等常用格式彩色视频播放功能，具备</w:t>
            </w:r>
            <w:r>
              <w:rPr>
                <w:spacing w:val="-3"/>
                <w:lang w:eastAsia="zh-CN"/>
              </w:rPr>
              <w:t xml:space="preserve"> BMP</w:t>
            </w:r>
            <w:r>
              <w:rPr>
                <w:rFonts w:hint="eastAsia"/>
                <w:spacing w:val="-3"/>
                <w:lang w:eastAsia="zh-CN"/>
              </w:rPr>
              <w:t>、</w:t>
            </w:r>
            <w:r>
              <w:rPr>
                <w:spacing w:val="-3"/>
                <w:lang w:eastAsia="zh-CN"/>
              </w:rPr>
              <w:t>JPEG</w:t>
            </w:r>
            <w:r>
              <w:rPr>
                <w:rFonts w:hint="eastAsia"/>
                <w:spacing w:val="-3"/>
                <w:lang w:eastAsia="zh-CN"/>
              </w:rPr>
              <w:t>、</w:t>
            </w:r>
            <w:r>
              <w:rPr>
                <w:spacing w:val="-3"/>
                <w:lang w:eastAsia="zh-CN"/>
              </w:rPr>
              <w:t>PNG</w:t>
            </w:r>
            <w:r>
              <w:rPr>
                <w:rFonts w:hint="eastAsia"/>
                <w:spacing w:val="-3"/>
                <w:lang w:eastAsia="zh-CN"/>
              </w:rPr>
              <w:t>、</w:t>
            </w:r>
            <w:r>
              <w:rPr>
                <w:spacing w:val="-3"/>
                <w:lang w:eastAsia="zh-CN"/>
              </w:rPr>
              <w:t xml:space="preserve">GIF </w:t>
            </w:r>
            <w:r>
              <w:rPr>
                <w:rFonts w:hint="eastAsia"/>
                <w:spacing w:val="-3"/>
                <w:lang w:eastAsia="zh-CN"/>
              </w:rPr>
              <w:t>等格式彩色图片查看等功能。</w:t>
            </w:r>
          </w:p>
          <w:p w14:paraId="53A60C01">
            <w:pPr>
              <w:pStyle w:val="100"/>
              <w:autoSpaceDE w:val="0"/>
              <w:autoSpaceDN w:val="0"/>
              <w:spacing w:before="66" w:line="249" w:lineRule="auto"/>
              <w:ind w:left="14" w:right="7" w:firstLine="18"/>
              <w:rPr>
                <w:rFonts w:hint="eastAsia"/>
                <w:spacing w:val="-3"/>
                <w:lang w:eastAsia="zh-CN"/>
              </w:rPr>
            </w:pPr>
            <w:r>
              <w:rPr>
                <w:spacing w:val="-3"/>
                <w:lang w:eastAsia="zh-CN"/>
              </w:rPr>
              <w:t>16.</w:t>
            </w:r>
            <w:r>
              <w:rPr>
                <w:spacing w:val="-3"/>
                <w:lang w:eastAsia="zh-CN"/>
              </w:rPr>
              <w:tab/>
            </w:r>
            <w:r>
              <w:rPr>
                <w:rFonts w:hint="eastAsia"/>
                <w:spacing w:val="-3"/>
                <w:lang w:eastAsia="zh-CN"/>
              </w:rPr>
              <w:t>护眼健康：具备软件调整屏显色温，一键去蓝光。</w:t>
            </w:r>
          </w:p>
          <w:p w14:paraId="7679CA01">
            <w:pPr>
              <w:pStyle w:val="100"/>
              <w:autoSpaceDE w:val="0"/>
              <w:autoSpaceDN w:val="0"/>
              <w:spacing w:before="66" w:line="249" w:lineRule="auto"/>
              <w:ind w:left="14" w:right="7" w:firstLine="18"/>
              <w:rPr>
                <w:rFonts w:hint="eastAsia"/>
                <w:spacing w:val="-3"/>
                <w:lang w:eastAsia="zh-CN"/>
              </w:rPr>
            </w:pPr>
            <w:r>
              <w:rPr>
                <w:spacing w:val="-3"/>
                <w:lang w:eastAsia="zh-CN"/>
              </w:rPr>
              <w:t>17.</w:t>
            </w:r>
            <w:r>
              <w:rPr>
                <w:spacing w:val="-3"/>
                <w:lang w:eastAsia="zh-CN"/>
              </w:rPr>
              <w:tab/>
            </w:r>
            <w:r>
              <w:rPr>
                <w:rFonts w:hint="eastAsia"/>
                <w:spacing w:val="-3"/>
                <w:lang w:eastAsia="zh-CN"/>
              </w:rPr>
              <w:t>系统导航：在系统导航界面上可以设置快捷按键，可以实现一键启动应用、一键返回桌面、一键截屏等功能；可接入国家教育智慧平台和客户指定网站；可定制软件快捷方式及网页链接；主页图标≥</w:t>
            </w:r>
            <w:r>
              <w:rPr>
                <w:spacing w:val="-3"/>
                <w:lang w:eastAsia="zh-CN"/>
              </w:rPr>
              <w:t>15</w:t>
            </w:r>
            <w:r>
              <w:rPr>
                <w:rFonts w:hint="eastAsia"/>
                <w:spacing w:val="-3"/>
                <w:lang w:eastAsia="zh-CN"/>
              </w:rPr>
              <w:t>个，可第二屏添加，折叠页图标≥</w:t>
            </w:r>
            <w:r>
              <w:rPr>
                <w:spacing w:val="-3"/>
                <w:lang w:eastAsia="zh-CN"/>
              </w:rPr>
              <w:t>100</w:t>
            </w:r>
            <w:r>
              <w:rPr>
                <w:rFonts w:hint="eastAsia"/>
                <w:spacing w:val="-3"/>
                <w:lang w:eastAsia="zh-CN"/>
              </w:rPr>
              <w:t>个；具备开机自动运行功能，全屏化显示；可通过触控屏和智能笔点击进入连接网站及应用程序；</w:t>
            </w:r>
          </w:p>
          <w:p w14:paraId="4A901429">
            <w:pPr>
              <w:pStyle w:val="100"/>
              <w:autoSpaceDE w:val="0"/>
              <w:autoSpaceDN w:val="0"/>
              <w:spacing w:before="66" w:line="249" w:lineRule="auto"/>
              <w:ind w:left="14" w:right="7" w:firstLine="18"/>
              <w:rPr>
                <w:rFonts w:hint="eastAsia"/>
                <w:spacing w:val="-3"/>
                <w:lang w:eastAsia="zh-CN"/>
              </w:rPr>
            </w:pPr>
            <w:r>
              <w:rPr>
                <w:spacing w:val="-3"/>
                <w:lang w:eastAsia="zh-CN"/>
              </w:rPr>
              <w:t>18.</w:t>
            </w:r>
            <w:r>
              <w:rPr>
                <w:spacing w:val="-3"/>
                <w:lang w:eastAsia="zh-CN"/>
              </w:rPr>
              <w:tab/>
            </w:r>
            <w:r>
              <w:rPr>
                <w:rFonts w:hint="eastAsia"/>
                <w:spacing w:val="-3"/>
                <w:lang w:eastAsia="zh-CN"/>
              </w:rPr>
              <w:t>显示联动：具备主屏与智能黑板互动功能，满足老师教学时显示画面同步、智能黑板操作控制、板书书写、批注，老师讲课无需转身背对学生，提高授课效率</w:t>
            </w:r>
            <w:r>
              <w:rPr>
                <w:spacing w:val="-3"/>
                <w:lang w:eastAsia="zh-CN"/>
              </w:rPr>
              <w:t>;</w:t>
            </w:r>
          </w:p>
          <w:p w14:paraId="4F45CDB8">
            <w:pPr>
              <w:pStyle w:val="100"/>
              <w:autoSpaceDE w:val="0"/>
              <w:autoSpaceDN w:val="0"/>
              <w:spacing w:before="66" w:line="249" w:lineRule="auto"/>
              <w:ind w:left="14" w:right="7" w:firstLine="18"/>
              <w:rPr>
                <w:rFonts w:hint="eastAsia"/>
                <w:spacing w:val="-3"/>
                <w:lang w:eastAsia="zh-CN"/>
              </w:rPr>
            </w:pPr>
            <w:r>
              <w:rPr>
                <w:spacing w:val="-3"/>
                <w:lang w:eastAsia="zh-CN"/>
              </w:rPr>
              <w:t>19.</w:t>
            </w:r>
            <w:r>
              <w:rPr>
                <w:spacing w:val="-3"/>
                <w:lang w:eastAsia="zh-CN"/>
              </w:rPr>
              <w:tab/>
            </w:r>
            <w:r>
              <w:rPr>
                <w:rFonts w:hint="eastAsia"/>
                <w:spacing w:val="-3"/>
                <w:lang w:eastAsia="zh-CN"/>
              </w:rPr>
              <w:t>数字批注：具备批注功能，多种笔形选择在教学时，可以通过批注功能将当前教学的重点内容进行批注；批注有多种笔型和颜色供选择，包含铅笔、荧光笔、激光笔；</w:t>
            </w:r>
          </w:p>
          <w:p w14:paraId="45EE5C7E">
            <w:pPr>
              <w:pStyle w:val="100"/>
              <w:autoSpaceDE w:val="0"/>
              <w:autoSpaceDN w:val="0"/>
              <w:spacing w:before="66" w:line="249" w:lineRule="auto"/>
              <w:ind w:left="14" w:right="7" w:firstLine="18"/>
              <w:rPr>
                <w:rFonts w:hint="eastAsia"/>
                <w:spacing w:val="-3"/>
                <w:lang w:eastAsia="zh-CN"/>
              </w:rPr>
            </w:pPr>
            <w:r>
              <w:rPr>
                <w:spacing w:val="-3"/>
                <w:lang w:eastAsia="zh-CN"/>
              </w:rPr>
              <w:t>20.</w:t>
            </w:r>
            <w:r>
              <w:rPr>
                <w:spacing w:val="-3"/>
                <w:lang w:eastAsia="zh-CN"/>
              </w:rPr>
              <w:tab/>
            </w:r>
            <w:r>
              <w:rPr>
                <w:rFonts w:hint="eastAsia"/>
                <w:spacing w:val="-3"/>
                <w:lang w:eastAsia="zh-CN"/>
              </w:rPr>
              <w:t>数字板书：老师在屏幕上可以自由进行涂画和书写，白板模式下书写效果提供铅笔、毛笔、马克笔、印章笔、纹理笔、粉笔等多种书写功能，支持擦除、清空、页面选择、保存板书等操作</w:t>
            </w:r>
            <w:r>
              <w:rPr>
                <w:spacing w:val="-3"/>
                <w:lang w:eastAsia="zh-CN"/>
              </w:rPr>
              <w:t>;</w:t>
            </w:r>
            <w:r>
              <w:rPr>
                <w:rFonts w:hint="eastAsia"/>
                <w:spacing w:val="-3"/>
                <w:lang w:eastAsia="zh-CN"/>
              </w:rPr>
              <w:t>可自由调节书写粗细、颜色、线型，方便板书，模拟真实粉笔板书体验，不仅能模拟粉笔笔迹，同时带有粉尘下落效果。</w:t>
            </w:r>
          </w:p>
          <w:p w14:paraId="4E04827E">
            <w:pPr>
              <w:pStyle w:val="100"/>
              <w:autoSpaceDE w:val="0"/>
              <w:autoSpaceDN w:val="0"/>
              <w:spacing w:before="66" w:line="249" w:lineRule="auto"/>
              <w:ind w:left="14" w:right="7" w:firstLine="18"/>
              <w:rPr>
                <w:rFonts w:hint="eastAsia"/>
                <w:spacing w:val="-3"/>
                <w:lang w:eastAsia="zh-CN"/>
              </w:rPr>
            </w:pPr>
            <w:r>
              <w:rPr>
                <w:spacing w:val="-3"/>
                <w:lang w:eastAsia="zh-CN"/>
              </w:rPr>
              <w:t>21.</w:t>
            </w:r>
            <w:r>
              <w:rPr>
                <w:spacing w:val="-3"/>
                <w:lang w:eastAsia="zh-CN"/>
              </w:rPr>
              <w:tab/>
            </w:r>
            <w:r>
              <w:rPr>
                <w:rFonts w:hint="eastAsia"/>
                <w:spacing w:val="-3"/>
                <w:lang w:eastAsia="zh-CN"/>
              </w:rPr>
              <w:t>智能截屏：具备截屏、录屏功能，可截全屏、自由区域截屏，截屏、录屏自动保存到本地电脑指定文件目录，便于课后分享给学生。</w:t>
            </w:r>
          </w:p>
          <w:p w14:paraId="6AAF9809">
            <w:pPr>
              <w:pStyle w:val="100"/>
              <w:autoSpaceDE w:val="0"/>
              <w:autoSpaceDN w:val="0"/>
              <w:spacing w:before="66" w:line="249" w:lineRule="auto"/>
              <w:ind w:left="14" w:right="7" w:firstLine="18"/>
              <w:rPr>
                <w:rFonts w:hint="eastAsia"/>
                <w:spacing w:val="-3"/>
                <w:lang w:eastAsia="zh-CN"/>
              </w:rPr>
            </w:pPr>
            <w:r>
              <w:rPr>
                <w:spacing w:val="-3"/>
                <w:lang w:eastAsia="zh-CN"/>
              </w:rPr>
              <w:t>22.</w:t>
            </w:r>
            <w:r>
              <w:rPr>
                <w:spacing w:val="-3"/>
                <w:lang w:eastAsia="zh-CN"/>
              </w:rPr>
              <w:tab/>
            </w:r>
            <w:r>
              <w:rPr>
                <w:rFonts w:hint="eastAsia"/>
                <w:spacing w:val="-3"/>
                <w:lang w:eastAsia="zh-CN"/>
              </w:rPr>
              <w:t>复合型学习空间功能</w:t>
            </w:r>
          </w:p>
          <w:p w14:paraId="16DF6CA4">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1</w:t>
            </w:r>
            <w:r>
              <w:rPr>
                <w:rFonts w:hint="eastAsia"/>
                <w:spacing w:val="-3"/>
                <w:lang w:eastAsia="zh-CN"/>
              </w:rPr>
              <w:t>）智能学习空间系统：在系统界面上全屏覆盖智能教学空间系统，整合多个教育网站和应用，通过触控可以直接打开虚拟现实空间、智能体、数字绘画、仿真乐器等应用软件，可以一键进入国家智慧中小学教育平台，具备数字绘画课堂、数字音乐课堂等多场景教学功能。可以实现一键启动应用、一键返回桌面等功能。</w:t>
            </w:r>
          </w:p>
          <w:p w14:paraId="5746353C">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2</w:t>
            </w:r>
            <w:r>
              <w:rPr>
                <w:rFonts w:hint="eastAsia"/>
                <w:spacing w:val="-3"/>
                <w:lang w:eastAsia="zh-CN"/>
              </w:rPr>
              <w:t>）数字绘画教学：可进行数字化绘画作品及创作过程的教学演示，具备播放多媒体美术教学素材和临摹样板功能，可在同一屏幕内同时显示临摹样板和数字画板，通过手写笔及手指在屏幕进行数字绘画，具备笔优先机制，使用手写笔进行屏幕绘画时，手触不会造成误触。</w:t>
            </w:r>
          </w:p>
          <w:p w14:paraId="44C9B940">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3</w:t>
            </w:r>
            <w:r>
              <w:rPr>
                <w:rFonts w:hint="eastAsia"/>
                <w:spacing w:val="-3"/>
                <w:lang w:eastAsia="zh-CN"/>
              </w:rPr>
              <w:t>）数字绘画：内嵌数字画板，具备新建自定义画布尺寸，并提供网格和标尺对照。提供不少于</w:t>
            </w:r>
            <w:r>
              <w:rPr>
                <w:spacing w:val="-3"/>
                <w:lang w:eastAsia="zh-CN"/>
              </w:rPr>
              <w:t>9</w:t>
            </w:r>
            <w:r>
              <w:rPr>
                <w:rFonts w:hint="eastAsia"/>
                <w:spacing w:val="-3"/>
                <w:lang w:eastAsia="zh-CN"/>
              </w:rPr>
              <w:t>种的仿真笔刷，</w:t>
            </w:r>
            <w:r>
              <w:rPr>
                <w:spacing w:val="-3"/>
                <w:lang w:eastAsia="zh-CN"/>
              </w:rPr>
              <w:t>4</w:t>
            </w:r>
            <w:r>
              <w:rPr>
                <w:rFonts w:hint="eastAsia"/>
                <w:spacing w:val="-3"/>
                <w:lang w:eastAsia="zh-CN"/>
              </w:rPr>
              <w:t>个等级线条粗细。提供不少于</w:t>
            </w:r>
            <w:r>
              <w:rPr>
                <w:spacing w:val="-3"/>
                <w:lang w:eastAsia="zh-CN"/>
              </w:rPr>
              <w:t>48</w:t>
            </w:r>
            <w:r>
              <w:rPr>
                <w:rFonts w:hint="eastAsia"/>
                <w:spacing w:val="-3"/>
                <w:lang w:eastAsia="zh-CN"/>
              </w:rPr>
              <w:t>种基本颜色，具备</w:t>
            </w:r>
            <w:r>
              <w:rPr>
                <w:spacing w:val="-3"/>
                <w:lang w:eastAsia="zh-CN"/>
              </w:rPr>
              <w:t>RGB</w:t>
            </w:r>
            <w:r>
              <w:rPr>
                <w:rFonts w:hint="eastAsia"/>
                <w:spacing w:val="-3"/>
                <w:lang w:eastAsia="zh-CN"/>
              </w:rPr>
              <w:t>、</w:t>
            </w:r>
            <w:r>
              <w:rPr>
                <w:spacing w:val="-3"/>
                <w:lang w:eastAsia="zh-CN"/>
              </w:rPr>
              <w:t>HSV</w:t>
            </w:r>
            <w:r>
              <w:rPr>
                <w:rFonts w:hint="eastAsia"/>
                <w:spacing w:val="-3"/>
                <w:lang w:eastAsia="zh-CN"/>
              </w:rPr>
              <w:t>调色及不少于</w:t>
            </w:r>
            <w:r>
              <w:rPr>
                <w:spacing w:val="-3"/>
                <w:lang w:eastAsia="zh-CN"/>
              </w:rPr>
              <w:t>24</w:t>
            </w:r>
            <w:r>
              <w:rPr>
                <w:rFonts w:hint="eastAsia"/>
                <w:spacing w:val="-3"/>
                <w:lang w:eastAsia="zh-CN"/>
              </w:rPr>
              <w:t>种自定义颜色。提供不少于</w:t>
            </w:r>
            <w:r>
              <w:rPr>
                <w:spacing w:val="-3"/>
                <w:lang w:eastAsia="zh-CN"/>
              </w:rPr>
              <w:t>23</w:t>
            </w:r>
            <w:r>
              <w:rPr>
                <w:rFonts w:hint="eastAsia"/>
                <w:spacing w:val="-3"/>
                <w:lang w:eastAsia="zh-CN"/>
              </w:rPr>
              <w:t>种基本几何形状，并可对图形提供不少于</w:t>
            </w:r>
            <w:r>
              <w:rPr>
                <w:spacing w:val="-3"/>
                <w:lang w:eastAsia="zh-CN"/>
              </w:rPr>
              <w:t>6</w:t>
            </w:r>
            <w:r>
              <w:rPr>
                <w:rFonts w:hint="eastAsia"/>
                <w:spacing w:val="-3"/>
                <w:lang w:eastAsia="zh-CN"/>
              </w:rPr>
              <w:t>种笔刷轮廓线。具备分图层绘画，图层叠加数量不少于</w:t>
            </w:r>
            <w:r>
              <w:rPr>
                <w:spacing w:val="-3"/>
                <w:lang w:eastAsia="zh-CN"/>
              </w:rPr>
              <w:t>10</w:t>
            </w:r>
            <w:r>
              <w:rPr>
                <w:rFonts w:hint="eastAsia"/>
                <w:spacing w:val="-3"/>
                <w:lang w:eastAsia="zh-CN"/>
              </w:rPr>
              <w:t>层。可导入图片文件进行裁剪、重设尺寸、角度翻转、删除背景以及编辑作品的本地化保存。屏幕可根据绘画要求进行度</w:t>
            </w:r>
            <w:r>
              <w:rPr>
                <w:spacing w:val="-3"/>
                <w:lang w:eastAsia="zh-CN"/>
              </w:rPr>
              <w:t>0°-180°</w:t>
            </w:r>
            <w:r>
              <w:rPr>
                <w:rFonts w:hint="eastAsia"/>
                <w:spacing w:val="-3"/>
                <w:lang w:eastAsia="zh-CN"/>
              </w:rPr>
              <w:t>的调整。</w:t>
            </w:r>
          </w:p>
          <w:p w14:paraId="78651969">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4</w:t>
            </w:r>
            <w:r>
              <w:rPr>
                <w:rFonts w:hint="eastAsia"/>
                <w:spacing w:val="-3"/>
                <w:lang w:eastAsia="zh-CN"/>
              </w:rPr>
              <w:t>）数字音乐教学：具备教学多媒体文件的播放功能，通过手写笔或手指在屏幕进行乐器的弹奏，可双手同时进行触控弹奏，还原真实乐器的弹奏姿态。具备外放声音或通过外接耳机听音。</w:t>
            </w:r>
          </w:p>
          <w:p w14:paraId="4A8D5BB8">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5</w:t>
            </w:r>
            <w:r>
              <w:rPr>
                <w:rFonts w:hint="eastAsia"/>
                <w:spacing w:val="-3"/>
                <w:lang w:eastAsia="zh-CN"/>
              </w:rPr>
              <w:t>）电子钢琴：内嵌电子钢琴，通过触摸屏进行电子钢琴的弹奏，可双手十指同时进行触控弹奏支持音调变化，具有</w:t>
            </w:r>
            <w:r>
              <w:rPr>
                <w:spacing w:val="-3"/>
                <w:lang w:eastAsia="zh-CN"/>
              </w:rPr>
              <w:t>5</w:t>
            </w:r>
            <w:r>
              <w:rPr>
                <w:rFonts w:hint="eastAsia"/>
                <w:spacing w:val="-3"/>
                <w:lang w:eastAsia="zh-CN"/>
              </w:rPr>
              <w:t>档调节，数字化显示钢琴键频率。可仿真不少于</w:t>
            </w:r>
            <w:r>
              <w:rPr>
                <w:spacing w:val="-3"/>
                <w:lang w:eastAsia="zh-CN"/>
              </w:rPr>
              <w:t>97</w:t>
            </w:r>
            <w:r>
              <w:rPr>
                <w:rFonts w:hint="eastAsia"/>
                <w:spacing w:val="-3"/>
                <w:lang w:eastAsia="zh-CN"/>
              </w:rPr>
              <w:t>键的钢琴音色以及八度移位。内置节拍器，</w:t>
            </w:r>
            <w:r>
              <w:rPr>
                <w:spacing w:val="-3"/>
                <w:lang w:eastAsia="zh-CN"/>
              </w:rPr>
              <w:t>2~4</w:t>
            </w:r>
            <w:r>
              <w:rPr>
                <w:rFonts w:hint="eastAsia"/>
                <w:spacing w:val="-3"/>
                <w:lang w:eastAsia="zh-CN"/>
              </w:rPr>
              <w:t>可见八度音阶。琴键上显示琴键符号，显示键盘与琴键的对应关系。选项设置具备复位，保存等操作功能。</w:t>
            </w:r>
          </w:p>
          <w:p w14:paraId="1EFCD794">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6</w:t>
            </w:r>
            <w:r>
              <w:rPr>
                <w:rFonts w:hint="eastAsia"/>
                <w:spacing w:val="-3"/>
                <w:lang w:eastAsia="zh-CN"/>
              </w:rPr>
              <w:t>）电子鼓：内嵌电子鼓，可以通过手触直接触摸来敲击虚拟琴键，具备多点触控功能。</w:t>
            </w:r>
            <w:r>
              <w:rPr>
                <w:spacing w:val="-3"/>
                <w:lang w:eastAsia="zh-CN"/>
              </w:rPr>
              <w:t xml:space="preserve"> </w:t>
            </w:r>
            <w:r>
              <w:rPr>
                <w:rFonts w:hint="eastAsia"/>
                <w:spacing w:val="-3"/>
                <w:lang w:eastAsia="zh-CN"/>
              </w:rPr>
              <w:t>内置高品质的实体鼓音色样本，模拟</w:t>
            </w:r>
            <w:r>
              <w:rPr>
                <w:spacing w:val="-3"/>
                <w:lang w:eastAsia="zh-CN"/>
              </w:rPr>
              <w:t>10</w:t>
            </w:r>
            <w:r>
              <w:rPr>
                <w:rFonts w:hint="eastAsia"/>
                <w:spacing w:val="-3"/>
                <w:lang w:eastAsia="zh-CN"/>
              </w:rPr>
              <w:t>种鼓的发音，发音高度还原真实鼓的音质。</w:t>
            </w:r>
          </w:p>
          <w:p w14:paraId="426D04CE">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7</w:t>
            </w:r>
            <w:r>
              <w:rPr>
                <w:rFonts w:hint="eastAsia"/>
                <w:spacing w:val="-3"/>
                <w:lang w:eastAsia="zh-CN"/>
              </w:rPr>
              <w:t>）电子木琴：内嵌电子木琴，模拟实体木琴的键盘布局，</w:t>
            </w:r>
            <w:r>
              <w:rPr>
                <w:spacing w:val="-3"/>
                <w:lang w:eastAsia="zh-CN"/>
              </w:rPr>
              <w:t xml:space="preserve"> </w:t>
            </w:r>
            <w:r>
              <w:rPr>
                <w:rFonts w:hint="eastAsia"/>
                <w:spacing w:val="-3"/>
                <w:lang w:eastAsia="zh-CN"/>
              </w:rPr>
              <w:t>用户可以通过手触直接触摸来敲击虚拟琴键，具备多点触控功能。内置高品质的木琴音色样本，每一键的发音都能高度还原真实木琴的音质。</w:t>
            </w:r>
            <w:r>
              <w:rPr>
                <w:spacing w:val="-3"/>
                <w:lang w:eastAsia="zh-CN"/>
              </w:rPr>
              <w:t xml:space="preserve"> </w:t>
            </w:r>
            <w:r>
              <w:rPr>
                <w:rFonts w:hint="eastAsia"/>
                <w:spacing w:val="-3"/>
                <w:lang w:eastAsia="zh-CN"/>
              </w:rPr>
              <w:t>琴键有五线谱音符标识。</w:t>
            </w:r>
          </w:p>
          <w:p w14:paraId="6B1EC332">
            <w:pPr>
              <w:pStyle w:val="100"/>
              <w:autoSpaceDE w:val="0"/>
              <w:autoSpaceDN w:val="0"/>
              <w:spacing w:before="66" w:line="249" w:lineRule="auto"/>
              <w:ind w:left="14" w:right="7" w:firstLine="18"/>
              <w:rPr>
                <w:rFonts w:hint="eastAsia"/>
                <w:spacing w:val="-3"/>
                <w:lang w:eastAsia="zh-CN"/>
              </w:rPr>
            </w:pPr>
            <w:r>
              <w:rPr>
                <w:rFonts w:hint="eastAsia"/>
                <w:spacing w:val="-3"/>
                <w:lang w:eastAsia="zh-CN"/>
              </w:rPr>
              <w:t>（</w:t>
            </w:r>
            <w:r>
              <w:rPr>
                <w:spacing w:val="-3"/>
                <w:lang w:eastAsia="zh-CN"/>
              </w:rPr>
              <w:t>8</w:t>
            </w:r>
            <w:r>
              <w:rPr>
                <w:rFonts w:hint="eastAsia"/>
                <w:spacing w:val="-3"/>
                <w:lang w:eastAsia="zh-CN"/>
              </w:rPr>
              <w:t>）数字书法临摹台：可做数字书法台，可播放多媒体数字书法教学资源和字帖图片，可使用不小于</w:t>
            </w:r>
            <w:r>
              <w:rPr>
                <w:spacing w:val="-3"/>
                <w:lang w:eastAsia="zh-CN"/>
              </w:rPr>
              <w:t>A3</w:t>
            </w:r>
            <w:r>
              <w:rPr>
                <w:rFonts w:hint="eastAsia"/>
                <w:spacing w:val="-3"/>
                <w:lang w:eastAsia="zh-CN"/>
              </w:rPr>
              <w:t>纸尺寸的蒙纸临摹。</w:t>
            </w:r>
          </w:p>
          <w:p w14:paraId="7276C8F2">
            <w:pPr>
              <w:pStyle w:val="100"/>
              <w:autoSpaceDE w:val="0"/>
              <w:autoSpaceDN w:val="0"/>
              <w:spacing w:before="39" w:line="235" w:lineRule="auto"/>
              <w:ind w:left="16" w:firstLine="15"/>
              <w:rPr>
                <w:rFonts w:hint="eastAsia"/>
                <w:lang w:eastAsia="zh-CN"/>
              </w:rPr>
            </w:pPr>
            <w:r>
              <w:rPr>
                <w:rFonts w:hint="eastAsia"/>
                <w:spacing w:val="-3"/>
                <w:lang w:eastAsia="zh-CN"/>
              </w:rPr>
              <w:t>（</w:t>
            </w:r>
            <w:r>
              <w:rPr>
                <w:spacing w:val="-3"/>
                <w:lang w:eastAsia="zh-CN"/>
              </w:rPr>
              <w:t>9</w:t>
            </w:r>
            <w:r>
              <w:rPr>
                <w:rFonts w:hint="eastAsia"/>
                <w:spacing w:val="-3"/>
                <w:lang w:eastAsia="zh-CN"/>
              </w:rPr>
              <w:t>）可视化编程教学：可通过手写笔或手指直接在屏幕上进行拖拽式编程，并且具有硬件扩展功能库，直接使用即可以对上百种硬件模块，包括各种传感器、执行器、通讯模块、显示器、功能模块进行编程。</w:t>
            </w:r>
          </w:p>
        </w:tc>
        <w:tc>
          <w:tcPr>
            <w:tcW w:w="666" w:type="dxa"/>
            <w:tcBorders>
              <w:top w:val="single" w:color="1F2329" w:sz="4" w:space="0"/>
              <w:left w:val="single" w:color="1F2329" w:sz="4" w:space="0"/>
              <w:bottom w:val="single" w:color="1F2329" w:sz="4" w:space="0"/>
              <w:right w:val="single" w:color="1F2329" w:sz="4" w:space="0"/>
            </w:tcBorders>
          </w:tcPr>
          <w:p w14:paraId="3983B583">
            <w:pPr>
              <w:autoSpaceDE w:val="0"/>
              <w:autoSpaceDN w:val="0"/>
              <w:spacing w:line="244" w:lineRule="auto"/>
              <w:rPr>
                <w:sz w:val="20"/>
                <w:lang w:eastAsia="zh-CN"/>
              </w:rPr>
            </w:pPr>
          </w:p>
          <w:p w14:paraId="2F128E4E">
            <w:pPr>
              <w:autoSpaceDE w:val="0"/>
              <w:autoSpaceDN w:val="0"/>
              <w:spacing w:line="244" w:lineRule="auto"/>
              <w:rPr>
                <w:sz w:val="20"/>
                <w:lang w:eastAsia="zh-CN"/>
              </w:rPr>
            </w:pPr>
          </w:p>
          <w:p w14:paraId="7D6220AB">
            <w:pPr>
              <w:autoSpaceDE w:val="0"/>
              <w:autoSpaceDN w:val="0"/>
              <w:spacing w:line="244" w:lineRule="auto"/>
              <w:rPr>
                <w:sz w:val="20"/>
                <w:lang w:eastAsia="zh-CN"/>
              </w:rPr>
            </w:pPr>
          </w:p>
          <w:p w14:paraId="5367A1A7">
            <w:pPr>
              <w:autoSpaceDE w:val="0"/>
              <w:autoSpaceDN w:val="0"/>
              <w:spacing w:line="244" w:lineRule="auto"/>
              <w:rPr>
                <w:sz w:val="20"/>
                <w:lang w:eastAsia="zh-CN"/>
              </w:rPr>
            </w:pPr>
          </w:p>
          <w:p w14:paraId="62E1B1A0">
            <w:pPr>
              <w:autoSpaceDE w:val="0"/>
              <w:autoSpaceDN w:val="0"/>
              <w:spacing w:line="244" w:lineRule="auto"/>
              <w:rPr>
                <w:sz w:val="20"/>
                <w:lang w:eastAsia="zh-CN"/>
              </w:rPr>
            </w:pPr>
          </w:p>
          <w:p w14:paraId="44812BF5">
            <w:pPr>
              <w:autoSpaceDE w:val="0"/>
              <w:autoSpaceDN w:val="0"/>
              <w:spacing w:line="244" w:lineRule="auto"/>
              <w:rPr>
                <w:sz w:val="20"/>
                <w:lang w:eastAsia="zh-CN"/>
              </w:rPr>
            </w:pPr>
          </w:p>
          <w:p w14:paraId="5152B50C">
            <w:pPr>
              <w:autoSpaceDE w:val="0"/>
              <w:autoSpaceDN w:val="0"/>
              <w:spacing w:line="244" w:lineRule="auto"/>
              <w:rPr>
                <w:sz w:val="20"/>
                <w:lang w:eastAsia="zh-CN"/>
              </w:rPr>
            </w:pPr>
          </w:p>
          <w:p w14:paraId="526A049A">
            <w:pPr>
              <w:autoSpaceDE w:val="0"/>
              <w:autoSpaceDN w:val="0"/>
              <w:spacing w:line="244" w:lineRule="auto"/>
              <w:rPr>
                <w:sz w:val="20"/>
                <w:lang w:eastAsia="zh-CN"/>
              </w:rPr>
            </w:pPr>
          </w:p>
          <w:p w14:paraId="6C2AEE82">
            <w:pPr>
              <w:autoSpaceDE w:val="0"/>
              <w:autoSpaceDN w:val="0"/>
              <w:spacing w:line="244" w:lineRule="auto"/>
              <w:rPr>
                <w:sz w:val="20"/>
                <w:lang w:eastAsia="zh-CN"/>
              </w:rPr>
            </w:pPr>
          </w:p>
          <w:p w14:paraId="66831449">
            <w:pPr>
              <w:autoSpaceDE w:val="0"/>
              <w:autoSpaceDN w:val="0"/>
              <w:spacing w:line="244" w:lineRule="auto"/>
              <w:rPr>
                <w:sz w:val="20"/>
                <w:lang w:eastAsia="zh-CN"/>
              </w:rPr>
            </w:pPr>
          </w:p>
          <w:p w14:paraId="5909B619">
            <w:pPr>
              <w:autoSpaceDE w:val="0"/>
              <w:autoSpaceDN w:val="0"/>
              <w:spacing w:line="244" w:lineRule="auto"/>
              <w:rPr>
                <w:sz w:val="20"/>
                <w:lang w:eastAsia="zh-CN"/>
              </w:rPr>
            </w:pPr>
          </w:p>
          <w:p w14:paraId="1C4B99BB">
            <w:pPr>
              <w:autoSpaceDE w:val="0"/>
              <w:autoSpaceDN w:val="0"/>
              <w:spacing w:line="244" w:lineRule="auto"/>
              <w:rPr>
                <w:sz w:val="20"/>
                <w:lang w:eastAsia="zh-CN"/>
              </w:rPr>
            </w:pPr>
          </w:p>
          <w:p w14:paraId="1F23A95B">
            <w:pPr>
              <w:autoSpaceDE w:val="0"/>
              <w:autoSpaceDN w:val="0"/>
              <w:spacing w:line="244" w:lineRule="auto"/>
              <w:rPr>
                <w:sz w:val="20"/>
                <w:lang w:eastAsia="zh-CN"/>
              </w:rPr>
            </w:pPr>
          </w:p>
          <w:p w14:paraId="126B25D4">
            <w:pPr>
              <w:autoSpaceDE w:val="0"/>
              <w:autoSpaceDN w:val="0"/>
              <w:spacing w:line="244" w:lineRule="auto"/>
              <w:rPr>
                <w:sz w:val="20"/>
                <w:lang w:eastAsia="zh-CN"/>
              </w:rPr>
            </w:pPr>
          </w:p>
          <w:p w14:paraId="75F3E712">
            <w:pPr>
              <w:autoSpaceDE w:val="0"/>
              <w:autoSpaceDN w:val="0"/>
              <w:spacing w:line="244" w:lineRule="auto"/>
              <w:rPr>
                <w:sz w:val="20"/>
                <w:lang w:eastAsia="zh-CN"/>
              </w:rPr>
            </w:pPr>
          </w:p>
          <w:p w14:paraId="23E34E56">
            <w:pPr>
              <w:autoSpaceDE w:val="0"/>
              <w:autoSpaceDN w:val="0"/>
              <w:spacing w:line="244" w:lineRule="auto"/>
              <w:rPr>
                <w:sz w:val="20"/>
                <w:lang w:eastAsia="zh-CN"/>
              </w:rPr>
            </w:pPr>
          </w:p>
          <w:p w14:paraId="3A28EE86">
            <w:pPr>
              <w:autoSpaceDE w:val="0"/>
              <w:autoSpaceDN w:val="0"/>
              <w:spacing w:line="244" w:lineRule="auto"/>
              <w:rPr>
                <w:sz w:val="20"/>
                <w:lang w:eastAsia="zh-CN"/>
              </w:rPr>
            </w:pPr>
          </w:p>
          <w:p w14:paraId="519DE982">
            <w:pPr>
              <w:pStyle w:val="100"/>
              <w:autoSpaceDE w:val="0"/>
              <w:autoSpaceDN w:val="0"/>
              <w:spacing w:before="78" w:line="218" w:lineRule="auto"/>
              <w:ind w:left="221"/>
              <w:rPr>
                <w:rFonts w:hint="eastAsia"/>
              </w:rPr>
            </w:pPr>
            <w:r>
              <w:rPr>
                <w:rFonts w:hint="eastAsia"/>
              </w:rPr>
              <w:t>套</w:t>
            </w:r>
          </w:p>
        </w:tc>
        <w:tc>
          <w:tcPr>
            <w:tcW w:w="689" w:type="dxa"/>
            <w:tcBorders>
              <w:top w:val="single" w:color="1F2329" w:sz="4" w:space="0"/>
              <w:left w:val="single" w:color="1F2329" w:sz="4" w:space="0"/>
              <w:bottom w:val="single" w:color="1F2329" w:sz="4" w:space="0"/>
              <w:right w:val="single" w:color="1F2329" w:sz="4" w:space="0"/>
            </w:tcBorders>
          </w:tcPr>
          <w:p w14:paraId="55DC93E5">
            <w:pPr>
              <w:autoSpaceDE w:val="0"/>
              <w:autoSpaceDN w:val="0"/>
              <w:spacing w:line="244" w:lineRule="auto"/>
              <w:rPr>
                <w:sz w:val="20"/>
              </w:rPr>
            </w:pPr>
          </w:p>
          <w:p w14:paraId="2BEF4FD8">
            <w:pPr>
              <w:autoSpaceDE w:val="0"/>
              <w:autoSpaceDN w:val="0"/>
              <w:spacing w:line="244" w:lineRule="auto"/>
              <w:rPr>
                <w:sz w:val="20"/>
              </w:rPr>
            </w:pPr>
          </w:p>
          <w:p w14:paraId="0CE1C85C">
            <w:pPr>
              <w:autoSpaceDE w:val="0"/>
              <w:autoSpaceDN w:val="0"/>
              <w:spacing w:line="244" w:lineRule="auto"/>
              <w:rPr>
                <w:sz w:val="20"/>
              </w:rPr>
            </w:pPr>
          </w:p>
          <w:p w14:paraId="6EE14ED3">
            <w:pPr>
              <w:autoSpaceDE w:val="0"/>
              <w:autoSpaceDN w:val="0"/>
              <w:spacing w:line="244" w:lineRule="auto"/>
              <w:rPr>
                <w:sz w:val="20"/>
              </w:rPr>
            </w:pPr>
          </w:p>
          <w:p w14:paraId="1F8C91BA">
            <w:pPr>
              <w:autoSpaceDE w:val="0"/>
              <w:autoSpaceDN w:val="0"/>
              <w:spacing w:line="244" w:lineRule="auto"/>
              <w:rPr>
                <w:sz w:val="20"/>
              </w:rPr>
            </w:pPr>
          </w:p>
          <w:p w14:paraId="786D22FB">
            <w:pPr>
              <w:autoSpaceDE w:val="0"/>
              <w:autoSpaceDN w:val="0"/>
              <w:spacing w:line="244" w:lineRule="auto"/>
              <w:rPr>
                <w:sz w:val="20"/>
              </w:rPr>
            </w:pPr>
          </w:p>
          <w:p w14:paraId="112650E3">
            <w:pPr>
              <w:autoSpaceDE w:val="0"/>
              <w:autoSpaceDN w:val="0"/>
              <w:spacing w:line="244" w:lineRule="auto"/>
              <w:rPr>
                <w:sz w:val="20"/>
              </w:rPr>
            </w:pPr>
          </w:p>
          <w:p w14:paraId="31BB6083">
            <w:pPr>
              <w:autoSpaceDE w:val="0"/>
              <w:autoSpaceDN w:val="0"/>
              <w:spacing w:line="244" w:lineRule="auto"/>
              <w:rPr>
                <w:sz w:val="20"/>
              </w:rPr>
            </w:pPr>
          </w:p>
          <w:p w14:paraId="548F7B59">
            <w:pPr>
              <w:autoSpaceDE w:val="0"/>
              <w:autoSpaceDN w:val="0"/>
              <w:spacing w:line="244" w:lineRule="auto"/>
              <w:rPr>
                <w:sz w:val="20"/>
              </w:rPr>
            </w:pPr>
          </w:p>
          <w:p w14:paraId="4C2F2F0F">
            <w:pPr>
              <w:autoSpaceDE w:val="0"/>
              <w:autoSpaceDN w:val="0"/>
              <w:spacing w:line="244" w:lineRule="auto"/>
              <w:rPr>
                <w:sz w:val="20"/>
              </w:rPr>
            </w:pPr>
          </w:p>
          <w:p w14:paraId="3A305D52">
            <w:pPr>
              <w:autoSpaceDE w:val="0"/>
              <w:autoSpaceDN w:val="0"/>
              <w:spacing w:line="244" w:lineRule="auto"/>
              <w:rPr>
                <w:sz w:val="20"/>
              </w:rPr>
            </w:pPr>
          </w:p>
          <w:p w14:paraId="7EB656A0">
            <w:pPr>
              <w:autoSpaceDE w:val="0"/>
              <w:autoSpaceDN w:val="0"/>
              <w:spacing w:line="244" w:lineRule="auto"/>
              <w:rPr>
                <w:sz w:val="20"/>
              </w:rPr>
            </w:pPr>
          </w:p>
          <w:p w14:paraId="3DFADBF5">
            <w:pPr>
              <w:autoSpaceDE w:val="0"/>
              <w:autoSpaceDN w:val="0"/>
              <w:spacing w:line="244" w:lineRule="auto"/>
              <w:rPr>
                <w:sz w:val="20"/>
              </w:rPr>
            </w:pPr>
          </w:p>
          <w:p w14:paraId="058CCE45">
            <w:pPr>
              <w:autoSpaceDE w:val="0"/>
              <w:autoSpaceDN w:val="0"/>
              <w:spacing w:line="244" w:lineRule="auto"/>
              <w:rPr>
                <w:sz w:val="20"/>
              </w:rPr>
            </w:pPr>
          </w:p>
          <w:p w14:paraId="17F2BB97">
            <w:pPr>
              <w:autoSpaceDE w:val="0"/>
              <w:autoSpaceDN w:val="0"/>
              <w:spacing w:line="244" w:lineRule="auto"/>
              <w:rPr>
                <w:sz w:val="20"/>
              </w:rPr>
            </w:pPr>
          </w:p>
          <w:p w14:paraId="09898454">
            <w:pPr>
              <w:autoSpaceDE w:val="0"/>
              <w:autoSpaceDN w:val="0"/>
              <w:spacing w:line="244" w:lineRule="auto"/>
              <w:rPr>
                <w:sz w:val="20"/>
              </w:rPr>
            </w:pPr>
          </w:p>
          <w:p w14:paraId="48CB8F60">
            <w:pPr>
              <w:autoSpaceDE w:val="0"/>
              <w:autoSpaceDN w:val="0"/>
              <w:spacing w:line="244" w:lineRule="auto"/>
              <w:rPr>
                <w:sz w:val="20"/>
              </w:rPr>
            </w:pPr>
          </w:p>
          <w:p w14:paraId="1987CC44">
            <w:pPr>
              <w:pStyle w:val="100"/>
              <w:autoSpaceDE w:val="0"/>
              <w:autoSpaceDN w:val="0"/>
              <w:spacing w:before="78"/>
              <w:ind w:left="308"/>
              <w:rPr>
                <w:rFonts w:hint="eastAsia"/>
              </w:rPr>
            </w:pPr>
            <w:r>
              <w:rPr>
                <w:rFonts w:hint="eastAsia"/>
              </w:rPr>
              <w:t>1</w:t>
            </w:r>
          </w:p>
        </w:tc>
      </w:tr>
      <w:tr w14:paraId="70D948B8">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4950" w:hRule="atLeast"/>
        </w:trPr>
        <w:tc>
          <w:tcPr>
            <w:tcW w:w="487" w:type="dxa"/>
            <w:tcBorders>
              <w:top w:val="single" w:color="1F2329" w:sz="4" w:space="0"/>
              <w:left w:val="single" w:color="1F2329" w:sz="4" w:space="0"/>
              <w:bottom w:val="single" w:color="1F2329" w:sz="4" w:space="0"/>
              <w:right w:val="single" w:color="1F2329" w:sz="4" w:space="0"/>
            </w:tcBorders>
          </w:tcPr>
          <w:p w14:paraId="52CCC931">
            <w:pPr>
              <w:autoSpaceDE w:val="0"/>
              <w:autoSpaceDN w:val="0"/>
              <w:spacing w:line="242" w:lineRule="auto"/>
              <w:rPr>
                <w:sz w:val="20"/>
                <w:lang w:eastAsia="zh-CN"/>
              </w:rPr>
            </w:pPr>
          </w:p>
          <w:p w14:paraId="52620F34">
            <w:pPr>
              <w:autoSpaceDE w:val="0"/>
              <w:autoSpaceDN w:val="0"/>
              <w:spacing w:line="242" w:lineRule="auto"/>
              <w:rPr>
                <w:sz w:val="20"/>
                <w:lang w:eastAsia="zh-CN"/>
              </w:rPr>
            </w:pPr>
          </w:p>
          <w:p w14:paraId="15E0728D">
            <w:pPr>
              <w:autoSpaceDE w:val="0"/>
              <w:autoSpaceDN w:val="0"/>
              <w:spacing w:line="242" w:lineRule="auto"/>
              <w:rPr>
                <w:sz w:val="20"/>
                <w:lang w:eastAsia="zh-CN"/>
              </w:rPr>
            </w:pPr>
          </w:p>
          <w:p w14:paraId="0C64C8F3">
            <w:pPr>
              <w:autoSpaceDE w:val="0"/>
              <w:autoSpaceDN w:val="0"/>
              <w:spacing w:line="244" w:lineRule="auto"/>
              <w:rPr>
                <w:sz w:val="20"/>
                <w:lang w:eastAsia="zh-CN"/>
              </w:rPr>
            </w:pPr>
          </w:p>
          <w:p w14:paraId="7C602618">
            <w:pPr>
              <w:autoSpaceDE w:val="0"/>
              <w:autoSpaceDN w:val="0"/>
              <w:spacing w:line="244" w:lineRule="auto"/>
              <w:rPr>
                <w:sz w:val="20"/>
                <w:lang w:eastAsia="zh-CN"/>
              </w:rPr>
            </w:pPr>
          </w:p>
          <w:p w14:paraId="01B16BB8">
            <w:pPr>
              <w:autoSpaceDE w:val="0"/>
              <w:autoSpaceDN w:val="0"/>
              <w:spacing w:line="244" w:lineRule="auto"/>
              <w:rPr>
                <w:sz w:val="20"/>
                <w:lang w:eastAsia="zh-CN"/>
              </w:rPr>
            </w:pPr>
          </w:p>
          <w:p w14:paraId="5DD1A953">
            <w:pPr>
              <w:autoSpaceDE w:val="0"/>
              <w:autoSpaceDN w:val="0"/>
              <w:spacing w:line="244" w:lineRule="auto"/>
              <w:rPr>
                <w:sz w:val="20"/>
                <w:lang w:eastAsia="zh-CN"/>
              </w:rPr>
            </w:pPr>
          </w:p>
          <w:p w14:paraId="279EE1FE">
            <w:pPr>
              <w:autoSpaceDE w:val="0"/>
              <w:autoSpaceDN w:val="0"/>
              <w:spacing w:line="244" w:lineRule="auto"/>
              <w:rPr>
                <w:sz w:val="20"/>
                <w:lang w:eastAsia="zh-CN"/>
              </w:rPr>
            </w:pPr>
          </w:p>
          <w:p w14:paraId="1E0B6443">
            <w:pPr>
              <w:autoSpaceDE w:val="0"/>
              <w:autoSpaceDN w:val="0"/>
              <w:spacing w:line="244" w:lineRule="auto"/>
              <w:rPr>
                <w:sz w:val="20"/>
                <w:lang w:eastAsia="zh-CN"/>
              </w:rPr>
            </w:pPr>
          </w:p>
          <w:p w14:paraId="4A96B5FA">
            <w:pPr>
              <w:autoSpaceDE w:val="0"/>
              <w:autoSpaceDN w:val="0"/>
              <w:spacing w:line="244" w:lineRule="auto"/>
              <w:rPr>
                <w:sz w:val="20"/>
                <w:lang w:eastAsia="zh-CN"/>
              </w:rPr>
            </w:pPr>
          </w:p>
          <w:p w14:paraId="46FB3D87">
            <w:pPr>
              <w:pStyle w:val="100"/>
              <w:autoSpaceDE w:val="0"/>
              <w:autoSpaceDN w:val="0"/>
              <w:spacing w:before="78"/>
              <w:ind w:left="192"/>
              <w:rPr>
                <w:rFonts w:hint="eastAsia"/>
              </w:rPr>
            </w:pPr>
            <w:r>
              <w:rPr>
                <w:rFonts w:hint="eastAsia"/>
              </w:rPr>
              <w:t>3</w:t>
            </w:r>
          </w:p>
        </w:tc>
        <w:tc>
          <w:tcPr>
            <w:tcW w:w="615" w:type="dxa"/>
            <w:tcBorders>
              <w:top w:val="single" w:color="1F2329" w:sz="4" w:space="0"/>
              <w:left w:val="single" w:color="1F2329" w:sz="4" w:space="0"/>
              <w:bottom w:val="single" w:color="1F2329" w:sz="4" w:space="0"/>
              <w:right w:val="single" w:color="1F2329" w:sz="4" w:space="0"/>
            </w:tcBorders>
          </w:tcPr>
          <w:p w14:paraId="6DDB2D75">
            <w:pPr>
              <w:autoSpaceDE w:val="0"/>
              <w:autoSpaceDN w:val="0"/>
              <w:spacing w:line="242" w:lineRule="auto"/>
              <w:rPr>
                <w:sz w:val="20"/>
              </w:rPr>
            </w:pPr>
          </w:p>
          <w:p w14:paraId="50852B31">
            <w:pPr>
              <w:autoSpaceDE w:val="0"/>
              <w:autoSpaceDN w:val="0"/>
              <w:spacing w:line="242" w:lineRule="auto"/>
              <w:rPr>
                <w:sz w:val="20"/>
              </w:rPr>
            </w:pPr>
          </w:p>
          <w:p w14:paraId="6DE5759E">
            <w:pPr>
              <w:autoSpaceDE w:val="0"/>
              <w:autoSpaceDN w:val="0"/>
              <w:spacing w:line="244" w:lineRule="auto"/>
              <w:rPr>
                <w:sz w:val="20"/>
              </w:rPr>
            </w:pPr>
          </w:p>
          <w:p w14:paraId="481A75BD">
            <w:pPr>
              <w:autoSpaceDE w:val="0"/>
              <w:autoSpaceDN w:val="0"/>
              <w:spacing w:line="244" w:lineRule="auto"/>
              <w:rPr>
                <w:sz w:val="20"/>
              </w:rPr>
            </w:pPr>
          </w:p>
          <w:p w14:paraId="0A7AA348">
            <w:pPr>
              <w:autoSpaceDE w:val="0"/>
              <w:autoSpaceDN w:val="0"/>
              <w:spacing w:line="244" w:lineRule="auto"/>
              <w:rPr>
                <w:sz w:val="20"/>
              </w:rPr>
            </w:pPr>
          </w:p>
          <w:p w14:paraId="292DFF48">
            <w:pPr>
              <w:autoSpaceDE w:val="0"/>
              <w:autoSpaceDN w:val="0"/>
              <w:spacing w:line="244" w:lineRule="auto"/>
              <w:rPr>
                <w:sz w:val="20"/>
              </w:rPr>
            </w:pPr>
          </w:p>
          <w:p w14:paraId="3E80E18E">
            <w:pPr>
              <w:autoSpaceDE w:val="0"/>
              <w:autoSpaceDN w:val="0"/>
              <w:spacing w:line="244" w:lineRule="auto"/>
              <w:rPr>
                <w:sz w:val="20"/>
              </w:rPr>
            </w:pPr>
          </w:p>
          <w:p w14:paraId="39D2067F">
            <w:pPr>
              <w:autoSpaceDE w:val="0"/>
              <w:autoSpaceDN w:val="0"/>
              <w:spacing w:line="244" w:lineRule="auto"/>
              <w:rPr>
                <w:sz w:val="20"/>
              </w:rPr>
            </w:pPr>
          </w:p>
          <w:p w14:paraId="02ADA6B3">
            <w:pPr>
              <w:autoSpaceDE w:val="0"/>
              <w:autoSpaceDN w:val="0"/>
              <w:spacing w:line="244" w:lineRule="auto"/>
              <w:rPr>
                <w:sz w:val="20"/>
              </w:rPr>
            </w:pPr>
          </w:p>
          <w:p w14:paraId="603AA954">
            <w:pPr>
              <w:autoSpaceDE w:val="0"/>
              <w:autoSpaceDN w:val="0"/>
              <w:spacing w:line="244" w:lineRule="auto"/>
              <w:rPr>
                <w:sz w:val="20"/>
              </w:rPr>
            </w:pPr>
          </w:p>
          <w:p w14:paraId="1E990E6D">
            <w:pPr>
              <w:pStyle w:val="100"/>
              <w:autoSpaceDE w:val="0"/>
              <w:autoSpaceDN w:val="0"/>
              <w:spacing w:before="78" w:line="218" w:lineRule="auto"/>
              <w:ind w:left="68"/>
              <w:rPr>
                <w:rFonts w:hint="eastAsia"/>
              </w:rPr>
            </w:pPr>
            <w:r>
              <w:rPr>
                <w:rFonts w:hint="eastAsia"/>
                <w:spacing w:val="-7"/>
              </w:rPr>
              <w:t>软件</w:t>
            </w:r>
          </w:p>
        </w:tc>
        <w:tc>
          <w:tcPr>
            <w:tcW w:w="801" w:type="dxa"/>
            <w:tcBorders>
              <w:top w:val="single" w:color="1F2329" w:sz="4" w:space="0"/>
              <w:left w:val="single" w:color="1F2329" w:sz="4" w:space="0"/>
              <w:bottom w:val="single" w:color="1F2329" w:sz="4" w:space="0"/>
              <w:right w:val="single" w:color="1F2329" w:sz="4" w:space="0"/>
            </w:tcBorders>
          </w:tcPr>
          <w:p w14:paraId="24CAD929">
            <w:pPr>
              <w:autoSpaceDE w:val="0"/>
              <w:autoSpaceDN w:val="0"/>
              <w:spacing w:line="254" w:lineRule="auto"/>
              <w:rPr>
                <w:sz w:val="20"/>
              </w:rPr>
            </w:pPr>
          </w:p>
          <w:p w14:paraId="7F784051">
            <w:pPr>
              <w:autoSpaceDE w:val="0"/>
              <w:autoSpaceDN w:val="0"/>
              <w:spacing w:line="254" w:lineRule="auto"/>
              <w:rPr>
                <w:sz w:val="20"/>
              </w:rPr>
            </w:pPr>
          </w:p>
          <w:p w14:paraId="7ED5ACFB">
            <w:pPr>
              <w:autoSpaceDE w:val="0"/>
              <w:autoSpaceDN w:val="0"/>
              <w:spacing w:line="254" w:lineRule="auto"/>
              <w:rPr>
                <w:sz w:val="20"/>
              </w:rPr>
            </w:pPr>
          </w:p>
          <w:p w14:paraId="3D2E400E">
            <w:pPr>
              <w:autoSpaceDE w:val="0"/>
              <w:autoSpaceDN w:val="0"/>
              <w:spacing w:line="254" w:lineRule="auto"/>
              <w:rPr>
                <w:sz w:val="20"/>
              </w:rPr>
            </w:pPr>
          </w:p>
          <w:p w14:paraId="624EA6EE">
            <w:pPr>
              <w:autoSpaceDE w:val="0"/>
              <w:autoSpaceDN w:val="0"/>
              <w:spacing w:line="254" w:lineRule="auto"/>
              <w:rPr>
                <w:sz w:val="20"/>
              </w:rPr>
            </w:pPr>
          </w:p>
          <w:p w14:paraId="06D67A18">
            <w:pPr>
              <w:autoSpaceDE w:val="0"/>
              <w:autoSpaceDN w:val="0"/>
              <w:spacing w:line="254" w:lineRule="auto"/>
              <w:rPr>
                <w:sz w:val="20"/>
              </w:rPr>
            </w:pPr>
          </w:p>
          <w:p w14:paraId="7F52D575">
            <w:pPr>
              <w:autoSpaceDE w:val="0"/>
              <w:autoSpaceDN w:val="0"/>
              <w:spacing w:line="254" w:lineRule="auto"/>
              <w:rPr>
                <w:sz w:val="20"/>
              </w:rPr>
            </w:pPr>
          </w:p>
          <w:p w14:paraId="2ADABC06">
            <w:pPr>
              <w:autoSpaceDE w:val="0"/>
              <w:autoSpaceDN w:val="0"/>
              <w:spacing w:line="254" w:lineRule="auto"/>
              <w:rPr>
                <w:sz w:val="20"/>
              </w:rPr>
            </w:pPr>
          </w:p>
          <w:p w14:paraId="3374C950">
            <w:pPr>
              <w:autoSpaceDE w:val="0"/>
              <w:autoSpaceDN w:val="0"/>
              <w:spacing w:line="254" w:lineRule="auto"/>
              <w:rPr>
                <w:sz w:val="20"/>
              </w:rPr>
            </w:pPr>
          </w:p>
          <w:p w14:paraId="191FDDF5">
            <w:pPr>
              <w:pStyle w:val="100"/>
              <w:autoSpaceDE w:val="0"/>
              <w:autoSpaceDN w:val="0"/>
              <w:spacing w:before="78"/>
              <w:ind w:left="43" w:right="39" w:firstLine="2"/>
              <w:rPr>
                <w:rFonts w:hint="eastAsia"/>
              </w:rPr>
            </w:pPr>
            <w:r>
              <w:rPr>
                <w:rFonts w:hint="eastAsia"/>
                <w:spacing w:val="-6"/>
              </w:rPr>
              <w:t>智慧课</w:t>
            </w:r>
            <w:r>
              <w:rPr>
                <w:rFonts w:hint="eastAsia"/>
                <w:spacing w:val="-5"/>
              </w:rPr>
              <w:t>堂系统</w:t>
            </w:r>
          </w:p>
        </w:tc>
        <w:tc>
          <w:tcPr>
            <w:tcW w:w="10947" w:type="dxa"/>
            <w:tcBorders>
              <w:top w:val="single" w:color="1F2329" w:sz="4" w:space="0"/>
              <w:left w:val="single" w:color="1F2329" w:sz="4" w:space="0"/>
              <w:bottom w:val="single" w:color="1F2329" w:sz="4" w:space="0"/>
              <w:right w:val="single" w:color="1F2329" w:sz="4" w:space="0"/>
            </w:tcBorders>
          </w:tcPr>
          <w:p w14:paraId="0CE513DD">
            <w:pPr>
              <w:pStyle w:val="100"/>
              <w:autoSpaceDE w:val="0"/>
              <w:autoSpaceDN w:val="0"/>
              <w:spacing w:before="52" w:line="218" w:lineRule="auto"/>
              <w:ind w:left="18"/>
              <w:rPr>
                <w:rFonts w:hint="eastAsia"/>
                <w:lang w:eastAsia="zh-CN"/>
              </w:rPr>
            </w:pPr>
            <w:r>
              <w:rPr>
                <w:rFonts w:hint="eastAsia"/>
                <w:spacing w:val="-3"/>
                <w:lang w:eastAsia="zh-CN"/>
              </w:rPr>
              <w:t>一、课堂教学</w:t>
            </w:r>
          </w:p>
          <w:p w14:paraId="2C89603C">
            <w:pPr>
              <w:pStyle w:val="100"/>
              <w:autoSpaceDE w:val="0"/>
              <w:autoSpaceDN w:val="0"/>
              <w:spacing w:before="27" w:line="237" w:lineRule="auto"/>
              <w:ind w:left="50" w:right="7" w:hanging="18"/>
              <w:rPr>
                <w:rFonts w:hint="eastAsia"/>
                <w:lang w:eastAsia="zh-CN"/>
              </w:rPr>
            </w:pPr>
            <w:r>
              <w:rPr>
                <w:rFonts w:hint="eastAsia"/>
                <w:lang w:eastAsia="zh-CN"/>
              </w:rPr>
              <w:t>1. 屏幕广播：将教师机屏幕和教师讲话实时</w:t>
            </w:r>
            <w:r>
              <w:rPr>
                <w:rFonts w:hint="eastAsia"/>
                <w:spacing w:val="-1"/>
                <w:lang w:eastAsia="zh-CN"/>
              </w:rPr>
              <w:t>广播给单一、部分或全体学生，可选择全屏或窗口方式。窗口模式下或教师机与学生机分辨率不同情况下，学生机可以以不同的窗</w:t>
            </w:r>
            <w:r>
              <w:rPr>
                <w:rFonts w:hint="eastAsia"/>
                <w:spacing w:val="-2"/>
                <w:lang w:eastAsia="zh-CN"/>
              </w:rPr>
              <w:t>口方式接收广播。</w:t>
            </w:r>
          </w:p>
          <w:p w14:paraId="6A053BE6">
            <w:pPr>
              <w:pStyle w:val="100"/>
              <w:autoSpaceDE w:val="0"/>
              <w:autoSpaceDN w:val="0"/>
              <w:spacing w:line="216" w:lineRule="auto"/>
              <w:ind w:left="17"/>
              <w:rPr>
                <w:rFonts w:hint="eastAsia"/>
                <w:lang w:eastAsia="zh-CN"/>
              </w:rPr>
            </w:pPr>
            <w:r>
              <w:rPr>
                <w:rFonts w:hint="eastAsia"/>
                <w:lang w:eastAsia="zh-CN"/>
              </w:rPr>
              <w:t>2. 扩展屏广播模式：教师机连接两个显示器，可在广播时选择将任意一</w:t>
            </w:r>
            <w:r>
              <w:rPr>
                <w:rFonts w:hint="eastAsia"/>
                <w:spacing w:val="-1"/>
                <w:lang w:eastAsia="zh-CN"/>
              </w:rPr>
              <w:t>个显示器的内容广播到学生机。</w:t>
            </w:r>
          </w:p>
          <w:p w14:paraId="66CE4C14">
            <w:pPr>
              <w:pStyle w:val="100"/>
              <w:autoSpaceDE w:val="0"/>
              <w:autoSpaceDN w:val="0"/>
              <w:spacing w:before="27" w:line="218" w:lineRule="auto"/>
              <w:jc w:val="both"/>
              <w:rPr>
                <w:rFonts w:hint="eastAsia"/>
                <w:lang w:eastAsia="zh-CN"/>
              </w:rPr>
            </w:pPr>
            <w:r>
              <w:rPr>
                <w:rFonts w:hint="eastAsia"/>
                <w:spacing w:val="-5"/>
                <w:lang w:eastAsia="zh-CN"/>
              </w:rPr>
              <w:t>3. 屏幕广播速度增强：屏幕广播时支持多种画面质量的调节，根据网络的不同选择最好的效</w:t>
            </w:r>
            <w:r>
              <w:rPr>
                <w:rFonts w:hint="eastAsia"/>
                <w:spacing w:val="-6"/>
                <w:lang w:eastAsia="zh-CN"/>
              </w:rPr>
              <w:t>果进行教学。</w:t>
            </w:r>
          </w:p>
          <w:p w14:paraId="5AE5CC45">
            <w:pPr>
              <w:pStyle w:val="100"/>
              <w:autoSpaceDE w:val="0"/>
              <w:autoSpaceDN w:val="0"/>
              <w:spacing w:before="27" w:line="218" w:lineRule="auto"/>
              <w:ind w:left="14"/>
              <w:rPr>
                <w:rFonts w:hint="eastAsia"/>
                <w:lang w:eastAsia="zh-CN"/>
              </w:rPr>
            </w:pPr>
            <w:r>
              <w:rPr>
                <w:rFonts w:hint="eastAsia"/>
                <w:lang w:eastAsia="zh-CN"/>
              </w:rPr>
              <w:t>4. 屏幕笔：教师教学使用的辅助工具，突出显示项目、添加</w:t>
            </w:r>
            <w:r>
              <w:rPr>
                <w:rFonts w:hint="eastAsia"/>
                <w:spacing w:val="-1"/>
                <w:lang w:eastAsia="zh-CN"/>
              </w:rPr>
              <w:t>注释，添加批注等等。</w:t>
            </w:r>
          </w:p>
          <w:p w14:paraId="53DC78D3">
            <w:pPr>
              <w:pStyle w:val="100"/>
              <w:autoSpaceDE w:val="0"/>
              <w:autoSpaceDN w:val="0"/>
              <w:spacing w:before="25"/>
              <w:ind w:left="16" w:right="7" w:firstLine="2"/>
              <w:rPr>
                <w:rFonts w:hint="eastAsia"/>
                <w:lang w:eastAsia="zh-CN"/>
              </w:rPr>
            </w:pPr>
            <w:r>
              <w:rPr>
                <w:rFonts w:hint="eastAsia"/>
                <w:lang w:eastAsia="zh-CN"/>
              </w:rPr>
              <w:t>5. 共享白板：教师可共享白板、桌面或图片与选定的学生共同完成相同的</w:t>
            </w:r>
            <w:r>
              <w:rPr>
                <w:rFonts w:hint="eastAsia"/>
                <w:spacing w:val="-1"/>
                <w:lang w:eastAsia="zh-CN"/>
              </w:rPr>
              <w:t>学习任务或绘画作品，提供学</w:t>
            </w:r>
            <w:r>
              <w:rPr>
                <w:rFonts w:hint="eastAsia"/>
                <w:spacing w:val="-2"/>
                <w:lang w:eastAsia="zh-CN"/>
              </w:rPr>
              <w:t>生也可以单独完成。</w:t>
            </w:r>
          </w:p>
          <w:p w14:paraId="06A3EA15">
            <w:pPr>
              <w:pStyle w:val="100"/>
              <w:autoSpaceDE w:val="0"/>
              <w:autoSpaceDN w:val="0"/>
              <w:spacing w:before="1" w:line="216" w:lineRule="auto"/>
              <w:ind w:left="16"/>
              <w:rPr>
                <w:rFonts w:hint="eastAsia"/>
                <w:lang w:eastAsia="zh-CN"/>
              </w:rPr>
            </w:pPr>
            <w:r>
              <w:rPr>
                <w:rFonts w:hint="eastAsia"/>
                <w:spacing w:val="-1"/>
                <w:lang w:eastAsia="zh-CN"/>
              </w:rPr>
              <w:t>6. 网络影院：实现教师机播放的视频同步广播到学生机。</w:t>
            </w:r>
          </w:p>
          <w:p w14:paraId="7C923816">
            <w:pPr>
              <w:pStyle w:val="100"/>
              <w:autoSpaceDE w:val="0"/>
              <w:autoSpaceDN w:val="0"/>
              <w:spacing w:before="25" w:line="237" w:lineRule="auto"/>
              <w:ind w:left="14" w:right="7" w:firstLine="6"/>
              <w:rPr>
                <w:rFonts w:hint="eastAsia"/>
                <w:lang w:eastAsia="zh-CN"/>
              </w:rPr>
            </w:pPr>
            <w:r>
              <w:rPr>
                <w:rFonts w:hint="eastAsia"/>
                <w:lang w:eastAsia="zh-CN"/>
              </w:rPr>
              <w:t>7. 视频直播：通过</w:t>
            </w:r>
            <w:r>
              <w:rPr>
                <w:rFonts w:hint="eastAsia"/>
                <w:spacing w:val="-57"/>
                <w:lang w:eastAsia="zh-CN"/>
              </w:rPr>
              <w:t xml:space="preserve"> </w:t>
            </w:r>
            <w:r>
              <w:rPr>
                <w:rFonts w:hint="eastAsia"/>
                <w:lang w:eastAsia="zh-CN"/>
              </w:rPr>
              <w:t>USB</w:t>
            </w:r>
            <w:r>
              <w:rPr>
                <w:rFonts w:hint="eastAsia"/>
                <w:spacing w:val="-50"/>
                <w:lang w:eastAsia="zh-CN"/>
              </w:rPr>
              <w:t xml:space="preserve"> </w:t>
            </w:r>
            <w:r>
              <w:rPr>
                <w:rFonts w:hint="eastAsia"/>
                <w:lang w:eastAsia="zh-CN"/>
              </w:rPr>
              <w:t>摄像头将教师的画</w:t>
            </w:r>
            <w:r>
              <w:rPr>
                <w:rFonts w:hint="eastAsia"/>
                <w:spacing w:val="-1"/>
                <w:lang w:eastAsia="zh-CN"/>
              </w:rPr>
              <w:t>面实时广播到学生机，达到更形象的教学效果，具有引导客户</w:t>
            </w:r>
            <w:r>
              <w:rPr>
                <w:rFonts w:hint="eastAsia"/>
                <w:lang w:eastAsia="zh-CN"/>
              </w:rPr>
              <w:t>选择视频设备的提示画面，以便客户快速完</w:t>
            </w:r>
            <w:r>
              <w:rPr>
                <w:rFonts w:hint="eastAsia"/>
                <w:spacing w:val="-1"/>
                <w:lang w:eastAsia="zh-CN"/>
              </w:rPr>
              <w:t>成摄像头设备的设置。</w:t>
            </w:r>
          </w:p>
          <w:p w14:paraId="68657910">
            <w:pPr>
              <w:pStyle w:val="100"/>
              <w:autoSpaceDE w:val="0"/>
              <w:autoSpaceDN w:val="0"/>
              <w:spacing w:before="3" w:line="237" w:lineRule="auto"/>
              <w:ind w:left="14" w:right="7"/>
              <w:rPr>
                <w:rFonts w:hint="eastAsia"/>
                <w:lang w:eastAsia="zh-CN"/>
              </w:rPr>
            </w:pPr>
            <w:r>
              <w:rPr>
                <w:rFonts w:hint="eastAsia"/>
                <w:lang w:eastAsia="zh-CN"/>
              </w:rPr>
              <w:t>8. 语音广播：将教师机麦克风的声音广播给学生，教学过程中，可以请任何一位已</w:t>
            </w:r>
            <w:r>
              <w:rPr>
                <w:rFonts w:hint="eastAsia"/>
                <w:spacing w:val="-1"/>
                <w:lang w:eastAsia="zh-CN"/>
              </w:rPr>
              <w:t>登录的学生发言，其他学生和教师收听该学生发言。</w:t>
            </w:r>
          </w:p>
          <w:p w14:paraId="08F687FE">
            <w:pPr>
              <w:pStyle w:val="100"/>
              <w:autoSpaceDE w:val="0"/>
              <w:autoSpaceDN w:val="0"/>
              <w:spacing w:line="237" w:lineRule="auto"/>
              <w:ind w:left="17" w:right="7" w:hanging="2"/>
              <w:rPr>
                <w:rFonts w:hint="eastAsia"/>
                <w:lang w:eastAsia="zh-CN"/>
              </w:rPr>
            </w:pPr>
            <w:r>
              <w:rPr>
                <w:rFonts w:hint="eastAsia"/>
                <w:lang w:eastAsia="zh-CN"/>
              </w:rPr>
              <w:t>9. 语音对讲：教师可以选择任意一名已登录学生与其进行双向语音交谈，除教师和</w:t>
            </w:r>
            <w:r>
              <w:rPr>
                <w:rFonts w:hint="eastAsia"/>
                <w:spacing w:val="-1"/>
                <w:lang w:eastAsia="zh-CN"/>
              </w:rPr>
              <w:t>此学生外，其他学生不会受到干扰，可以动态切换对讲对象。</w:t>
            </w:r>
          </w:p>
          <w:p w14:paraId="130547FD">
            <w:pPr>
              <w:pStyle w:val="100"/>
              <w:autoSpaceDE w:val="0"/>
              <w:autoSpaceDN w:val="0"/>
              <w:spacing w:before="1" w:line="216" w:lineRule="auto"/>
              <w:rPr>
                <w:rFonts w:hint="eastAsia"/>
                <w:lang w:eastAsia="zh-CN"/>
              </w:rPr>
            </w:pPr>
            <w:r>
              <w:rPr>
                <w:rFonts w:hint="eastAsia"/>
                <w:spacing w:val="-1"/>
                <w:lang w:eastAsia="zh-CN"/>
              </w:rPr>
              <w:t>10. 学生演示：教师可选定一台学生机作为示范，由此学生代替教师进行示范教学。</w:t>
            </w:r>
          </w:p>
          <w:p w14:paraId="6FF0B515">
            <w:pPr>
              <w:pStyle w:val="100"/>
              <w:autoSpaceDE w:val="0"/>
              <w:autoSpaceDN w:val="0"/>
              <w:spacing w:before="28" w:line="218" w:lineRule="auto"/>
              <w:jc w:val="both"/>
              <w:rPr>
                <w:rFonts w:hint="eastAsia"/>
                <w:lang w:eastAsia="zh-CN"/>
              </w:rPr>
            </w:pPr>
            <w:r>
              <w:rPr>
                <w:rFonts w:hint="eastAsia"/>
                <w:spacing w:val="-3"/>
                <w:lang w:eastAsia="zh-CN"/>
              </w:rPr>
              <w:t>11. 分组教学：教师分派组长执行指定的功能，组长代替教师进行小组教学，小组不需要再临时创建</w:t>
            </w:r>
            <w:r>
              <w:rPr>
                <w:rFonts w:hint="eastAsia"/>
                <w:spacing w:val="-4"/>
                <w:lang w:eastAsia="zh-CN"/>
              </w:rPr>
              <w:t>，可</w:t>
            </w:r>
          </w:p>
        </w:tc>
        <w:tc>
          <w:tcPr>
            <w:tcW w:w="666" w:type="dxa"/>
            <w:tcBorders>
              <w:top w:val="single" w:color="1F2329" w:sz="4" w:space="0"/>
              <w:left w:val="single" w:color="1F2329" w:sz="4" w:space="0"/>
              <w:bottom w:val="single" w:color="1F2329" w:sz="4" w:space="0"/>
              <w:right w:val="single" w:color="1F2329" w:sz="4" w:space="0"/>
            </w:tcBorders>
          </w:tcPr>
          <w:p w14:paraId="7FB1F91B">
            <w:pPr>
              <w:autoSpaceDE w:val="0"/>
              <w:autoSpaceDN w:val="0"/>
              <w:spacing w:line="254" w:lineRule="auto"/>
              <w:rPr>
                <w:sz w:val="20"/>
                <w:lang w:eastAsia="zh-CN"/>
              </w:rPr>
            </w:pPr>
          </w:p>
          <w:p w14:paraId="3E68578D">
            <w:pPr>
              <w:autoSpaceDE w:val="0"/>
              <w:autoSpaceDN w:val="0"/>
              <w:spacing w:line="254" w:lineRule="auto"/>
              <w:rPr>
                <w:sz w:val="20"/>
                <w:lang w:eastAsia="zh-CN"/>
              </w:rPr>
            </w:pPr>
          </w:p>
          <w:p w14:paraId="52EE57DC">
            <w:pPr>
              <w:autoSpaceDE w:val="0"/>
              <w:autoSpaceDN w:val="0"/>
              <w:spacing w:line="254" w:lineRule="auto"/>
              <w:rPr>
                <w:sz w:val="20"/>
                <w:lang w:eastAsia="zh-CN"/>
              </w:rPr>
            </w:pPr>
          </w:p>
          <w:p w14:paraId="7CDFAE1C">
            <w:pPr>
              <w:autoSpaceDE w:val="0"/>
              <w:autoSpaceDN w:val="0"/>
              <w:spacing w:line="254" w:lineRule="auto"/>
              <w:rPr>
                <w:sz w:val="20"/>
                <w:lang w:eastAsia="zh-CN"/>
              </w:rPr>
            </w:pPr>
          </w:p>
          <w:p w14:paraId="04AD223C">
            <w:pPr>
              <w:autoSpaceDE w:val="0"/>
              <w:autoSpaceDN w:val="0"/>
              <w:spacing w:line="254" w:lineRule="auto"/>
              <w:rPr>
                <w:sz w:val="20"/>
                <w:lang w:eastAsia="zh-CN"/>
              </w:rPr>
            </w:pPr>
          </w:p>
          <w:p w14:paraId="099EE93A">
            <w:pPr>
              <w:autoSpaceDE w:val="0"/>
              <w:autoSpaceDN w:val="0"/>
              <w:spacing w:line="254" w:lineRule="auto"/>
              <w:rPr>
                <w:sz w:val="20"/>
                <w:lang w:eastAsia="zh-CN"/>
              </w:rPr>
            </w:pPr>
          </w:p>
          <w:p w14:paraId="3F77CD53">
            <w:pPr>
              <w:autoSpaceDE w:val="0"/>
              <w:autoSpaceDN w:val="0"/>
              <w:spacing w:line="254" w:lineRule="auto"/>
              <w:rPr>
                <w:sz w:val="20"/>
                <w:lang w:eastAsia="zh-CN"/>
              </w:rPr>
            </w:pPr>
          </w:p>
          <w:p w14:paraId="6CF3EEEE">
            <w:pPr>
              <w:autoSpaceDE w:val="0"/>
              <w:autoSpaceDN w:val="0"/>
              <w:spacing w:line="254" w:lineRule="auto"/>
              <w:rPr>
                <w:sz w:val="20"/>
                <w:lang w:eastAsia="zh-CN"/>
              </w:rPr>
            </w:pPr>
          </w:p>
          <w:p w14:paraId="50BC4756">
            <w:pPr>
              <w:autoSpaceDE w:val="0"/>
              <w:autoSpaceDN w:val="0"/>
              <w:spacing w:line="254" w:lineRule="auto"/>
              <w:rPr>
                <w:sz w:val="20"/>
                <w:lang w:eastAsia="zh-CN"/>
              </w:rPr>
            </w:pPr>
          </w:p>
          <w:p w14:paraId="578C45D3">
            <w:pPr>
              <w:pStyle w:val="100"/>
              <w:autoSpaceDE w:val="0"/>
              <w:autoSpaceDN w:val="0"/>
              <w:spacing w:before="78" w:line="242" w:lineRule="auto"/>
              <w:ind w:left="223" w:right="25" w:hanging="182"/>
              <w:rPr>
                <w:rFonts w:hint="eastAsia"/>
              </w:rPr>
            </w:pPr>
            <w:r>
              <w:rPr>
                <w:rFonts w:hint="eastAsia"/>
                <w:spacing w:val="-4"/>
              </w:rPr>
              <w:t>套/教</w:t>
            </w:r>
            <w:r>
              <w:rPr>
                <w:rFonts w:hint="eastAsia"/>
              </w:rPr>
              <w:t>室</w:t>
            </w:r>
          </w:p>
        </w:tc>
        <w:tc>
          <w:tcPr>
            <w:tcW w:w="689" w:type="dxa"/>
            <w:tcBorders>
              <w:top w:val="single" w:color="1F2329" w:sz="4" w:space="0"/>
              <w:left w:val="single" w:color="1F2329" w:sz="4" w:space="0"/>
              <w:bottom w:val="single" w:color="1F2329" w:sz="4" w:space="0"/>
              <w:right w:val="single" w:color="1F2329" w:sz="4" w:space="0"/>
            </w:tcBorders>
          </w:tcPr>
          <w:p w14:paraId="4056448C">
            <w:pPr>
              <w:autoSpaceDE w:val="0"/>
              <w:autoSpaceDN w:val="0"/>
              <w:spacing w:line="242" w:lineRule="auto"/>
              <w:rPr>
                <w:sz w:val="20"/>
              </w:rPr>
            </w:pPr>
          </w:p>
          <w:p w14:paraId="3B531AFD">
            <w:pPr>
              <w:autoSpaceDE w:val="0"/>
              <w:autoSpaceDN w:val="0"/>
              <w:spacing w:line="242" w:lineRule="auto"/>
              <w:rPr>
                <w:sz w:val="20"/>
              </w:rPr>
            </w:pPr>
          </w:p>
          <w:p w14:paraId="0FD68852">
            <w:pPr>
              <w:autoSpaceDE w:val="0"/>
              <w:autoSpaceDN w:val="0"/>
              <w:spacing w:line="242" w:lineRule="auto"/>
              <w:rPr>
                <w:sz w:val="20"/>
              </w:rPr>
            </w:pPr>
          </w:p>
          <w:p w14:paraId="4F6C2D1B">
            <w:pPr>
              <w:autoSpaceDE w:val="0"/>
              <w:autoSpaceDN w:val="0"/>
              <w:spacing w:line="244" w:lineRule="auto"/>
              <w:rPr>
                <w:sz w:val="20"/>
              </w:rPr>
            </w:pPr>
          </w:p>
          <w:p w14:paraId="75B74E58">
            <w:pPr>
              <w:autoSpaceDE w:val="0"/>
              <w:autoSpaceDN w:val="0"/>
              <w:spacing w:line="244" w:lineRule="auto"/>
              <w:rPr>
                <w:sz w:val="20"/>
              </w:rPr>
            </w:pPr>
          </w:p>
          <w:p w14:paraId="3E0550ED">
            <w:pPr>
              <w:autoSpaceDE w:val="0"/>
              <w:autoSpaceDN w:val="0"/>
              <w:spacing w:line="244" w:lineRule="auto"/>
              <w:rPr>
                <w:sz w:val="20"/>
              </w:rPr>
            </w:pPr>
          </w:p>
          <w:p w14:paraId="0C8A5812">
            <w:pPr>
              <w:autoSpaceDE w:val="0"/>
              <w:autoSpaceDN w:val="0"/>
              <w:spacing w:line="244" w:lineRule="auto"/>
              <w:rPr>
                <w:sz w:val="20"/>
              </w:rPr>
            </w:pPr>
          </w:p>
          <w:p w14:paraId="4A66D37F">
            <w:pPr>
              <w:autoSpaceDE w:val="0"/>
              <w:autoSpaceDN w:val="0"/>
              <w:spacing w:line="244" w:lineRule="auto"/>
              <w:rPr>
                <w:sz w:val="20"/>
              </w:rPr>
            </w:pPr>
          </w:p>
          <w:p w14:paraId="43B3C5C1">
            <w:pPr>
              <w:autoSpaceDE w:val="0"/>
              <w:autoSpaceDN w:val="0"/>
              <w:spacing w:line="244" w:lineRule="auto"/>
              <w:rPr>
                <w:sz w:val="20"/>
              </w:rPr>
            </w:pPr>
          </w:p>
          <w:p w14:paraId="331F83B5">
            <w:pPr>
              <w:autoSpaceDE w:val="0"/>
              <w:autoSpaceDN w:val="0"/>
              <w:spacing w:line="244" w:lineRule="auto"/>
              <w:rPr>
                <w:sz w:val="20"/>
              </w:rPr>
            </w:pPr>
          </w:p>
          <w:p w14:paraId="25C17ED2">
            <w:pPr>
              <w:pStyle w:val="100"/>
              <w:autoSpaceDE w:val="0"/>
              <w:autoSpaceDN w:val="0"/>
              <w:spacing w:before="78"/>
              <w:ind w:left="308"/>
              <w:rPr>
                <w:rFonts w:hint="eastAsia"/>
              </w:rPr>
            </w:pPr>
            <w:r>
              <w:rPr>
                <w:rFonts w:hint="eastAsia"/>
              </w:rPr>
              <w:t>1</w:t>
            </w:r>
          </w:p>
        </w:tc>
      </w:tr>
      <w:tr w14:paraId="4DF15802">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7547" w:hRule="atLeast"/>
        </w:trPr>
        <w:tc>
          <w:tcPr>
            <w:tcW w:w="487" w:type="dxa"/>
            <w:tcBorders>
              <w:top w:val="single" w:color="1F2329" w:sz="4" w:space="0"/>
              <w:left w:val="single" w:color="1F2329" w:sz="4" w:space="0"/>
              <w:bottom w:val="single" w:color="1F2329" w:sz="4" w:space="0"/>
              <w:right w:val="single" w:color="1F2329" w:sz="4" w:space="0"/>
            </w:tcBorders>
          </w:tcPr>
          <w:p w14:paraId="285FFD34">
            <w:pPr>
              <w:autoSpaceDE w:val="0"/>
              <w:autoSpaceDN w:val="0"/>
              <w:rPr>
                <w:sz w:val="20"/>
              </w:rPr>
            </w:pPr>
          </w:p>
        </w:tc>
        <w:tc>
          <w:tcPr>
            <w:tcW w:w="615" w:type="dxa"/>
            <w:tcBorders>
              <w:top w:val="single" w:color="1F2329" w:sz="4" w:space="0"/>
              <w:left w:val="single" w:color="1F2329" w:sz="4" w:space="0"/>
              <w:bottom w:val="single" w:color="1F2329" w:sz="4" w:space="0"/>
              <w:right w:val="single" w:color="1F2329" w:sz="4" w:space="0"/>
            </w:tcBorders>
          </w:tcPr>
          <w:p w14:paraId="041873C0">
            <w:pPr>
              <w:autoSpaceDE w:val="0"/>
              <w:autoSpaceDN w:val="0"/>
              <w:rPr>
                <w:sz w:val="20"/>
              </w:rPr>
            </w:pPr>
          </w:p>
        </w:tc>
        <w:tc>
          <w:tcPr>
            <w:tcW w:w="801" w:type="dxa"/>
            <w:tcBorders>
              <w:top w:val="single" w:color="1F2329" w:sz="4" w:space="0"/>
              <w:left w:val="single" w:color="1F2329" w:sz="4" w:space="0"/>
              <w:bottom w:val="single" w:color="1F2329" w:sz="4" w:space="0"/>
              <w:right w:val="single" w:color="1F2329" w:sz="4" w:space="0"/>
            </w:tcBorders>
          </w:tcPr>
          <w:p w14:paraId="38371490">
            <w:pPr>
              <w:autoSpaceDE w:val="0"/>
              <w:autoSpaceDN w:val="0"/>
              <w:rPr>
                <w:sz w:val="20"/>
              </w:rPr>
            </w:pPr>
          </w:p>
        </w:tc>
        <w:tc>
          <w:tcPr>
            <w:tcW w:w="10947" w:type="dxa"/>
            <w:tcBorders>
              <w:top w:val="single" w:color="1F2329" w:sz="4" w:space="0"/>
              <w:left w:val="single" w:color="1F2329" w:sz="4" w:space="0"/>
              <w:bottom w:val="single" w:color="1F2329" w:sz="4" w:space="0"/>
              <w:right w:val="single" w:color="1F2329" w:sz="4" w:space="0"/>
            </w:tcBorders>
          </w:tcPr>
          <w:p w14:paraId="45067636">
            <w:pPr>
              <w:pStyle w:val="100"/>
              <w:autoSpaceDE w:val="0"/>
              <w:autoSpaceDN w:val="0"/>
              <w:spacing w:before="55" w:line="218" w:lineRule="auto"/>
              <w:ind w:left="42"/>
              <w:rPr>
                <w:rFonts w:hint="eastAsia"/>
                <w:lang w:eastAsia="zh-CN"/>
              </w:rPr>
            </w:pPr>
            <w:r>
              <w:rPr>
                <w:rFonts w:hint="eastAsia"/>
                <w:spacing w:val="-1"/>
                <w:lang w:eastAsia="zh-CN"/>
              </w:rPr>
              <w:t>以直接使用既有分组信息，教师可以监控每个分组的教学过程，以了解分组教学的进度。</w:t>
            </w:r>
          </w:p>
          <w:p w14:paraId="2BBC4A5D">
            <w:pPr>
              <w:pStyle w:val="100"/>
              <w:autoSpaceDE w:val="0"/>
              <w:autoSpaceDN w:val="0"/>
              <w:spacing w:before="27" w:line="237" w:lineRule="auto"/>
              <w:ind w:left="14" w:right="7" w:firstLine="17"/>
              <w:rPr>
                <w:rFonts w:hint="eastAsia"/>
                <w:lang w:eastAsia="zh-CN"/>
              </w:rPr>
            </w:pPr>
            <w:r>
              <w:rPr>
                <w:rFonts w:hint="eastAsia"/>
                <w:spacing w:val="-3"/>
                <w:lang w:eastAsia="zh-CN"/>
              </w:rPr>
              <w:t>12. 分组讨论：教师可以创建多个小组进行讨论活动，并可任意选择分组加入讨论活动。同组师生支</w:t>
            </w:r>
            <w:r>
              <w:rPr>
                <w:rFonts w:hint="eastAsia"/>
                <w:spacing w:val="-4"/>
                <w:lang w:eastAsia="zh-CN"/>
              </w:rPr>
              <w:t>持多</w:t>
            </w:r>
            <w:r>
              <w:rPr>
                <w:rFonts w:hint="eastAsia"/>
                <w:spacing w:val="-1"/>
                <w:lang w:eastAsia="zh-CN"/>
              </w:rPr>
              <w:t>种方式进行交流，包括文字，表情，图片等。</w:t>
            </w:r>
          </w:p>
          <w:p w14:paraId="65FB4362">
            <w:pPr>
              <w:pStyle w:val="100"/>
              <w:autoSpaceDE w:val="0"/>
              <w:autoSpaceDN w:val="0"/>
              <w:spacing w:before="2" w:line="237" w:lineRule="auto"/>
              <w:ind w:left="14" w:right="7" w:firstLine="17"/>
              <w:rPr>
                <w:rFonts w:hint="eastAsia"/>
                <w:lang w:eastAsia="zh-CN"/>
              </w:rPr>
            </w:pPr>
            <w:r>
              <w:rPr>
                <w:rFonts w:hint="eastAsia"/>
                <w:spacing w:val="-3"/>
                <w:lang w:eastAsia="zh-CN"/>
              </w:rPr>
              <w:t>13. 屏幕录制：教师机可以将本地的操作和讲解过程录制为</w:t>
            </w:r>
            <w:r>
              <w:rPr>
                <w:rFonts w:hint="eastAsia"/>
                <w:spacing w:val="-59"/>
                <w:lang w:eastAsia="zh-CN"/>
              </w:rPr>
              <w:t xml:space="preserve"> </w:t>
            </w:r>
            <w:r>
              <w:rPr>
                <w:rFonts w:hint="eastAsia"/>
                <w:spacing w:val="-3"/>
                <w:lang w:eastAsia="zh-CN"/>
              </w:rPr>
              <w:t>ASF</w:t>
            </w:r>
            <w:r>
              <w:rPr>
                <w:rFonts w:hint="eastAsia"/>
                <w:spacing w:val="-49"/>
                <w:lang w:eastAsia="zh-CN"/>
              </w:rPr>
              <w:t xml:space="preserve"> </w:t>
            </w:r>
            <w:r>
              <w:rPr>
                <w:rFonts w:hint="eastAsia"/>
                <w:spacing w:val="-3"/>
                <w:lang w:eastAsia="zh-CN"/>
              </w:rPr>
              <w:t>录像文件，可以</w:t>
            </w:r>
            <w:r>
              <w:rPr>
                <w:rFonts w:hint="eastAsia"/>
                <w:spacing w:val="-4"/>
                <w:lang w:eastAsia="zh-CN"/>
              </w:rPr>
              <w:t>用主流视频播放器直接播</w:t>
            </w:r>
            <w:r>
              <w:rPr>
                <w:rFonts w:hint="eastAsia"/>
                <w:spacing w:val="-5"/>
                <w:lang w:eastAsia="zh-CN"/>
              </w:rPr>
              <w:t>放。</w:t>
            </w:r>
          </w:p>
          <w:p w14:paraId="70591676">
            <w:pPr>
              <w:pStyle w:val="100"/>
              <w:autoSpaceDE w:val="0"/>
              <w:autoSpaceDN w:val="0"/>
              <w:spacing w:line="237" w:lineRule="auto"/>
              <w:ind w:left="41" w:right="7" w:hanging="9"/>
              <w:rPr>
                <w:rFonts w:hint="eastAsia"/>
                <w:lang w:eastAsia="zh-CN"/>
              </w:rPr>
            </w:pPr>
            <w:r>
              <w:rPr>
                <w:rFonts w:hint="eastAsia"/>
                <w:spacing w:val="-3"/>
                <w:lang w:eastAsia="zh-CN"/>
              </w:rPr>
              <w:t>14. 学生端屏幕录制、回放：学生端接收教师端广播的时候可以自动录制教师机广播教学的过程，课</w:t>
            </w:r>
            <w:r>
              <w:rPr>
                <w:rFonts w:hint="eastAsia"/>
                <w:spacing w:val="-4"/>
                <w:lang w:eastAsia="zh-CN"/>
              </w:rPr>
              <w:t>后可</w:t>
            </w:r>
            <w:r>
              <w:rPr>
                <w:rFonts w:hint="eastAsia"/>
                <w:spacing w:val="-5"/>
                <w:lang w:eastAsia="zh-CN"/>
              </w:rPr>
              <w:t>以重复观看学习。</w:t>
            </w:r>
          </w:p>
          <w:p w14:paraId="0BF0D287">
            <w:pPr>
              <w:pStyle w:val="100"/>
              <w:autoSpaceDE w:val="0"/>
              <w:autoSpaceDN w:val="0"/>
              <w:spacing w:line="237" w:lineRule="auto"/>
              <w:ind w:left="15" w:right="7" w:firstLine="16"/>
              <w:rPr>
                <w:rFonts w:hint="eastAsia"/>
                <w:lang w:eastAsia="zh-CN"/>
              </w:rPr>
            </w:pPr>
            <w:r>
              <w:rPr>
                <w:rFonts w:hint="eastAsia"/>
                <w:spacing w:val="-3"/>
                <w:lang w:eastAsia="zh-CN"/>
              </w:rPr>
              <w:t>15. 文件分发：允许教师将教师机不同盘符中的目录或文件一起发送至生机的某目录下。目录不存在</w:t>
            </w:r>
            <w:r>
              <w:rPr>
                <w:rFonts w:hint="eastAsia"/>
                <w:spacing w:val="-4"/>
                <w:lang w:eastAsia="zh-CN"/>
              </w:rPr>
              <w:t>自动</w:t>
            </w:r>
            <w:r>
              <w:rPr>
                <w:rFonts w:hint="eastAsia"/>
                <w:lang w:eastAsia="zh-CN"/>
              </w:rPr>
              <w:t>新建此目录；盘符不存在或路径非法不允许分发；文件已存在选择</w:t>
            </w:r>
            <w:r>
              <w:rPr>
                <w:rFonts w:hint="eastAsia"/>
                <w:spacing w:val="-1"/>
                <w:lang w:eastAsia="zh-CN"/>
              </w:rPr>
              <w:t>自动覆盖或保留原始文件。</w:t>
            </w:r>
          </w:p>
          <w:p w14:paraId="7E596887">
            <w:pPr>
              <w:pStyle w:val="100"/>
              <w:autoSpaceDE w:val="0"/>
              <w:autoSpaceDN w:val="0"/>
              <w:spacing w:before="3" w:line="237" w:lineRule="auto"/>
              <w:ind w:left="16" w:firstLine="15"/>
              <w:rPr>
                <w:rFonts w:hint="eastAsia"/>
                <w:lang w:eastAsia="zh-CN"/>
              </w:rPr>
            </w:pPr>
            <w:r>
              <w:rPr>
                <w:rFonts w:hint="eastAsia"/>
                <w:spacing w:val="-3"/>
                <w:lang w:eastAsia="zh-CN"/>
              </w:rPr>
              <w:t>16. 文件提交：学生把做好的作业直接提交到教师机，方便教师批改作业要收取的麻烦。通过特殊设置，</w:t>
            </w:r>
            <w:r>
              <w:rPr>
                <w:rFonts w:hint="eastAsia"/>
                <w:spacing w:val="-4"/>
                <w:lang w:eastAsia="zh-CN"/>
              </w:rPr>
              <w:t>学生提交作业时必需经过教师审批通过后才可提交，教师可以选择接收和拒绝学生提交的文件。并且教师</w:t>
            </w:r>
            <w:r>
              <w:rPr>
                <w:rFonts w:hint="eastAsia"/>
                <w:spacing w:val="-2"/>
                <w:lang w:eastAsia="zh-CN"/>
              </w:rPr>
              <w:t>可以限制学生提交文件的数目和大小。</w:t>
            </w:r>
          </w:p>
          <w:p w14:paraId="4B366C54">
            <w:pPr>
              <w:pStyle w:val="100"/>
              <w:autoSpaceDE w:val="0"/>
              <w:autoSpaceDN w:val="0"/>
              <w:spacing w:line="218" w:lineRule="auto"/>
              <w:ind w:left="32"/>
              <w:rPr>
                <w:rFonts w:hint="eastAsia"/>
                <w:lang w:eastAsia="zh-CN"/>
              </w:rPr>
            </w:pPr>
            <w:r>
              <w:rPr>
                <w:rFonts w:hint="eastAsia"/>
                <w:spacing w:val="-1"/>
                <w:lang w:eastAsia="zh-CN"/>
              </w:rPr>
              <w:t>17. 网络快照：教师可以在监控学生的时候，对学生画面拍快照，保存学生画面的截图。</w:t>
            </w:r>
          </w:p>
          <w:p w14:paraId="1945D368">
            <w:pPr>
              <w:pStyle w:val="100"/>
              <w:autoSpaceDE w:val="0"/>
              <w:autoSpaceDN w:val="0"/>
              <w:spacing w:before="25" w:line="237" w:lineRule="auto"/>
              <w:ind w:left="14" w:right="7" w:firstLine="18"/>
              <w:rPr>
                <w:rFonts w:hint="eastAsia"/>
                <w:lang w:eastAsia="zh-CN"/>
              </w:rPr>
            </w:pPr>
            <w:r>
              <w:rPr>
                <w:rFonts w:hint="eastAsia"/>
                <w:spacing w:val="-3"/>
                <w:lang w:eastAsia="zh-CN"/>
              </w:rPr>
              <w:t>18. 屏幕监视：教师机可以监视单一、部分、全体学生机的屏幕，教师机每屏可监视多个学生屏幕。</w:t>
            </w:r>
            <w:r>
              <w:rPr>
                <w:rFonts w:hint="eastAsia"/>
                <w:spacing w:val="-4"/>
                <w:lang w:eastAsia="zh-CN"/>
              </w:rPr>
              <w:t>可以</w:t>
            </w:r>
            <w:r>
              <w:rPr>
                <w:rFonts w:hint="eastAsia"/>
                <w:lang w:eastAsia="zh-CN"/>
              </w:rPr>
              <w:t>控制教师机监控的同屏幕各窗口间、屏幕与屏幕间的切换速度。可</w:t>
            </w:r>
            <w:r>
              <w:rPr>
                <w:rFonts w:hint="eastAsia"/>
                <w:spacing w:val="-1"/>
                <w:lang w:eastAsia="zh-CN"/>
              </w:rPr>
              <w:t>手动或自动循环监视。</w:t>
            </w:r>
          </w:p>
          <w:p w14:paraId="2ADA8762">
            <w:pPr>
              <w:pStyle w:val="100"/>
              <w:autoSpaceDE w:val="0"/>
              <w:autoSpaceDN w:val="0"/>
              <w:ind w:left="37" w:right="7" w:hanging="5"/>
              <w:rPr>
                <w:rFonts w:hint="eastAsia"/>
                <w:lang w:eastAsia="zh-CN"/>
              </w:rPr>
            </w:pPr>
            <w:r>
              <w:rPr>
                <w:rFonts w:hint="eastAsia"/>
                <w:spacing w:val="-1"/>
                <w:lang w:eastAsia="zh-CN"/>
              </w:rPr>
              <w:t>19. 多频道教学：支持多达</w:t>
            </w:r>
            <w:r>
              <w:rPr>
                <w:rFonts w:hint="eastAsia"/>
                <w:spacing w:val="-46"/>
                <w:lang w:eastAsia="zh-CN"/>
              </w:rPr>
              <w:t xml:space="preserve"> </w:t>
            </w:r>
            <w:r>
              <w:rPr>
                <w:rFonts w:hint="eastAsia"/>
                <w:spacing w:val="-1"/>
                <w:lang w:eastAsia="zh-CN"/>
              </w:rPr>
              <w:t>32</w:t>
            </w:r>
            <w:r>
              <w:rPr>
                <w:rFonts w:hint="eastAsia"/>
                <w:spacing w:val="-50"/>
                <w:lang w:eastAsia="zh-CN"/>
              </w:rPr>
              <w:t xml:space="preserve"> </w:t>
            </w:r>
            <w:r>
              <w:rPr>
                <w:rFonts w:hint="eastAsia"/>
                <w:spacing w:val="-1"/>
                <w:lang w:eastAsia="zh-CN"/>
              </w:rPr>
              <w:t>个频道的划分，一个教师可对单个班级或多个班级同时上课；多个教</w:t>
            </w:r>
            <w:r>
              <w:rPr>
                <w:rFonts w:hint="eastAsia"/>
                <w:spacing w:val="-2"/>
                <w:lang w:eastAsia="zh-CN"/>
              </w:rPr>
              <w:t>师可同时对多个班级进行不同内容的教学。</w:t>
            </w:r>
          </w:p>
          <w:p w14:paraId="6C25122D">
            <w:pPr>
              <w:pStyle w:val="100"/>
              <w:autoSpaceDE w:val="0"/>
              <w:autoSpaceDN w:val="0"/>
              <w:spacing w:line="218" w:lineRule="auto"/>
              <w:ind w:left="18"/>
              <w:rPr>
                <w:rFonts w:hint="eastAsia"/>
                <w:lang w:eastAsia="zh-CN"/>
              </w:rPr>
            </w:pPr>
            <w:r>
              <w:rPr>
                <w:rFonts w:hint="eastAsia"/>
                <w:spacing w:val="-3"/>
                <w:lang w:eastAsia="zh-CN"/>
              </w:rPr>
              <w:t>二、教学评测</w:t>
            </w:r>
          </w:p>
          <w:p w14:paraId="47CD397F">
            <w:pPr>
              <w:pStyle w:val="100"/>
              <w:autoSpaceDE w:val="0"/>
              <w:autoSpaceDN w:val="0"/>
              <w:spacing w:before="25"/>
              <w:ind w:left="16" w:right="7" w:firstLine="15"/>
              <w:rPr>
                <w:rFonts w:hint="eastAsia"/>
                <w:lang w:eastAsia="zh-CN"/>
              </w:rPr>
            </w:pPr>
            <w:r>
              <w:rPr>
                <w:rFonts w:hint="eastAsia"/>
                <w:lang w:eastAsia="zh-CN"/>
              </w:rPr>
              <w:t>1. 试卷编辑：教师能够在家中编辑试题，试</w:t>
            </w:r>
            <w:r>
              <w:rPr>
                <w:rFonts w:hint="eastAsia"/>
                <w:spacing w:val="-1"/>
                <w:lang w:eastAsia="zh-CN"/>
              </w:rPr>
              <w:t>题类型支持单选、多选、判断、简答，可插入图片，设置试卷名称、教师名称、班级、考试时间和总分。</w:t>
            </w:r>
          </w:p>
          <w:p w14:paraId="630E6224">
            <w:pPr>
              <w:pStyle w:val="100"/>
              <w:autoSpaceDE w:val="0"/>
              <w:autoSpaceDN w:val="0"/>
              <w:spacing w:before="1" w:line="237" w:lineRule="auto"/>
              <w:ind w:left="14" w:right="7" w:firstLine="3"/>
              <w:rPr>
                <w:rFonts w:hint="eastAsia"/>
                <w:lang w:eastAsia="zh-CN"/>
              </w:rPr>
            </w:pPr>
            <w:r>
              <w:rPr>
                <w:rFonts w:hint="eastAsia"/>
                <w:lang w:eastAsia="zh-CN"/>
              </w:rPr>
              <w:t>2. 开始考试：教师将试卷分发给学生即可开始考试，考试过程中可以教师如有</w:t>
            </w:r>
            <w:r>
              <w:rPr>
                <w:rFonts w:hint="eastAsia"/>
                <w:spacing w:val="-1"/>
                <w:lang w:eastAsia="zh-CN"/>
              </w:rPr>
              <w:t>问题补充，可暂停考试，</w:t>
            </w:r>
            <w:r>
              <w:rPr>
                <w:rFonts w:hint="eastAsia"/>
                <w:spacing w:val="-3"/>
                <w:lang w:eastAsia="zh-CN"/>
              </w:rPr>
              <w:t>在特殊情况下，可以暂挂考试，下次启动系统后可继续考试；考试过程中如有断电、关机等意外情况学生</w:t>
            </w:r>
            <w:r>
              <w:rPr>
                <w:rFonts w:hint="eastAsia"/>
                <w:spacing w:val="-1"/>
                <w:lang w:eastAsia="zh-CN"/>
              </w:rPr>
              <w:t>机可断线重连，考试结束后学生可提交或时间到自动提交。</w:t>
            </w:r>
          </w:p>
          <w:p w14:paraId="67C0121C">
            <w:pPr>
              <w:pStyle w:val="100"/>
              <w:autoSpaceDE w:val="0"/>
              <w:autoSpaceDN w:val="0"/>
              <w:spacing w:before="1" w:line="237" w:lineRule="auto"/>
              <w:ind w:left="14" w:right="7" w:firstLine="5"/>
              <w:rPr>
                <w:rFonts w:hint="eastAsia"/>
                <w:lang w:eastAsia="zh-CN"/>
              </w:rPr>
            </w:pPr>
            <w:r>
              <w:rPr>
                <w:rFonts w:hint="eastAsia"/>
                <w:spacing w:val="-1"/>
                <w:lang w:eastAsia="zh-CN"/>
              </w:rPr>
              <w:t>3.</w:t>
            </w:r>
            <w:r>
              <w:rPr>
                <w:rFonts w:hint="eastAsia"/>
                <w:spacing w:val="33"/>
                <w:lang w:eastAsia="zh-CN"/>
              </w:rPr>
              <w:t xml:space="preserve"> </w:t>
            </w:r>
            <w:r>
              <w:rPr>
                <w:rFonts w:hint="eastAsia"/>
                <w:spacing w:val="-1"/>
                <w:lang w:eastAsia="zh-CN"/>
              </w:rPr>
              <w:t>阅卷评分：收取的试卷系统可自动评分，教师添加批注，查看柱状图显示的考试统计结果，并能够将评分结果以网页形式发送给相应的学生。</w:t>
            </w:r>
          </w:p>
          <w:p w14:paraId="0E645F70">
            <w:pPr>
              <w:pStyle w:val="100"/>
              <w:autoSpaceDE w:val="0"/>
              <w:autoSpaceDN w:val="0"/>
              <w:ind w:left="16" w:right="4" w:hanging="2"/>
              <w:rPr>
                <w:rFonts w:hint="eastAsia"/>
                <w:lang w:eastAsia="zh-CN"/>
              </w:rPr>
            </w:pPr>
            <w:r>
              <w:rPr>
                <w:rFonts w:hint="eastAsia"/>
                <w:spacing w:val="1"/>
                <w:lang w:eastAsia="zh-CN"/>
              </w:rPr>
              <w:t>4. 答题卡考试：教师导入</w:t>
            </w:r>
            <w:r>
              <w:rPr>
                <w:rFonts w:hint="eastAsia"/>
                <w:lang w:eastAsia="zh-CN"/>
              </w:rPr>
              <w:t>Word</w:t>
            </w:r>
            <w:r>
              <w:rPr>
                <w:rFonts w:hint="eastAsia"/>
                <w:spacing w:val="1"/>
                <w:lang w:eastAsia="zh-CN"/>
              </w:rPr>
              <w:t>、</w:t>
            </w:r>
            <w:r>
              <w:rPr>
                <w:rFonts w:hint="eastAsia"/>
                <w:lang w:eastAsia="zh-CN"/>
              </w:rPr>
              <w:t>PPT</w:t>
            </w:r>
            <w:r>
              <w:rPr>
                <w:rFonts w:hint="eastAsia"/>
                <w:spacing w:val="1"/>
                <w:lang w:eastAsia="zh-CN"/>
              </w:rPr>
              <w:t>、</w:t>
            </w:r>
            <w:r>
              <w:rPr>
                <w:rFonts w:hint="eastAsia"/>
                <w:lang w:eastAsia="zh-CN"/>
              </w:rPr>
              <w:t>Excel</w:t>
            </w:r>
            <w:r>
              <w:rPr>
                <w:rFonts w:hint="eastAsia"/>
                <w:spacing w:val="1"/>
                <w:lang w:eastAsia="zh-CN"/>
              </w:rPr>
              <w:t>、</w:t>
            </w:r>
            <w:r>
              <w:rPr>
                <w:rFonts w:hint="eastAsia"/>
                <w:lang w:eastAsia="zh-CN"/>
              </w:rPr>
              <w:t>PDF</w:t>
            </w:r>
            <w:r>
              <w:rPr>
                <w:rFonts w:hint="eastAsia"/>
                <w:spacing w:val="-44"/>
                <w:lang w:eastAsia="zh-CN"/>
              </w:rPr>
              <w:t xml:space="preserve"> </w:t>
            </w:r>
            <w:r>
              <w:rPr>
                <w:rFonts w:hint="eastAsia"/>
                <w:spacing w:val="1"/>
                <w:lang w:eastAsia="zh-CN"/>
              </w:rPr>
              <w:t>等文档类型的考试内容共享给学生，直接生成答题卡</w:t>
            </w:r>
            <w:r>
              <w:rPr>
                <w:rFonts w:hint="eastAsia"/>
                <w:lang w:eastAsia="zh-CN"/>
              </w:rPr>
              <w:t>用于学生作答，包含多种不同的题型：多选题</w:t>
            </w:r>
            <w:r>
              <w:rPr>
                <w:rFonts w:hint="eastAsia"/>
                <w:spacing w:val="-1"/>
                <w:lang w:eastAsia="zh-CN"/>
              </w:rPr>
              <w:t>，判断题，填空题和论述题。</w:t>
            </w:r>
          </w:p>
          <w:p w14:paraId="4B22801D">
            <w:pPr>
              <w:pStyle w:val="100"/>
              <w:autoSpaceDE w:val="0"/>
              <w:autoSpaceDN w:val="0"/>
              <w:spacing w:before="54" w:line="218" w:lineRule="auto"/>
              <w:ind w:left="15"/>
              <w:rPr>
                <w:rFonts w:hint="eastAsia"/>
                <w:lang w:eastAsia="zh-CN"/>
              </w:rPr>
            </w:pPr>
            <w:r>
              <w:rPr>
                <w:rFonts w:hint="eastAsia"/>
                <w:lang w:eastAsia="zh-CN"/>
              </w:rPr>
              <w:t>5. 随堂小考：教师启动快速的单题考试或随堂调查，限定考试时间，学生</w:t>
            </w:r>
            <w:r>
              <w:rPr>
                <w:rFonts w:hint="eastAsia"/>
                <w:spacing w:val="-1"/>
                <w:lang w:eastAsia="zh-CN"/>
              </w:rPr>
              <w:t>答题后立即给出结果，结果显示学生答案柱状图分析和答题时间，可作为抢答依据。</w:t>
            </w:r>
          </w:p>
        </w:tc>
        <w:tc>
          <w:tcPr>
            <w:tcW w:w="666" w:type="dxa"/>
            <w:tcBorders>
              <w:top w:val="single" w:color="1F2329" w:sz="4" w:space="0"/>
              <w:left w:val="single" w:color="1F2329" w:sz="4" w:space="0"/>
              <w:bottom w:val="single" w:color="1F2329" w:sz="4" w:space="0"/>
              <w:right w:val="single" w:color="1F2329" w:sz="4" w:space="0"/>
            </w:tcBorders>
          </w:tcPr>
          <w:p w14:paraId="4267E080">
            <w:pPr>
              <w:autoSpaceDE w:val="0"/>
              <w:autoSpaceDN w:val="0"/>
              <w:rPr>
                <w:sz w:val="20"/>
                <w:lang w:eastAsia="zh-CN"/>
              </w:rPr>
            </w:pPr>
          </w:p>
        </w:tc>
        <w:tc>
          <w:tcPr>
            <w:tcW w:w="689" w:type="dxa"/>
            <w:tcBorders>
              <w:top w:val="single" w:color="1F2329" w:sz="4" w:space="0"/>
              <w:left w:val="single" w:color="1F2329" w:sz="4" w:space="0"/>
              <w:bottom w:val="single" w:color="1F2329" w:sz="4" w:space="0"/>
              <w:right w:val="single" w:color="1F2329" w:sz="4" w:space="0"/>
            </w:tcBorders>
          </w:tcPr>
          <w:p w14:paraId="1CE63DF2">
            <w:pPr>
              <w:autoSpaceDE w:val="0"/>
              <w:autoSpaceDN w:val="0"/>
              <w:rPr>
                <w:sz w:val="20"/>
                <w:lang w:eastAsia="zh-CN"/>
              </w:rPr>
            </w:pPr>
          </w:p>
        </w:tc>
      </w:tr>
    </w:tbl>
    <w:tbl>
      <w:tblPr>
        <w:tblStyle w:val="116"/>
        <w:tblpPr w:leftFromText="180" w:rightFromText="180" w:vertAnchor="text" w:horzAnchor="page" w:tblpX="1334" w:tblpY="121"/>
        <w:tblOverlap w:val="never"/>
        <w:tblW w:w="14205" w:type="dxa"/>
        <w:tblInd w:w="0" w:type="dxa"/>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Layout w:type="fixed"/>
        <w:tblCellMar>
          <w:top w:w="0" w:type="dxa"/>
          <w:left w:w="0" w:type="dxa"/>
          <w:bottom w:w="0" w:type="dxa"/>
          <w:right w:w="0" w:type="dxa"/>
        </w:tblCellMar>
      </w:tblPr>
      <w:tblGrid>
        <w:gridCol w:w="487"/>
        <w:gridCol w:w="615"/>
        <w:gridCol w:w="801"/>
        <w:gridCol w:w="10947"/>
        <w:gridCol w:w="666"/>
        <w:gridCol w:w="689"/>
      </w:tblGrid>
      <w:tr w14:paraId="02D75312">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7333" w:hRule="atLeast"/>
        </w:trPr>
        <w:tc>
          <w:tcPr>
            <w:tcW w:w="487" w:type="dxa"/>
            <w:tcBorders>
              <w:top w:val="single" w:color="1F2329" w:sz="4" w:space="0"/>
              <w:left w:val="single" w:color="1F2329" w:sz="4" w:space="0"/>
              <w:bottom w:val="single" w:color="1F2329" w:sz="4" w:space="0"/>
              <w:right w:val="single" w:color="1F2329" w:sz="4" w:space="0"/>
            </w:tcBorders>
          </w:tcPr>
          <w:p w14:paraId="62A85140">
            <w:pPr>
              <w:autoSpaceDE w:val="0"/>
              <w:autoSpaceDN w:val="0"/>
              <w:rPr>
                <w:sz w:val="20"/>
                <w:lang w:eastAsia="zh-CN"/>
              </w:rPr>
            </w:pPr>
          </w:p>
        </w:tc>
        <w:tc>
          <w:tcPr>
            <w:tcW w:w="615" w:type="dxa"/>
            <w:tcBorders>
              <w:top w:val="single" w:color="1F2329" w:sz="4" w:space="0"/>
              <w:left w:val="single" w:color="1F2329" w:sz="4" w:space="0"/>
              <w:bottom w:val="single" w:color="1F2329" w:sz="4" w:space="0"/>
              <w:right w:val="single" w:color="1F2329" w:sz="4" w:space="0"/>
            </w:tcBorders>
          </w:tcPr>
          <w:p w14:paraId="16B88258">
            <w:pPr>
              <w:autoSpaceDE w:val="0"/>
              <w:autoSpaceDN w:val="0"/>
              <w:rPr>
                <w:sz w:val="20"/>
                <w:lang w:eastAsia="zh-CN"/>
              </w:rPr>
            </w:pPr>
          </w:p>
        </w:tc>
        <w:tc>
          <w:tcPr>
            <w:tcW w:w="801" w:type="dxa"/>
            <w:tcBorders>
              <w:top w:val="single" w:color="1F2329" w:sz="4" w:space="0"/>
              <w:left w:val="single" w:color="1F2329" w:sz="4" w:space="0"/>
              <w:bottom w:val="single" w:color="1F2329" w:sz="4" w:space="0"/>
              <w:right w:val="single" w:color="1F2329" w:sz="4" w:space="0"/>
            </w:tcBorders>
          </w:tcPr>
          <w:p w14:paraId="58AE1462">
            <w:pPr>
              <w:autoSpaceDE w:val="0"/>
              <w:autoSpaceDN w:val="0"/>
              <w:rPr>
                <w:sz w:val="20"/>
                <w:lang w:eastAsia="zh-CN"/>
              </w:rPr>
            </w:pPr>
          </w:p>
        </w:tc>
        <w:tc>
          <w:tcPr>
            <w:tcW w:w="10947" w:type="dxa"/>
            <w:tcBorders>
              <w:top w:val="single" w:color="1F2329" w:sz="4" w:space="0"/>
              <w:left w:val="single" w:color="1F2329" w:sz="4" w:space="0"/>
              <w:bottom w:val="single" w:color="1F2329" w:sz="4" w:space="0"/>
              <w:right w:val="single" w:color="1F2329" w:sz="4" w:space="0"/>
            </w:tcBorders>
          </w:tcPr>
          <w:p w14:paraId="78D70836">
            <w:pPr>
              <w:pStyle w:val="100"/>
              <w:autoSpaceDE w:val="0"/>
              <w:autoSpaceDN w:val="0"/>
              <w:spacing w:before="28" w:line="218" w:lineRule="auto"/>
              <w:ind w:left="16"/>
              <w:rPr>
                <w:rFonts w:hint="eastAsia"/>
                <w:lang w:eastAsia="zh-CN"/>
              </w:rPr>
            </w:pPr>
            <w:r>
              <w:rPr>
                <w:rFonts w:hint="eastAsia"/>
                <w:lang w:eastAsia="zh-CN"/>
              </w:rPr>
              <w:t>6. 抢答竞赛：教师可以出任意题目请学生作答，学</w:t>
            </w:r>
            <w:r>
              <w:rPr>
                <w:rFonts w:hint="eastAsia"/>
                <w:spacing w:val="-1"/>
                <w:lang w:eastAsia="zh-CN"/>
              </w:rPr>
              <w:t>生抢答时只需按下按钮即可。</w:t>
            </w:r>
          </w:p>
          <w:p w14:paraId="1005F5A0">
            <w:pPr>
              <w:pStyle w:val="100"/>
              <w:autoSpaceDE w:val="0"/>
              <w:autoSpaceDN w:val="0"/>
              <w:spacing w:before="24" w:line="218" w:lineRule="auto"/>
              <w:ind w:left="14"/>
              <w:rPr>
                <w:rFonts w:hint="eastAsia"/>
                <w:lang w:eastAsia="zh-CN"/>
              </w:rPr>
            </w:pPr>
            <w:r>
              <w:rPr>
                <w:rFonts w:hint="eastAsia"/>
                <w:spacing w:val="-2"/>
                <w:lang w:eastAsia="zh-CN"/>
              </w:rPr>
              <w:t>三、课堂管理</w:t>
            </w:r>
          </w:p>
          <w:p w14:paraId="12D96094">
            <w:pPr>
              <w:pStyle w:val="100"/>
              <w:autoSpaceDE w:val="0"/>
              <w:autoSpaceDN w:val="0"/>
              <w:spacing w:before="27" w:line="218" w:lineRule="auto"/>
              <w:ind w:left="32"/>
              <w:rPr>
                <w:rFonts w:hint="eastAsia"/>
                <w:lang w:eastAsia="zh-CN"/>
              </w:rPr>
            </w:pPr>
            <w:r>
              <w:rPr>
                <w:rFonts w:hint="eastAsia"/>
                <w:spacing w:val="-2"/>
                <w:lang w:eastAsia="zh-CN"/>
              </w:rPr>
              <w:t>1. 登录模式：支持频道登录、选择教师登录和</w:t>
            </w:r>
            <w:r>
              <w:rPr>
                <w:rFonts w:hint="eastAsia"/>
                <w:spacing w:val="-38"/>
                <w:lang w:eastAsia="zh-CN"/>
              </w:rPr>
              <w:t xml:space="preserve"> </w:t>
            </w:r>
            <w:r>
              <w:rPr>
                <w:rFonts w:hint="eastAsia"/>
                <w:spacing w:val="-2"/>
                <w:lang w:eastAsia="zh-CN"/>
              </w:rPr>
              <w:t>IP</w:t>
            </w:r>
            <w:r>
              <w:rPr>
                <w:rFonts w:hint="eastAsia"/>
                <w:spacing w:val="-51"/>
                <w:lang w:eastAsia="zh-CN"/>
              </w:rPr>
              <w:t xml:space="preserve"> </w:t>
            </w:r>
            <w:r>
              <w:rPr>
                <w:rFonts w:hint="eastAsia"/>
                <w:spacing w:val="-2"/>
                <w:lang w:eastAsia="zh-CN"/>
              </w:rPr>
              <w:t>地址段登录。</w:t>
            </w:r>
          </w:p>
          <w:p w14:paraId="54E10722">
            <w:pPr>
              <w:pStyle w:val="100"/>
              <w:autoSpaceDE w:val="0"/>
              <w:autoSpaceDN w:val="0"/>
              <w:spacing w:before="27" w:line="237" w:lineRule="auto"/>
              <w:ind w:left="18" w:right="7" w:hanging="1"/>
              <w:rPr>
                <w:rFonts w:hint="eastAsia"/>
                <w:lang w:eastAsia="zh-CN"/>
              </w:rPr>
            </w:pPr>
            <w:r>
              <w:rPr>
                <w:rFonts w:hint="eastAsia"/>
                <w:lang w:eastAsia="zh-CN"/>
              </w:rPr>
              <w:t>2. 签到：提供学生名单管理工具，为软件和考试模块提供实名验证。提供点名</w:t>
            </w:r>
            <w:r>
              <w:rPr>
                <w:rFonts w:hint="eastAsia"/>
                <w:spacing w:val="-1"/>
                <w:lang w:eastAsia="zh-CN"/>
              </w:rPr>
              <w:t>功能，支持保留学生多次登录记录、考勤统计、签到信息的导出与对比。</w:t>
            </w:r>
          </w:p>
          <w:p w14:paraId="1C3CB880">
            <w:pPr>
              <w:pStyle w:val="100"/>
              <w:autoSpaceDE w:val="0"/>
              <w:autoSpaceDN w:val="0"/>
              <w:spacing w:before="2" w:line="237" w:lineRule="auto"/>
              <w:ind w:left="36" w:right="7" w:hanging="17"/>
              <w:rPr>
                <w:rFonts w:hint="eastAsia"/>
                <w:lang w:eastAsia="zh-CN"/>
              </w:rPr>
            </w:pPr>
            <w:r>
              <w:rPr>
                <w:rFonts w:hint="eastAsia"/>
                <w:lang w:eastAsia="zh-CN"/>
              </w:rPr>
              <w:t>3. 班级模型：有单独的管理界面，实现对班级模型的统一管理，并能够导</w:t>
            </w:r>
            <w:r>
              <w:rPr>
                <w:rFonts w:hint="eastAsia"/>
                <w:spacing w:val="-1"/>
                <w:lang w:eastAsia="zh-CN"/>
              </w:rPr>
              <w:t>入、导出，调用不同网络教室</w:t>
            </w:r>
            <w:r>
              <w:rPr>
                <w:rFonts w:hint="eastAsia"/>
                <w:spacing w:val="-5"/>
                <w:lang w:eastAsia="zh-CN"/>
              </w:rPr>
              <w:t>中的班级模型。</w:t>
            </w:r>
          </w:p>
          <w:p w14:paraId="523A1A66">
            <w:pPr>
              <w:pStyle w:val="100"/>
              <w:autoSpaceDE w:val="0"/>
              <w:autoSpaceDN w:val="0"/>
              <w:spacing w:before="1" w:line="218" w:lineRule="auto"/>
              <w:ind w:left="14"/>
              <w:rPr>
                <w:rFonts w:hint="eastAsia"/>
                <w:lang w:eastAsia="zh-CN"/>
              </w:rPr>
            </w:pPr>
            <w:r>
              <w:rPr>
                <w:rFonts w:hint="eastAsia"/>
                <w:spacing w:val="-1"/>
                <w:lang w:eastAsia="zh-CN"/>
              </w:rPr>
              <w:t>4. 打印和光盘限制：对打印的权限和光盘使用做限制。</w:t>
            </w:r>
          </w:p>
          <w:p w14:paraId="63283ECA">
            <w:pPr>
              <w:pStyle w:val="100"/>
              <w:autoSpaceDE w:val="0"/>
              <w:autoSpaceDN w:val="0"/>
              <w:spacing w:before="24"/>
              <w:ind w:left="29" w:right="63" w:hanging="10"/>
              <w:rPr>
                <w:rFonts w:hint="eastAsia"/>
                <w:lang w:eastAsia="zh-CN"/>
              </w:rPr>
            </w:pPr>
            <w:r>
              <w:rPr>
                <w:rFonts w:hint="eastAsia"/>
                <w:lang w:eastAsia="zh-CN"/>
              </w:rPr>
              <w:t>5. U</w:t>
            </w:r>
            <w:r>
              <w:rPr>
                <w:rFonts w:hint="eastAsia"/>
                <w:spacing w:val="-49"/>
                <w:lang w:eastAsia="zh-CN"/>
              </w:rPr>
              <w:t xml:space="preserve"> </w:t>
            </w:r>
            <w:r>
              <w:rPr>
                <w:rFonts w:hint="eastAsia"/>
                <w:lang w:eastAsia="zh-CN"/>
              </w:rPr>
              <w:t>盘限制：对</w:t>
            </w:r>
            <w:r>
              <w:rPr>
                <w:rFonts w:hint="eastAsia"/>
                <w:spacing w:val="-54"/>
                <w:lang w:eastAsia="zh-CN"/>
              </w:rPr>
              <w:t xml:space="preserve"> </w:t>
            </w:r>
            <w:r>
              <w:rPr>
                <w:rFonts w:hint="eastAsia"/>
                <w:lang w:eastAsia="zh-CN"/>
              </w:rPr>
              <w:t>U</w:t>
            </w:r>
            <w:r>
              <w:rPr>
                <w:rFonts w:hint="eastAsia"/>
                <w:spacing w:val="-48"/>
                <w:lang w:eastAsia="zh-CN"/>
              </w:rPr>
              <w:t xml:space="preserve"> </w:t>
            </w:r>
            <w:r>
              <w:rPr>
                <w:rFonts w:hint="eastAsia"/>
                <w:lang w:eastAsia="zh-CN"/>
              </w:rPr>
              <w:t>盘访问权限的设定（完全开放、只读、只写、完全限制</w:t>
            </w:r>
            <w:r>
              <w:rPr>
                <w:rFonts w:hint="eastAsia"/>
                <w:spacing w:val="7"/>
                <w:lang w:eastAsia="zh-CN"/>
              </w:rPr>
              <w:t>），</w:t>
            </w:r>
            <w:r>
              <w:rPr>
                <w:rFonts w:hint="eastAsia"/>
                <w:lang w:eastAsia="zh-CN"/>
              </w:rPr>
              <w:t>有效控制学生使</w:t>
            </w:r>
            <w:r>
              <w:rPr>
                <w:rFonts w:hint="eastAsia"/>
                <w:spacing w:val="-1"/>
                <w:lang w:eastAsia="zh-CN"/>
              </w:rPr>
              <w:t>用U</w:t>
            </w:r>
            <w:r>
              <w:rPr>
                <w:rFonts w:hint="eastAsia"/>
                <w:spacing w:val="-48"/>
                <w:lang w:eastAsia="zh-CN"/>
              </w:rPr>
              <w:t xml:space="preserve"> </w:t>
            </w:r>
            <w:r>
              <w:rPr>
                <w:rFonts w:hint="eastAsia"/>
                <w:spacing w:val="-1"/>
                <w:lang w:eastAsia="zh-CN"/>
              </w:rPr>
              <w:t>盘，</w:t>
            </w:r>
            <w:r>
              <w:rPr>
                <w:rFonts w:hint="eastAsia"/>
                <w:spacing w:val="-2"/>
                <w:lang w:eastAsia="zh-CN"/>
              </w:rPr>
              <w:t>防止资料的流失和病毒的引入。</w:t>
            </w:r>
          </w:p>
          <w:p w14:paraId="068820C3">
            <w:pPr>
              <w:pStyle w:val="100"/>
              <w:autoSpaceDE w:val="0"/>
              <w:autoSpaceDN w:val="0"/>
              <w:spacing w:line="237" w:lineRule="auto"/>
              <w:ind w:left="16" w:right="7"/>
              <w:rPr>
                <w:rFonts w:hint="eastAsia"/>
                <w:lang w:eastAsia="zh-CN"/>
              </w:rPr>
            </w:pPr>
            <w:r>
              <w:rPr>
                <w:rFonts w:hint="eastAsia"/>
                <w:spacing w:val="-2"/>
                <w:lang w:eastAsia="zh-CN"/>
              </w:rPr>
              <w:t>6. 网页限制：设定学生访问网站的黑名单或白名单，对学生可以访问的</w:t>
            </w:r>
            <w:r>
              <w:rPr>
                <w:rFonts w:hint="eastAsia"/>
                <w:spacing w:val="-28"/>
                <w:lang w:eastAsia="zh-CN"/>
              </w:rPr>
              <w:t xml:space="preserve"> </w:t>
            </w:r>
            <w:r>
              <w:rPr>
                <w:rFonts w:hint="eastAsia"/>
                <w:spacing w:val="-2"/>
                <w:lang w:eastAsia="zh-CN"/>
              </w:rPr>
              <w:t>Internet站点进行管理。支持多</w:t>
            </w:r>
            <w:r>
              <w:rPr>
                <w:rFonts w:hint="eastAsia"/>
                <w:spacing w:val="-3"/>
                <w:lang w:eastAsia="zh-CN"/>
              </w:rPr>
              <w:t>浏览器限制。</w:t>
            </w:r>
          </w:p>
          <w:p w14:paraId="77089595">
            <w:pPr>
              <w:pStyle w:val="100"/>
              <w:autoSpaceDE w:val="0"/>
              <w:autoSpaceDN w:val="0"/>
              <w:spacing w:line="237" w:lineRule="auto"/>
              <w:ind w:left="9" w:right="7" w:firstLine="11"/>
              <w:rPr>
                <w:rFonts w:hint="eastAsia"/>
                <w:lang w:eastAsia="zh-CN"/>
              </w:rPr>
            </w:pPr>
            <w:r>
              <w:rPr>
                <w:rFonts w:hint="eastAsia"/>
                <w:spacing w:val="-2"/>
                <w:lang w:eastAsia="zh-CN"/>
              </w:rPr>
              <w:t>7. 程序限制：通过各种策略的应用，可防止学生在教学过程中打游戏，或使用QQ</w:t>
            </w:r>
            <w:r>
              <w:rPr>
                <w:rFonts w:hint="eastAsia"/>
                <w:spacing w:val="-38"/>
                <w:lang w:eastAsia="zh-CN"/>
              </w:rPr>
              <w:t xml:space="preserve"> </w:t>
            </w:r>
            <w:r>
              <w:rPr>
                <w:rFonts w:hint="eastAsia"/>
                <w:spacing w:val="-2"/>
                <w:lang w:eastAsia="zh-CN"/>
              </w:rPr>
              <w:t>等聊天工具，支持限制</w:t>
            </w:r>
            <w:r>
              <w:rPr>
                <w:rFonts w:hint="eastAsia"/>
                <w:spacing w:val="-1"/>
                <w:lang w:eastAsia="zh-CN"/>
              </w:rPr>
              <w:t>U</w:t>
            </w:r>
            <w:r>
              <w:rPr>
                <w:rFonts w:hint="eastAsia"/>
                <w:spacing w:val="-35"/>
                <w:lang w:eastAsia="zh-CN"/>
              </w:rPr>
              <w:t xml:space="preserve"> </w:t>
            </w:r>
            <w:r>
              <w:rPr>
                <w:rFonts w:hint="eastAsia"/>
                <w:spacing w:val="-1"/>
                <w:lang w:eastAsia="zh-CN"/>
              </w:rPr>
              <w:t>盘，网络映射盘，硬盘虚拟盘，虚拟光盘，内存虚拟盘里的程序。</w:t>
            </w:r>
          </w:p>
          <w:p w14:paraId="0B8F3551">
            <w:pPr>
              <w:pStyle w:val="100"/>
              <w:autoSpaceDE w:val="0"/>
              <w:autoSpaceDN w:val="0"/>
              <w:ind w:left="14" w:right="7"/>
              <w:rPr>
                <w:rFonts w:hint="eastAsia"/>
                <w:lang w:eastAsia="zh-CN"/>
              </w:rPr>
            </w:pPr>
            <w:r>
              <w:rPr>
                <w:rFonts w:hint="eastAsia"/>
                <w:lang w:eastAsia="zh-CN"/>
              </w:rPr>
              <w:t>8. 学生端属性查看：教师可以获取学生端计算机的名称、登录名和其它常用信息，</w:t>
            </w:r>
            <w:r>
              <w:rPr>
                <w:rFonts w:hint="eastAsia"/>
                <w:spacing w:val="-1"/>
                <w:lang w:eastAsia="zh-CN"/>
              </w:rPr>
              <w:t>并可以列出学生端的</w:t>
            </w:r>
            <w:r>
              <w:rPr>
                <w:rFonts w:hint="eastAsia"/>
                <w:lang w:eastAsia="zh-CN"/>
              </w:rPr>
              <w:t>应用程序、进程和进程 ID，教师还可以</w:t>
            </w:r>
            <w:r>
              <w:rPr>
                <w:rFonts w:hint="eastAsia"/>
                <w:spacing w:val="-1"/>
                <w:lang w:eastAsia="zh-CN"/>
              </w:rPr>
              <w:t>远程终止学生端的进程。</w:t>
            </w:r>
          </w:p>
          <w:p w14:paraId="5BAE52FB">
            <w:pPr>
              <w:pStyle w:val="100"/>
              <w:autoSpaceDE w:val="0"/>
              <w:autoSpaceDN w:val="0"/>
              <w:spacing w:before="1" w:line="218" w:lineRule="auto"/>
              <w:jc w:val="both"/>
              <w:rPr>
                <w:rFonts w:hint="eastAsia"/>
                <w:lang w:eastAsia="zh-CN"/>
              </w:rPr>
            </w:pPr>
            <w:r>
              <w:rPr>
                <w:rFonts w:hint="eastAsia"/>
                <w:spacing w:val="-5"/>
                <w:lang w:eastAsia="zh-CN"/>
              </w:rPr>
              <w:t>9. 系统日志：显示和自动保存系统运行过程中的关键事件，包括学生登录登出，资源不足，提交文件</w:t>
            </w:r>
            <w:r>
              <w:rPr>
                <w:rFonts w:hint="eastAsia"/>
                <w:spacing w:val="-6"/>
                <w:lang w:eastAsia="zh-CN"/>
              </w:rPr>
              <w:t>等。</w:t>
            </w:r>
          </w:p>
          <w:p w14:paraId="09C3A387">
            <w:pPr>
              <w:pStyle w:val="100"/>
              <w:autoSpaceDE w:val="0"/>
              <w:autoSpaceDN w:val="0"/>
              <w:spacing w:before="24"/>
              <w:ind w:right="7"/>
              <w:rPr>
                <w:rFonts w:hint="eastAsia"/>
                <w:lang w:eastAsia="zh-CN"/>
              </w:rPr>
            </w:pPr>
            <w:r>
              <w:rPr>
                <w:rFonts w:hint="eastAsia"/>
                <w:spacing w:val="-3"/>
                <w:lang w:eastAsia="zh-CN"/>
              </w:rPr>
              <w:t>10. 黑屏肃静：教师可以对单一、部分、全体学生执行黑屏肃静来禁止其进行任何操作，达到专心听</w:t>
            </w:r>
            <w:r>
              <w:rPr>
                <w:rFonts w:hint="eastAsia"/>
                <w:spacing w:val="-4"/>
                <w:lang w:eastAsia="zh-CN"/>
              </w:rPr>
              <w:t>课目</w:t>
            </w:r>
            <w:r>
              <w:rPr>
                <w:rFonts w:hint="eastAsia"/>
                <w:spacing w:val="-2"/>
                <w:lang w:eastAsia="zh-CN"/>
              </w:rPr>
              <w:t>的，教师可自定义黑屏的内容与图片。</w:t>
            </w:r>
          </w:p>
          <w:p w14:paraId="7F395A4D">
            <w:pPr>
              <w:pStyle w:val="100"/>
              <w:autoSpaceDE w:val="0"/>
              <w:autoSpaceDN w:val="0"/>
              <w:spacing w:before="1" w:line="237" w:lineRule="auto"/>
              <w:ind w:right="7"/>
              <w:rPr>
                <w:rFonts w:hint="eastAsia"/>
                <w:lang w:eastAsia="zh-CN"/>
              </w:rPr>
            </w:pPr>
            <w:r>
              <w:rPr>
                <w:rFonts w:hint="eastAsia"/>
                <w:spacing w:val="-3"/>
                <w:lang w:eastAsia="zh-CN"/>
              </w:rPr>
              <w:t>11. 远程命令：可以进行远程开机、关机、重启等操作，支持远程打开网页、远程启动程序和远程关</w:t>
            </w:r>
            <w:r>
              <w:rPr>
                <w:rFonts w:hint="eastAsia"/>
                <w:spacing w:val="-4"/>
                <w:lang w:eastAsia="zh-CN"/>
              </w:rPr>
              <w:t>闭所</w:t>
            </w:r>
            <w:r>
              <w:rPr>
                <w:rFonts w:hint="eastAsia"/>
                <w:spacing w:val="-1"/>
                <w:lang w:eastAsia="zh-CN"/>
              </w:rPr>
              <w:t>有学生正在执行的应用程序。</w:t>
            </w:r>
          </w:p>
          <w:p w14:paraId="314497AB">
            <w:pPr>
              <w:pStyle w:val="100"/>
              <w:autoSpaceDE w:val="0"/>
              <w:autoSpaceDN w:val="0"/>
              <w:spacing w:before="2" w:line="237" w:lineRule="auto"/>
              <w:ind w:right="7"/>
              <w:rPr>
                <w:rFonts w:hint="eastAsia"/>
                <w:lang w:eastAsia="zh-CN"/>
              </w:rPr>
            </w:pPr>
            <w:r>
              <w:rPr>
                <w:rFonts w:hint="eastAsia"/>
                <w:spacing w:val="-3"/>
                <w:lang w:eastAsia="zh-CN"/>
              </w:rPr>
              <w:t>12. 分组管理：教师可以新建，删除，重命名分组，添加和删除分组中的成员，设置小组长。分组信</w:t>
            </w:r>
            <w:r>
              <w:rPr>
                <w:rFonts w:hint="eastAsia"/>
                <w:spacing w:val="-4"/>
                <w:lang w:eastAsia="zh-CN"/>
              </w:rPr>
              <w:t>息随</w:t>
            </w:r>
            <w:r>
              <w:rPr>
                <w:rFonts w:hint="eastAsia"/>
                <w:spacing w:val="-1"/>
                <w:lang w:eastAsia="zh-CN"/>
              </w:rPr>
              <w:t>班级模型永久保存，下次上课可以直接使用保存的分组。</w:t>
            </w:r>
          </w:p>
          <w:p w14:paraId="5393693D">
            <w:pPr>
              <w:pStyle w:val="100"/>
              <w:autoSpaceDE w:val="0"/>
              <w:autoSpaceDN w:val="0"/>
              <w:spacing w:before="1" w:line="216" w:lineRule="auto"/>
              <w:ind w:left="32"/>
              <w:rPr>
                <w:rFonts w:hint="eastAsia"/>
                <w:lang w:eastAsia="zh-CN"/>
              </w:rPr>
            </w:pPr>
            <w:r>
              <w:rPr>
                <w:rFonts w:hint="eastAsia"/>
                <w:spacing w:val="-2"/>
                <w:lang w:eastAsia="zh-CN"/>
              </w:rPr>
              <w:t>13.</w:t>
            </w:r>
            <w:r>
              <w:rPr>
                <w:rFonts w:hint="eastAsia"/>
                <w:spacing w:val="49"/>
                <w:lang w:eastAsia="zh-CN"/>
              </w:rPr>
              <w:t xml:space="preserve"> </w:t>
            </w:r>
            <w:r>
              <w:rPr>
                <w:rFonts w:hint="eastAsia"/>
                <w:spacing w:val="-2"/>
                <w:lang w:eastAsia="zh-CN"/>
              </w:rPr>
              <w:t>图标监看：班级模型中可以显示学生机桌面的缩图。缩图显示大小也可自由设定。</w:t>
            </w:r>
          </w:p>
          <w:p w14:paraId="62D83C3D">
            <w:pPr>
              <w:pStyle w:val="100"/>
              <w:autoSpaceDE w:val="0"/>
              <w:autoSpaceDN w:val="0"/>
              <w:spacing w:before="25"/>
              <w:ind w:left="21" w:right="7" w:firstLine="11"/>
              <w:rPr>
                <w:rFonts w:hint="eastAsia"/>
                <w:lang w:eastAsia="zh-CN"/>
              </w:rPr>
            </w:pPr>
            <w:r>
              <w:rPr>
                <w:rFonts w:hint="eastAsia"/>
                <w:spacing w:val="-4"/>
                <w:lang w:eastAsia="zh-CN"/>
              </w:rPr>
              <w:t>14.</w:t>
            </w:r>
            <w:r>
              <w:rPr>
                <w:rFonts w:hint="eastAsia"/>
                <w:spacing w:val="49"/>
                <w:lang w:eastAsia="zh-CN"/>
              </w:rPr>
              <w:t xml:space="preserve"> </w:t>
            </w:r>
            <w:r>
              <w:rPr>
                <w:rFonts w:hint="eastAsia"/>
                <w:spacing w:val="-4"/>
                <w:lang w:eastAsia="zh-CN"/>
              </w:rPr>
              <w:t>自动锁屏：独有的断线保护自动锁屏技术，通过网卡的是否激活来锁定屏幕，避免学</w:t>
            </w:r>
            <w:r>
              <w:rPr>
                <w:rFonts w:hint="eastAsia"/>
                <w:spacing w:val="-5"/>
                <w:lang w:eastAsia="zh-CN"/>
              </w:rPr>
              <w:t>生拔掉网线违反</w:t>
            </w:r>
            <w:r>
              <w:rPr>
                <w:rFonts w:hint="eastAsia"/>
                <w:spacing w:val="-6"/>
                <w:lang w:eastAsia="zh-CN"/>
              </w:rPr>
              <w:t>纪律。</w:t>
            </w:r>
          </w:p>
          <w:p w14:paraId="321C2081">
            <w:pPr>
              <w:pStyle w:val="100"/>
              <w:autoSpaceDE w:val="0"/>
              <w:autoSpaceDN w:val="0"/>
              <w:spacing w:before="55" w:line="218" w:lineRule="auto"/>
              <w:ind w:left="18"/>
              <w:rPr>
                <w:rFonts w:hint="eastAsia"/>
                <w:lang w:eastAsia="zh-CN"/>
              </w:rPr>
            </w:pPr>
            <w:r>
              <w:rPr>
                <w:rFonts w:hint="eastAsia"/>
                <w:spacing w:val="-3"/>
                <w:lang w:eastAsia="zh-CN"/>
              </w:rPr>
              <w:t>15. 防杀进程：为安全起见，学生端程序运行后，防止学生通过任务管理器结束学生端程序进程来逃</w:t>
            </w:r>
            <w:r>
              <w:rPr>
                <w:rFonts w:hint="eastAsia"/>
                <w:spacing w:val="-4"/>
                <w:lang w:eastAsia="zh-CN"/>
              </w:rPr>
              <w:t>脱教师控制。</w:t>
            </w:r>
          </w:p>
        </w:tc>
        <w:tc>
          <w:tcPr>
            <w:tcW w:w="666" w:type="dxa"/>
            <w:tcBorders>
              <w:top w:val="single" w:color="1F2329" w:sz="4" w:space="0"/>
              <w:left w:val="single" w:color="1F2329" w:sz="4" w:space="0"/>
              <w:bottom w:val="single" w:color="1F2329" w:sz="4" w:space="0"/>
              <w:right w:val="single" w:color="1F2329" w:sz="4" w:space="0"/>
            </w:tcBorders>
          </w:tcPr>
          <w:p w14:paraId="591441C3">
            <w:pPr>
              <w:autoSpaceDE w:val="0"/>
              <w:autoSpaceDN w:val="0"/>
              <w:rPr>
                <w:sz w:val="20"/>
                <w:lang w:eastAsia="zh-CN"/>
              </w:rPr>
            </w:pPr>
          </w:p>
        </w:tc>
        <w:tc>
          <w:tcPr>
            <w:tcW w:w="689" w:type="dxa"/>
            <w:tcBorders>
              <w:top w:val="single" w:color="1F2329" w:sz="4" w:space="0"/>
              <w:left w:val="single" w:color="1F2329" w:sz="4" w:space="0"/>
              <w:bottom w:val="single" w:color="1F2329" w:sz="4" w:space="0"/>
              <w:right w:val="single" w:color="1F2329" w:sz="4" w:space="0"/>
            </w:tcBorders>
          </w:tcPr>
          <w:p w14:paraId="4B4E0D5E">
            <w:pPr>
              <w:autoSpaceDE w:val="0"/>
              <w:autoSpaceDN w:val="0"/>
              <w:rPr>
                <w:sz w:val="20"/>
                <w:lang w:eastAsia="zh-CN"/>
              </w:rPr>
            </w:pPr>
          </w:p>
        </w:tc>
      </w:tr>
    </w:tbl>
    <w:p w14:paraId="76E41C5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cs="宋体"/>
          <w:b/>
          <w:bCs/>
          <w:color w:val="auto"/>
          <w:kern w:val="0"/>
          <w:sz w:val="32"/>
          <w:szCs w:val="32"/>
          <w:lang w:val="en-US" w:eastAsia="zh-CN" w:bidi="ar-SA"/>
        </w:rPr>
      </w:pPr>
    </w:p>
    <w:p w14:paraId="339D7E7E">
      <w:pPr>
        <w:bidi w:val="0"/>
        <w:rPr>
          <w:rFonts w:hint="eastAsia" w:ascii="Times New Roman" w:hAnsi="Times New Roman" w:eastAsia="宋体" w:cs="Times New Roman"/>
          <w:kern w:val="2"/>
          <w:sz w:val="21"/>
          <w:szCs w:val="22"/>
          <w:lang w:val="en-US" w:eastAsia="zh-CN" w:bidi="ar-SA"/>
        </w:rPr>
      </w:pPr>
    </w:p>
    <w:p w14:paraId="30919CED">
      <w:pPr>
        <w:tabs>
          <w:tab w:val="left" w:pos="571"/>
        </w:tabs>
        <w:bidi w:val="0"/>
        <w:jc w:val="left"/>
        <w:rPr>
          <w:rFonts w:hint="eastAsia"/>
          <w:lang w:val="en-US" w:eastAsia="zh-CN"/>
        </w:rPr>
      </w:pPr>
      <w:r>
        <w:rPr>
          <w:rFonts w:hint="eastAsia"/>
          <w:lang w:val="en-US" w:eastAsia="zh-CN"/>
        </w:rPr>
        <w:tab/>
      </w:r>
    </w:p>
    <w:tbl>
      <w:tblPr>
        <w:tblStyle w:val="116"/>
        <w:tblW w:w="13996" w:type="dxa"/>
        <w:tblInd w:w="69" w:type="dxa"/>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Layout w:type="fixed"/>
        <w:tblCellMar>
          <w:top w:w="0" w:type="dxa"/>
          <w:left w:w="0" w:type="dxa"/>
          <w:bottom w:w="0" w:type="dxa"/>
          <w:right w:w="0" w:type="dxa"/>
        </w:tblCellMar>
      </w:tblPr>
      <w:tblGrid>
        <w:gridCol w:w="478"/>
        <w:gridCol w:w="606"/>
        <w:gridCol w:w="788"/>
        <w:gridCol w:w="10791"/>
        <w:gridCol w:w="655"/>
        <w:gridCol w:w="678"/>
      </w:tblGrid>
      <w:tr w14:paraId="1B1E53AA">
        <w:tblPrEx>
          <w:tblBorders>
            <w:top w:val="single" w:color="1F2329" w:sz="4" w:space="0"/>
            <w:left w:val="single" w:color="1F2329" w:sz="4" w:space="0"/>
            <w:bottom w:val="single" w:color="1F2329" w:sz="4" w:space="0"/>
            <w:right w:val="single" w:color="1F2329" w:sz="4" w:space="0"/>
            <w:insideH w:val="single" w:color="1F2329" w:sz="4" w:space="0"/>
            <w:insideV w:val="single" w:color="1F2329" w:sz="4" w:space="0"/>
          </w:tblBorders>
          <w:tblCellMar>
            <w:top w:w="0" w:type="dxa"/>
            <w:left w:w="0" w:type="dxa"/>
            <w:bottom w:w="0" w:type="dxa"/>
            <w:right w:w="0" w:type="dxa"/>
          </w:tblCellMar>
        </w:tblPrEx>
        <w:trPr>
          <w:trHeight w:val="5329" w:hRule="atLeast"/>
        </w:trPr>
        <w:tc>
          <w:tcPr>
            <w:tcW w:w="478" w:type="dxa"/>
            <w:tcBorders>
              <w:top w:val="single" w:color="1F2329" w:sz="4" w:space="0"/>
              <w:left w:val="single" w:color="1F2329" w:sz="4" w:space="0"/>
              <w:bottom w:val="single" w:color="1F2329" w:sz="4" w:space="0"/>
              <w:right w:val="single" w:color="1F2329" w:sz="4" w:space="0"/>
            </w:tcBorders>
          </w:tcPr>
          <w:p w14:paraId="19E0E7BF">
            <w:pPr>
              <w:autoSpaceDE w:val="0"/>
              <w:autoSpaceDN w:val="0"/>
              <w:rPr>
                <w:sz w:val="20"/>
                <w:lang w:eastAsia="zh-CN"/>
              </w:rPr>
            </w:pPr>
          </w:p>
        </w:tc>
        <w:tc>
          <w:tcPr>
            <w:tcW w:w="606" w:type="dxa"/>
            <w:tcBorders>
              <w:top w:val="single" w:color="1F2329" w:sz="4" w:space="0"/>
              <w:left w:val="single" w:color="1F2329" w:sz="4" w:space="0"/>
              <w:bottom w:val="single" w:color="1F2329" w:sz="4" w:space="0"/>
              <w:right w:val="single" w:color="1F2329" w:sz="4" w:space="0"/>
            </w:tcBorders>
          </w:tcPr>
          <w:p w14:paraId="7789099F">
            <w:pPr>
              <w:autoSpaceDE w:val="0"/>
              <w:autoSpaceDN w:val="0"/>
              <w:rPr>
                <w:sz w:val="20"/>
                <w:lang w:eastAsia="zh-CN"/>
              </w:rPr>
            </w:pPr>
          </w:p>
        </w:tc>
        <w:tc>
          <w:tcPr>
            <w:tcW w:w="788" w:type="dxa"/>
            <w:tcBorders>
              <w:top w:val="single" w:color="1F2329" w:sz="4" w:space="0"/>
              <w:left w:val="single" w:color="1F2329" w:sz="4" w:space="0"/>
              <w:bottom w:val="single" w:color="1F2329" w:sz="4" w:space="0"/>
              <w:right w:val="single" w:color="1F2329" w:sz="4" w:space="0"/>
            </w:tcBorders>
          </w:tcPr>
          <w:p w14:paraId="059F035B">
            <w:pPr>
              <w:autoSpaceDE w:val="0"/>
              <w:autoSpaceDN w:val="0"/>
              <w:rPr>
                <w:sz w:val="20"/>
                <w:lang w:eastAsia="zh-CN"/>
              </w:rPr>
            </w:pPr>
          </w:p>
        </w:tc>
        <w:tc>
          <w:tcPr>
            <w:tcW w:w="10791" w:type="dxa"/>
            <w:tcBorders>
              <w:top w:val="single" w:color="1F2329" w:sz="4" w:space="0"/>
              <w:left w:val="single" w:color="1F2329" w:sz="4" w:space="0"/>
              <w:bottom w:val="single" w:color="1F2329" w:sz="4" w:space="0"/>
              <w:right w:val="single" w:color="1F2329" w:sz="4" w:space="0"/>
            </w:tcBorders>
          </w:tcPr>
          <w:p w14:paraId="4B46132C">
            <w:pPr>
              <w:pStyle w:val="100"/>
              <w:autoSpaceDE w:val="0"/>
              <w:autoSpaceDN w:val="0"/>
              <w:spacing w:before="27" w:line="218" w:lineRule="auto"/>
              <w:ind w:left="32"/>
              <w:rPr>
                <w:rFonts w:hint="eastAsia"/>
                <w:lang w:eastAsia="zh-CN"/>
              </w:rPr>
            </w:pPr>
            <w:r>
              <w:rPr>
                <w:rFonts w:hint="eastAsia"/>
                <w:spacing w:val="-1"/>
                <w:lang w:eastAsia="zh-CN"/>
              </w:rPr>
              <w:t>16. 请求帮助：学生端遇到问题可请求帮助，教师端可远程遥控帮助学生解决问题。</w:t>
            </w:r>
          </w:p>
          <w:p w14:paraId="70798FFA">
            <w:pPr>
              <w:pStyle w:val="100"/>
              <w:autoSpaceDE w:val="0"/>
              <w:autoSpaceDN w:val="0"/>
              <w:spacing w:before="24" w:line="218" w:lineRule="auto"/>
              <w:ind w:left="32"/>
              <w:rPr>
                <w:rFonts w:hint="eastAsia"/>
                <w:lang w:eastAsia="zh-CN"/>
              </w:rPr>
            </w:pPr>
            <w:r>
              <w:rPr>
                <w:rFonts w:hint="eastAsia"/>
                <w:spacing w:val="-1"/>
                <w:lang w:eastAsia="zh-CN"/>
              </w:rPr>
              <w:t>17. 远程消息：教师与学生能够使用远程消息进行交流，并可以允许和阻止学生发送文字消息。</w:t>
            </w:r>
          </w:p>
          <w:p w14:paraId="0FAE7D02">
            <w:pPr>
              <w:pStyle w:val="100"/>
              <w:autoSpaceDE w:val="0"/>
              <w:autoSpaceDN w:val="0"/>
              <w:spacing w:before="26"/>
              <w:ind w:left="14" w:right="7" w:firstLine="18"/>
              <w:rPr>
                <w:rFonts w:hint="eastAsia"/>
                <w:color w:val="000000" w:themeColor="text1"/>
                <w:lang w:eastAsia="zh-CN"/>
                <w14:textFill>
                  <w14:solidFill>
                    <w14:schemeClr w14:val="tx1"/>
                  </w14:solidFill>
                </w14:textFill>
              </w:rPr>
            </w:pPr>
            <w:r>
              <w:rPr>
                <w:rFonts w:hint="eastAsia"/>
                <w:spacing w:val="-3"/>
                <w:lang w:eastAsia="zh-CN"/>
              </w:rPr>
              <w:t>18. 远程设置：远程设置学生桌面主题、桌面背景、屏幕保护方案、学生的频道号和音量、学生的卸</w:t>
            </w:r>
            <w:r>
              <w:rPr>
                <w:rFonts w:hint="eastAsia"/>
                <w:spacing w:val="-4"/>
                <w:lang w:eastAsia="zh-CN"/>
              </w:rPr>
              <w:t>载密</w:t>
            </w:r>
            <w:r>
              <w:rPr>
                <w:rFonts w:hint="eastAsia"/>
                <w:spacing w:val="-1"/>
                <w:lang w:eastAsia="zh-CN"/>
              </w:rPr>
              <w:t>码，是否启用进程保护，断线</w:t>
            </w:r>
            <w:r>
              <w:rPr>
                <w:rFonts w:hint="eastAsia"/>
                <w:color w:val="000000" w:themeColor="text1"/>
                <w:spacing w:val="-1"/>
                <w:lang w:eastAsia="zh-CN"/>
                <w14:textFill>
                  <w14:solidFill>
                    <w14:schemeClr w14:val="tx1"/>
                  </w14:solidFill>
                </w14:textFill>
              </w:rPr>
              <w:t>锁屏，热键退出等。</w:t>
            </w:r>
          </w:p>
          <w:p w14:paraId="0FA11B29">
            <w:pPr>
              <w:pStyle w:val="100"/>
              <w:autoSpaceDE w:val="0"/>
              <w:autoSpaceDN w:val="0"/>
              <w:spacing w:line="218" w:lineRule="auto"/>
              <w:ind w:left="14"/>
              <w:rPr>
                <w:rFonts w:hint="eastAsia"/>
                <w:color w:val="000000" w:themeColor="text1"/>
                <w:lang w:eastAsia="zh-CN"/>
                <w14:textFill>
                  <w14:solidFill>
                    <w14:schemeClr w14:val="tx1"/>
                  </w14:solidFill>
                </w14:textFill>
              </w:rPr>
            </w:pPr>
            <w:r>
              <w:rPr>
                <w:rFonts w:hint="eastAsia"/>
                <w:color w:val="000000" w:themeColor="text1"/>
                <w:spacing w:val="-2"/>
                <w:lang w:eastAsia="zh-CN"/>
                <w14:textFill>
                  <w14:solidFill>
                    <w14:schemeClr w14:val="tx1"/>
                  </w14:solidFill>
                </w14:textFill>
              </w:rPr>
              <w:t>三、还原管理</w:t>
            </w:r>
          </w:p>
          <w:p w14:paraId="3CA307BF">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1.</w:t>
            </w:r>
            <w:r>
              <w:rPr>
                <w:rFonts w:hint="eastAsia"/>
                <w:color w:val="000000" w:themeColor="text1"/>
                <w:spacing w:val="-1"/>
                <w:lang w:eastAsia="zh-CN"/>
                <w14:textFill>
                  <w14:solidFill>
                    <w14:schemeClr w14:val="tx1"/>
                  </w14:solidFill>
                </w14:textFill>
              </w:rPr>
              <w:t>系统支持通过</w:t>
            </w:r>
            <w:r>
              <w:rPr>
                <w:color w:val="000000" w:themeColor="text1"/>
                <w:spacing w:val="-1"/>
                <w:lang w:eastAsia="zh-CN"/>
                <w14:textFill>
                  <w14:solidFill>
                    <w14:schemeClr w14:val="tx1"/>
                  </w14:solidFill>
                </w14:textFill>
              </w:rPr>
              <w:t>U</w:t>
            </w:r>
            <w:r>
              <w:rPr>
                <w:rFonts w:hint="eastAsia"/>
                <w:color w:val="000000" w:themeColor="text1"/>
                <w:spacing w:val="-1"/>
                <w:lang w:eastAsia="zh-CN"/>
                <w14:textFill>
                  <w14:solidFill>
                    <w14:schemeClr w14:val="tx1"/>
                  </w14:solidFill>
                </w14:textFill>
              </w:rPr>
              <w:t>盘、</w:t>
            </w:r>
            <w:r>
              <w:rPr>
                <w:color w:val="000000" w:themeColor="text1"/>
                <w:spacing w:val="-1"/>
                <w:lang w:eastAsia="zh-CN"/>
                <w14:textFill>
                  <w14:solidFill>
                    <w14:schemeClr w14:val="tx1"/>
                  </w14:solidFill>
                </w14:textFill>
              </w:rPr>
              <w:t>PXE</w:t>
            </w:r>
            <w:r>
              <w:rPr>
                <w:rFonts w:hint="eastAsia"/>
                <w:color w:val="000000" w:themeColor="text1"/>
                <w:spacing w:val="-1"/>
                <w:lang w:eastAsia="zh-CN"/>
                <w14:textFill>
                  <w14:solidFill>
                    <w14:schemeClr w14:val="tx1"/>
                  </w14:solidFill>
                </w14:textFill>
              </w:rPr>
              <w:t>等多种方式引导安装，支持外部交换机提供</w:t>
            </w:r>
            <w:r>
              <w:rPr>
                <w:color w:val="000000" w:themeColor="text1"/>
                <w:spacing w:val="-1"/>
                <w:lang w:eastAsia="zh-CN"/>
                <w14:textFill>
                  <w14:solidFill>
                    <w14:schemeClr w14:val="tx1"/>
                  </w14:solidFill>
                </w14:textFill>
              </w:rPr>
              <w:t>DHCP</w:t>
            </w:r>
            <w:r>
              <w:rPr>
                <w:rFonts w:hint="eastAsia"/>
                <w:color w:val="000000" w:themeColor="text1"/>
                <w:spacing w:val="-1"/>
                <w:lang w:eastAsia="zh-CN"/>
                <w14:textFill>
                  <w14:solidFill>
                    <w14:schemeClr w14:val="tx1"/>
                  </w14:solidFill>
                </w14:textFill>
              </w:rPr>
              <w:t>、固定</w:t>
            </w:r>
            <w:r>
              <w:rPr>
                <w:color w:val="000000" w:themeColor="text1"/>
                <w:spacing w:val="-1"/>
                <w:lang w:eastAsia="zh-CN"/>
                <w14:textFill>
                  <w14:solidFill>
                    <w14:schemeClr w14:val="tx1"/>
                  </w14:solidFill>
                </w14:textFill>
              </w:rPr>
              <w:t>IP</w:t>
            </w:r>
            <w:r>
              <w:rPr>
                <w:rFonts w:hint="eastAsia"/>
                <w:color w:val="000000" w:themeColor="text1"/>
                <w:spacing w:val="-1"/>
                <w:lang w:eastAsia="zh-CN"/>
                <w14:textFill>
                  <w14:solidFill>
                    <w14:schemeClr w14:val="tx1"/>
                  </w14:solidFill>
                </w14:textFill>
              </w:rPr>
              <w:t>、自动提供三种方式配置方式。</w:t>
            </w:r>
          </w:p>
          <w:p w14:paraId="541B7B5A">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2.</w:t>
            </w:r>
            <w:r>
              <w:rPr>
                <w:rFonts w:hint="eastAsia"/>
                <w:color w:val="000000" w:themeColor="text1"/>
                <w:spacing w:val="-1"/>
                <w:lang w:eastAsia="zh-CN"/>
                <w14:textFill>
                  <w14:solidFill>
                    <w14:schemeClr w14:val="tx1"/>
                  </w14:solidFill>
                </w14:textFill>
              </w:rPr>
              <w:t>支持对机房设备进行资产统计，可查询全部设备使用状态，包含编号、</w:t>
            </w:r>
            <w:r>
              <w:rPr>
                <w:color w:val="000000" w:themeColor="text1"/>
                <w:spacing w:val="-1"/>
                <w:lang w:eastAsia="zh-CN"/>
                <w14:textFill>
                  <w14:solidFill>
                    <w14:schemeClr w14:val="tx1"/>
                  </w14:solidFill>
                </w14:textFill>
              </w:rPr>
              <w:t>IP</w:t>
            </w:r>
            <w:r>
              <w:rPr>
                <w:rFonts w:hint="eastAsia"/>
                <w:color w:val="000000" w:themeColor="text1"/>
                <w:spacing w:val="-1"/>
                <w:lang w:eastAsia="zh-CN"/>
                <w14:textFill>
                  <w14:solidFill>
                    <w14:schemeClr w14:val="tx1"/>
                  </w14:solidFill>
                </w14:textFill>
              </w:rPr>
              <w:t>、</w:t>
            </w:r>
            <w:r>
              <w:rPr>
                <w:color w:val="000000" w:themeColor="text1"/>
                <w:spacing w:val="-1"/>
                <w:lang w:eastAsia="zh-CN"/>
                <w14:textFill>
                  <w14:solidFill>
                    <w14:schemeClr w14:val="tx1"/>
                  </w14:solidFill>
                </w14:textFill>
              </w:rPr>
              <w:t>MAC</w:t>
            </w:r>
            <w:r>
              <w:rPr>
                <w:rFonts w:hint="eastAsia"/>
                <w:color w:val="000000" w:themeColor="text1"/>
                <w:spacing w:val="-1"/>
                <w:lang w:eastAsia="zh-CN"/>
                <w14:textFill>
                  <w14:solidFill>
                    <w14:schemeClr w14:val="tx1"/>
                  </w14:solidFill>
                </w14:textFill>
              </w:rPr>
              <w:t>、</w:t>
            </w:r>
            <w:r>
              <w:rPr>
                <w:color w:val="000000" w:themeColor="text1"/>
                <w:spacing w:val="-1"/>
                <w:lang w:eastAsia="zh-CN"/>
                <w14:textFill>
                  <w14:solidFill>
                    <w14:schemeClr w14:val="tx1"/>
                  </w14:solidFill>
                </w14:textFill>
              </w:rPr>
              <w:t>CPU</w:t>
            </w:r>
            <w:r>
              <w:rPr>
                <w:rFonts w:hint="eastAsia"/>
                <w:color w:val="000000" w:themeColor="text1"/>
                <w:spacing w:val="-1"/>
                <w:lang w:eastAsia="zh-CN"/>
                <w14:textFill>
                  <w14:solidFill>
                    <w14:schemeClr w14:val="tx1"/>
                  </w14:solidFill>
                </w14:textFill>
              </w:rPr>
              <w:t>信息、内存使用率、运行时间以及硬盘容量等信息。</w:t>
            </w:r>
          </w:p>
          <w:p w14:paraId="7656D888">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3.</w:t>
            </w:r>
            <w:r>
              <w:rPr>
                <w:rFonts w:hint="eastAsia"/>
                <w:color w:val="000000" w:themeColor="text1"/>
                <w:spacing w:val="-1"/>
                <w:lang w:eastAsia="zh-CN"/>
                <w14:textFill>
                  <w14:solidFill>
                    <w14:schemeClr w14:val="tx1"/>
                  </w14:solidFill>
                </w14:textFill>
              </w:rPr>
              <w:t>系统支持操作系统的一键切换，支持</w:t>
            </w:r>
            <w:r>
              <w:rPr>
                <w:color w:val="000000" w:themeColor="text1"/>
                <w:spacing w:val="-1"/>
                <w:lang w:eastAsia="zh-CN"/>
                <w14:textFill>
                  <w14:solidFill>
                    <w14:schemeClr w14:val="tx1"/>
                  </w14:solidFill>
                </w14:textFill>
              </w:rPr>
              <w:t>Windows</w:t>
            </w:r>
            <w:r>
              <w:rPr>
                <w:rFonts w:hint="eastAsia"/>
                <w:color w:val="000000" w:themeColor="text1"/>
                <w:spacing w:val="-1"/>
                <w:lang w:eastAsia="zh-CN"/>
                <w14:textFill>
                  <w14:solidFill>
                    <w14:schemeClr w14:val="tx1"/>
                  </w14:solidFill>
                </w14:textFill>
              </w:rPr>
              <w:t>、银河麒麟、统信、中科方德等操作系统。</w:t>
            </w:r>
          </w:p>
          <w:p w14:paraId="16DB6EDD">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4.</w:t>
            </w:r>
            <w:r>
              <w:rPr>
                <w:rFonts w:hint="eastAsia"/>
                <w:color w:val="000000" w:themeColor="text1"/>
                <w:spacing w:val="-1"/>
                <w:lang w:eastAsia="zh-CN"/>
                <w14:textFill>
                  <w14:solidFill>
                    <w14:schemeClr w14:val="tx1"/>
                  </w14:solidFill>
                </w14:textFill>
              </w:rPr>
              <w:t>为便于管理员对需要帮助的学生进行远程指导，还原系统无需借助第三方平台软件即可支持远程控制功能。</w:t>
            </w:r>
          </w:p>
          <w:p w14:paraId="486CB5DD">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5.</w:t>
            </w:r>
            <w:r>
              <w:rPr>
                <w:rFonts w:hint="eastAsia"/>
                <w:color w:val="000000" w:themeColor="text1"/>
                <w:spacing w:val="-1"/>
                <w:lang w:eastAsia="zh-CN"/>
                <w14:textFill>
                  <w14:solidFill>
                    <w14:schemeClr w14:val="tx1"/>
                  </w14:solidFill>
                </w14:textFill>
              </w:rPr>
              <w:t>为保障同传传输速度，系统具备</w:t>
            </w:r>
            <w:r>
              <w:rPr>
                <w:color w:val="000000" w:themeColor="text1"/>
                <w:spacing w:val="-1"/>
                <w:lang w:eastAsia="zh-CN"/>
                <w14:textFill>
                  <w14:solidFill>
                    <w14:schemeClr w14:val="tx1"/>
                  </w14:solidFill>
                </w14:textFill>
              </w:rPr>
              <w:t>BT</w:t>
            </w:r>
            <w:r>
              <w:rPr>
                <w:rFonts w:hint="eastAsia"/>
                <w:color w:val="000000" w:themeColor="text1"/>
                <w:spacing w:val="-1"/>
                <w:lang w:eastAsia="zh-CN"/>
                <w14:textFill>
                  <w14:solidFill>
                    <w14:schemeClr w14:val="tx1"/>
                  </w14:solidFill>
                </w14:textFill>
              </w:rPr>
              <w:t>服务端和</w:t>
            </w:r>
            <w:r>
              <w:rPr>
                <w:color w:val="000000" w:themeColor="text1"/>
                <w:spacing w:val="-1"/>
                <w:lang w:eastAsia="zh-CN"/>
                <w14:textFill>
                  <w14:solidFill>
                    <w14:schemeClr w14:val="tx1"/>
                  </w14:solidFill>
                </w14:textFill>
              </w:rPr>
              <w:t>BT</w:t>
            </w:r>
            <w:r>
              <w:rPr>
                <w:rFonts w:hint="eastAsia"/>
                <w:color w:val="000000" w:themeColor="text1"/>
                <w:spacing w:val="-1"/>
                <w:lang w:eastAsia="zh-CN"/>
                <w14:textFill>
                  <w14:solidFill>
                    <w14:schemeClr w14:val="tx1"/>
                  </w14:solidFill>
                </w14:textFill>
              </w:rPr>
              <w:t>客户端功能。</w:t>
            </w:r>
          </w:p>
          <w:p w14:paraId="3DA25AEF">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6.</w:t>
            </w:r>
            <w:r>
              <w:rPr>
                <w:rFonts w:hint="eastAsia"/>
                <w:color w:val="000000" w:themeColor="text1"/>
                <w:spacing w:val="-1"/>
                <w:lang w:eastAsia="zh-CN"/>
                <w14:textFill>
                  <w14:solidFill>
                    <w14:schemeClr w14:val="tx1"/>
                  </w14:solidFill>
                </w14:textFill>
              </w:rPr>
              <w:t>支持</w:t>
            </w:r>
            <w:r>
              <w:rPr>
                <w:color w:val="000000" w:themeColor="text1"/>
                <w:spacing w:val="-1"/>
                <w:lang w:eastAsia="zh-CN"/>
                <w14:textFill>
                  <w14:solidFill>
                    <w14:schemeClr w14:val="tx1"/>
                  </w14:solidFill>
                </w14:textFill>
              </w:rPr>
              <w:t>Windows</w:t>
            </w:r>
            <w:r>
              <w:rPr>
                <w:rFonts w:hint="eastAsia"/>
                <w:color w:val="000000" w:themeColor="text1"/>
                <w:spacing w:val="-1"/>
                <w:lang w:eastAsia="zh-CN"/>
                <w14:textFill>
                  <w14:solidFill>
                    <w14:schemeClr w14:val="tx1"/>
                  </w14:solidFill>
                </w14:textFill>
              </w:rPr>
              <w:t>、银河麒麟、统信、中科方德等主流操作系统还原属性的设置，包含立即还原、关机还原、每天还原、每周还原等方式，在还原属性生效后系统都会重新恢复至模板状态，保障系统流畅性。</w:t>
            </w:r>
          </w:p>
          <w:p w14:paraId="7A7CE9C4">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7.</w:t>
            </w:r>
            <w:r>
              <w:rPr>
                <w:rFonts w:hint="eastAsia"/>
                <w:color w:val="000000" w:themeColor="text1"/>
                <w:spacing w:val="-1"/>
                <w:lang w:eastAsia="zh-CN"/>
                <w14:textFill>
                  <w14:solidFill>
                    <w14:schemeClr w14:val="tx1"/>
                  </w14:solidFill>
                </w14:textFill>
              </w:rPr>
              <w:t>支持对操作系统创建多个还原点，可对还原点进行删除、合并、备注，还原点数量无限制，当系统损坏时，可快速恢复到上一次保存的状态。</w:t>
            </w:r>
          </w:p>
          <w:p w14:paraId="0D52B370">
            <w:pPr>
              <w:pStyle w:val="100"/>
              <w:autoSpaceDE w:val="0"/>
              <w:autoSpaceDN w:val="0"/>
              <w:spacing w:before="24" w:line="218" w:lineRule="auto"/>
              <w:ind w:left="32"/>
              <w:rPr>
                <w:rFonts w:hint="eastAsia"/>
                <w:color w:val="000000" w:themeColor="text1"/>
                <w:spacing w:val="-1"/>
                <w:lang w:eastAsia="zh-CN"/>
                <w14:textFill>
                  <w14:solidFill>
                    <w14:schemeClr w14:val="tx1"/>
                  </w14:solidFill>
                </w14:textFill>
              </w:rPr>
            </w:pPr>
            <w:r>
              <w:rPr>
                <w:color w:val="000000" w:themeColor="text1"/>
                <w:spacing w:val="-1"/>
                <w:lang w:eastAsia="zh-CN"/>
                <w14:textFill>
                  <w14:solidFill>
                    <w14:schemeClr w14:val="tx1"/>
                  </w14:solidFill>
                </w14:textFill>
              </w:rPr>
              <w:t>8.</w:t>
            </w:r>
            <w:r>
              <w:rPr>
                <w:rFonts w:hint="eastAsia"/>
                <w:color w:val="000000" w:themeColor="text1"/>
                <w:spacing w:val="-1"/>
                <w:lang w:eastAsia="zh-CN"/>
                <w14:textFill>
                  <w14:solidFill>
                    <w14:schemeClr w14:val="tx1"/>
                  </w14:solidFill>
                </w14:textFill>
              </w:rPr>
              <w:t>为帮助教师营造良好的教学环境，系统支持对正在使用的桌面环境开启广告拦截功能，避免学生电脑出现各种弹窗。</w:t>
            </w:r>
          </w:p>
          <w:p w14:paraId="53E8C12A">
            <w:pPr>
              <w:pStyle w:val="100"/>
              <w:autoSpaceDE w:val="0"/>
              <w:autoSpaceDN w:val="0"/>
              <w:spacing w:before="2" w:line="230" w:lineRule="auto"/>
              <w:ind w:left="14" w:right="7" w:firstLine="1"/>
              <w:rPr>
                <w:rFonts w:hint="eastAsia"/>
                <w:lang w:eastAsia="zh-CN"/>
              </w:rPr>
            </w:pPr>
            <w:r>
              <w:rPr>
                <w:color w:val="000000" w:themeColor="text1"/>
                <w:spacing w:val="-1"/>
                <w:lang w:eastAsia="zh-CN"/>
                <w14:textFill>
                  <w14:solidFill>
                    <w14:schemeClr w14:val="tx1"/>
                  </w14:solidFill>
                </w14:textFill>
              </w:rPr>
              <w:t>9.</w:t>
            </w:r>
            <w:r>
              <w:rPr>
                <w:rFonts w:hint="eastAsia"/>
                <w:color w:val="000000" w:themeColor="text1"/>
                <w:spacing w:val="-1"/>
                <w:lang w:eastAsia="zh-CN"/>
                <w14:textFill>
                  <w14:solidFill>
                    <w14:schemeClr w14:val="tx1"/>
                  </w14:solidFill>
                </w14:textFill>
              </w:rPr>
              <w:t>支持日常、考试场景的快速巡检功能，可巡查出学生操作系统的关键信息，如出现网络异常、键鼠未链接将会高亮告警，提醒管理员处理。</w:t>
            </w:r>
          </w:p>
        </w:tc>
        <w:tc>
          <w:tcPr>
            <w:tcW w:w="655" w:type="dxa"/>
            <w:tcBorders>
              <w:top w:val="single" w:color="1F2329" w:sz="4" w:space="0"/>
              <w:left w:val="single" w:color="1F2329" w:sz="4" w:space="0"/>
              <w:bottom w:val="single" w:color="1F2329" w:sz="4" w:space="0"/>
              <w:right w:val="single" w:color="1F2329" w:sz="4" w:space="0"/>
            </w:tcBorders>
          </w:tcPr>
          <w:p w14:paraId="2DA256DE">
            <w:pPr>
              <w:autoSpaceDE w:val="0"/>
              <w:autoSpaceDN w:val="0"/>
              <w:rPr>
                <w:sz w:val="20"/>
                <w:lang w:eastAsia="zh-CN"/>
              </w:rPr>
            </w:pPr>
          </w:p>
        </w:tc>
        <w:tc>
          <w:tcPr>
            <w:tcW w:w="678" w:type="dxa"/>
            <w:tcBorders>
              <w:top w:val="single" w:color="1F2329" w:sz="4" w:space="0"/>
              <w:left w:val="single" w:color="1F2329" w:sz="4" w:space="0"/>
              <w:bottom w:val="single" w:color="1F2329" w:sz="4" w:space="0"/>
              <w:right w:val="single" w:color="1F2329" w:sz="4" w:space="0"/>
            </w:tcBorders>
          </w:tcPr>
          <w:p w14:paraId="3DADCE41">
            <w:pPr>
              <w:autoSpaceDE w:val="0"/>
              <w:autoSpaceDN w:val="0"/>
              <w:rPr>
                <w:sz w:val="20"/>
                <w:lang w:eastAsia="zh-CN"/>
              </w:rPr>
            </w:pPr>
          </w:p>
        </w:tc>
      </w:tr>
    </w:tbl>
    <w:p w14:paraId="5E4679D7">
      <w:pPr>
        <w:tabs>
          <w:tab w:val="left" w:pos="571"/>
        </w:tabs>
        <w:bidi w:val="0"/>
        <w:jc w:val="left"/>
        <w:rPr>
          <w:rFonts w:hint="eastAsia"/>
          <w:lang w:val="en-US" w:eastAsia="zh-CN"/>
        </w:rPr>
        <w:sectPr>
          <w:headerReference r:id="rId13" w:type="default"/>
          <w:footerReference r:id="rId14" w:type="default"/>
          <w:pgSz w:w="16838" w:h="11905" w:orient="landscape"/>
          <w:pgMar w:top="1417" w:right="1247" w:bottom="1304" w:left="124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381D506">
      <w:pPr>
        <w:keepNext w:val="0"/>
        <w:keepLines w:val="0"/>
        <w:pageBreakBefore w:val="0"/>
        <w:widowControl w:val="0"/>
        <w:numPr>
          <w:ilvl w:val="0"/>
          <w:numId w:val="5"/>
        </w:numPr>
        <w:kinsoku/>
        <w:wordWrap/>
        <w:overflowPunct/>
        <w:topLinePunct w:val="0"/>
        <w:autoSpaceDE/>
        <w:autoSpaceDN/>
        <w:bidi w:val="0"/>
        <w:adjustRightInd/>
        <w:snapToGrid/>
        <w:spacing w:line="520" w:lineRule="exact"/>
        <w:ind w:left="0" w:leftChars="0" w:firstLine="0" w:firstLineChars="0"/>
        <w:jc w:val="center"/>
        <w:textAlignment w:val="auto"/>
        <w:outlineLvl w:val="0"/>
        <w:rPr>
          <w:rFonts w:hint="eastAsia" w:ascii="宋体" w:hAnsi="宋体" w:eastAsia="宋体" w:cs="Times New Roman"/>
          <w:b/>
          <w:bCs/>
          <w:color w:val="auto"/>
          <w:kern w:val="44"/>
          <w:sz w:val="44"/>
          <w:szCs w:val="44"/>
          <w:lang w:val="en-US" w:eastAsia="zh-CN" w:bidi="ar-SA"/>
        </w:rPr>
      </w:pPr>
      <w:r>
        <w:rPr>
          <w:rFonts w:hint="eastAsia" w:ascii="宋体" w:hAnsi="宋体" w:eastAsia="宋体" w:cs="Times New Roman"/>
          <w:b/>
          <w:bCs/>
          <w:color w:val="auto"/>
          <w:kern w:val="44"/>
          <w:sz w:val="52"/>
          <w:szCs w:val="52"/>
          <w:lang w:val="en-US" w:eastAsia="zh-CN" w:bidi="ar-SA"/>
        </w:rPr>
        <w:t xml:space="preserve"> </w:t>
      </w:r>
      <w:bookmarkStart w:id="94" w:name="_Toc5628"/>
      <w:r>
        <w:rPr>
          <w:rFonts w:hint="eastAsia" w:ascii="宋体" w:hAnsi="宋体" w:eastAsia="宋体" w:cs="Times New Roman"/>
          <w:b/>
          <w:bCs/>
          <w:color w:val="auto"/>
          <w:kern w:val="44"/>
          <w:sz w:val="52"/>
          <w:szCs w:val="52"/>
          <w:lang w:val="en-US" w:eastAsia="zh-CN" w:bidi="ar-SA"/>
        </w:rPr>
        <w:t>商务要求</w:t>
      </w:r>
      <w:bookmarkEnd w:id="94"/>
    </w:p>
    <w:p w14:paraId="67F720C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kern w:val="0"/>
          <w:sz w:val="24"/>
          <w:szCs w:val="24"/>
          <w:lang w:val="en-US" w:eastAsia="zh-CN" w:bidi="ar-SA"/>
        </w:rPr>
      </w:pPr>
      <w:bookmarkStart w:id="95" w:name="OLE_LINK7"/>
      <w:r>
        <w:rPr>
          <w:rFonts w:hint="eastAsia" w:ascii="宋体" w:hAnsi="宋体" w:eastAsia="宋体" w:cs="宋体"/>
          <w:b/>
          <w:bCs/>
          <w:color w:val="auto"/>
          <w:kern w:val="0"/>
          <w:sz w:val="24"/>
          <w:szCs w:val="24"/>
          <w:lang w:val="en-US" w:eastAsia="zh-CN" w:bidi="ar-SA"/>
        </w:rPr>
        <w:t>一、交货期及质保期</w:t>
      </w:r>
    </w:p>
    <w:bookmarkEnd w:id="95"/>
    <w:p w14:paraId="047CC05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kern w:val="0"/>
          <w:sz w:val="24"/>
          <w:szCs w:val="24"/>
          <w:lang w:val="en-US" w:eastAsia="zh-CN" w:bidi="ar-SA"/>
        </w:rPr>
      </w:pPr>
      <w:bookmarkStart w:id="96" w:name="OLE_LINK53"/>
      <w:r>
        <w:rPr>
          <w:rFonts w:hint="eastAsia" w:ascii="宋体" w:hAnsi="宋体" w:eastAsia="宋体" w:cs="宋体"/>
          <w:color w:val="auto"/>
          <w:kern w:val="0"/>
          <w:sz w:val="24"/>
          <w:szCs w:val="24"/>
          <w:lang w:val="en-US" w:eastAsia="zh-CN" w:bidi="ar-SA"/>
        </w:rPr>
        <w:t>1.交货期：</w:t>
      </w:r>
      <w:r>
        <w:rPr>
          <w:rFonts w:hint="eastAsia" w:ascii="宋体" w:hAnsi="宋体" w:cs="宋体"/>
          <w:color w:val="auto"/>
          <w:kern w:val="0"/>
          <w:sz w:val="24"/>
          <w:szCs w:val="24"/>
          <w:lang w:val="en-US" w:eastAsia="zh-CN" w:bidi="ar-SA"/>
        </w:rPr>
        <w:t>自合同签订生效之日起30个日历天内交付（包含调试验收）</w:t>
      </w:r>
      <w:r>
        <w:rPr>
          <w:rFonts w:hint="eastAsia" w:ascii="宋体" w:hAnsi="宋体" w:eastAsia="宋体" w:cs="宋体"/>
          <w:color w:val="auto"/>
          <w:kern w:val="0"/>
          <w:sz w:val="24"/>
          <w:szCs w:val="24"/>
          <w:lang w:val="en-US" w:eastAsia="zh-CN" w:bidi="ar-SA"/>
        </w:rPr>
        <w:t>。</w:t>
      </w:r>
    </w:p>
    <w:bookmarkEnd w:id="96"/>
    <w:p w14:paraId="3CB951C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2.质保期：</w:t>
      </w:r>
      <w:r>
        <w:rPr>
          <w:rFonts w:hint="eastAsia" w:ascii="宋体" w:hAnsi="宋体" w:eastAsia="宋体" w:cs="宋体"/>
          <w:color w:val="auto"/>
          <w:kern w:val="0"/>
          <w:sz w:val="24"/>
          <w:szCs w:val="24"/>
          <w:highlight w:val="none"/>
          <w:lang w:val="en-US" w:eastAsia="zh-CN" w:bidi="ar-SA"/>
        </w:rPr>
        <w:t>自项目通过最终验收合格之日起</w:t>
      </w:r>
      <w:r>
        <w:rPr>
          <w:rFonts w:hint="eastAsia" w:ascii="宋体" w:hAnsi="宋体" w:cs="宋体"/>
          <w:color w:val="auto"/>
          <w:kern w:val="0"/>
          <w:sz w:val="24"/>
          <w:szCs w:val="24"/>
          <w:highlight w:val="none"/>
          <w:lang w:val="en-US" w:eastAsia="zh-CN" w:bidi="ar-SA"/>
        </w:rPr>
        <w:t>三</w:t>
      </w:r>
      <w:r>
        <w:rPr>
          <w:rFonts w:hint="eastAsia" w:ascii="宋体" w:hAnsi="宋体" w:eastAsia="宋体" w:cs="宋体"/>
          <w:color w:val="auto"/>
          <w:kern w:val="0"/>
          <w:sz w:val="24"/>
          <w:szCs w:val="24"/>
          <w:highlight w:val="none"/>
          <w:lang w:val="en-US" w:eastAsia="zh-CN" w:bidi="ar-SA"/>
        </w:rPr>
        <w:t>年。</w:t>
      </w:r>
    </w:p>
    <w:p w14:paraId="7BBCB70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二、项目实施地点：</w:t>
      </w:r>
      <w:r>
        <w:rPr>
          <w:rFonts w:hint="eastAsia" w:ascii="宋体" w:hAnsi="宋体" w:eastAsia="宋体" w:cs="宋体"/>
          <w:color w:val="auto"/>
          <w:kern w:val="0"/>
          <w:sz w:val="24"/>
          <w:szCs w:val="24"/>
          <w:lang w:val="en-US" w:eastAsia="zh-CN" w:bidi="ar-SA"/>
        </w:rPr>
        <w:t>采购人指定地点</w:t>
      </w:r>
    </w:p>
    <w:p w14:paraId="384203D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color w:val="auto"/>
          <w:kern w:val="0"/>
          <w:sz w:val="24"/>
          <w:szCs w:val="24"/>
          <w:lang w:val="en-US" w:eastAsia="zh-CN" w:bidi="ar-SA"/>
        </w:rPr>
      </w:pPr>
      <w:bookmarkStart w:id="97" w:name="OLE_LINK9"/>
      <w:r>
        <w:rPr>
          <w:rFonts w:hint="eastAsia" w:ascii="宋体" w:hAnsi="宋体" w:eastAsia="宋体" w:cs="宋体"/>
          <w:b/>
          <w:bCs/>
          <w:color w:val="auto"/>
          <w:kern w:val="0"/>
          <w:sz w:val="24"/>
          <w:szCs w:val="24"/>
          <w:lang w:val="en-US" w:eastAsia="zh-CN" w:bidi="ar-SA"/>
        </w:rPr>
        <w:t>三、</w:t>
      </w:r>
      <w:bookmarkEnd w:id="97"/>
      <w:r>
        <w:rPr>
          <w:rFonts w:hint="eastAsia" w:ascii="宋体" w:hAnsi="宋体" w:eastAsia="宋体" w:cs="宋体"/>
          <w:b/>
          <w:bCs/>
          <w:color w:val="auto"/>
          <w:kern w:val="0"/>
          <w:sz w:val="24"/>
          <w:szCs w:val="24"/>
          <w:lang w:val="en-US" w:eastAsia="zh-CN" w:bidi="ar-SA"/>
        </w:rPr>
        <w:t>付款方式：</w:t>
      </w:r>
      <w:r>
        <w:rPr>
          <w:rFonts w:hint="eastAsia" w:ascii="宋体" w:hAnsi="宋体" w:cs="宋体"/>
          <w:color w:val="auto"/>
          <w:kern w:val="0"/>
          <w:sz w:val="24"/>
          <w:szCs w:val="24"/>
          <w:lang w:val="en-US" w:eastAsia="zh-CN" w:bidi="ar-SA"/>
        </w:rPr>
        <w:t>货到初验合格后支付至合同总价的40%，货到安装调试合格后支付至合同总价的80%，验收合格后支付至合同总价的100%。</w:t>
      </w:r>
    </w:p>
    <w:p w14:paraId="71026179">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四、质量保证</w:t>
      </w:r>
    </w:p>
    <w:p w14:paraId="52DA900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1.基本要求：卖方须保证所提供的所有设备、材料及软件均为全新的、原厂原装的、技术先进的、成熟可靠的合格产品，符合国家、行业相关质量标准和规范要求，并满足本招标文件第四章“采购内容及要求”中规定的技术参数、性能及配置要求。</w:t>
      </w:r>
    </w:p>
    <w:p w14:paraId="40A8675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2.质量承诺：卖方须提供明确的质量保证承诺。设备质量保证期自最终验收合格之日起计算，且不低于招标文件及投标承诺 中规定的期限。质保期内，因产品自身质量问题导致的任何故障，卖方须负责免费维修或更换零部件，并承担一切相关费用。</w:t>
      </w:r>
    </w:p>
    <w:p w14:paraId="5DD1C42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000000" w:themeColor="text1"/>
          <w:kern w:val="0"/>
          <w:sz w:val="24"/>
          <w:szCs w:val="24"/>
          <w:lang w:val="en-US" w:eastAsia="zh-CN" w:bidi="ar-SA"/>
          <w14:textFill>
            <w14:solidFill>
              <w14:schemeClr w14:val="tx1"/>
            </w14:solidFill>
          </w14:textFill>
        </w:rPr>
      </w:pPr>
      <w:r>
        <w:rPr>
          <w:rFonts w:hint="eastAsia" w:ascii="宋体" w:hAnsi="宋体" w:cs="宋体"/>
          <w:b w:val="0"/>
          <w:bCs w:val="0"/>
          <w:color w:val="000000" w:themeColor="text1"/>
          <w:kern w:val="0"/>
          <w:sz w:val="24"/>
          <w:szCs w:val="24"/>
          <w:lang w:val="en-US" w:eastAsia="zh-CN" w:bidi="ar-SA"/>
          <w14:textFill>
            <w14:solidFill>
              <w14:schemeClr w14:val="tx1"/>
            </w14:solidFill>
          </w14:textFill>
        </w:rPr>
        <w:t>3.技术标准：卖方提供的产品其技术性能应符合中华人民共和国颁布的有关技术标准和安全标准。</w:t>
      </w:r>
    </w:p>
    <w:p w14:paraId="2FA5E0F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kern w:val="0"/>
          <w:sz w:val="24"/>
          <w:szCs w:val="24"/>
          <w:lang w:val="en-US" w:eastAsia="zh-CN" w:bidi="ar-SA"/>
        </w:rPr>
        <w:t>五、包装运输</w:t>
      </w:r>
    </w:p>
    <w:p w14:paraId="287C73C2">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1.</w:t>
      </w:r>
      <w:r>
        <w:rPr>
          <w:rFonts w:hint="eastAsia" w:ascii="宋体" w:hAnsi="宋体" w:eastAsia="宋体" w:cs="宋体"/>
          <w:b w:val="0"/>
          <w:bCs w:val="0"/>
          <w:color w:val="auto"/>
          <w:kern w:val="0"/>
          <w:sz w:val="24"/>
          <w:szCs w:val="24"/>
          <w:lang w:val="en-US" w:eastAsia="zh-CN" w:bidi="ar-SA"/>
        </w:rPr>
        <w:t>按出厂原包装。</w:t>
      </w:r>
    </w:p>
    <w:p w14:paraId="2EC51D5A">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2.</w:t>
      </w:r>
      <w:r>
        <w:rPr>
          <w:rFonts w:hint="eastAsia" w:ascii="宋体" w:hAnsi="宋体" w:eastAsia="宋体" w:cs="宋体"/>
          <w:b w:val="0"/>
          <w:bCs w:val="0"/>
          <w:color w:val="auto"/>
          <w:kern w:val="0"/>
          <w:sz w:val="24"/>
          <w:szCs w:val="24"/>
          <w:lang w:val="en-US" w:eastAsia="zh-CN" w:bidi="ar-SA"/>
        </w:rPr>
        <w:t>卖方在设备发运手续办理完毕后24小时内或货到买方48小时前通知买方，以准备接设备。</w:t>
      </w:r>
    </w:p>
    <w:p w14:paraId="65BDF7B6">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0" w:firstLineChars="200"/>
        <w:jc w:val="both"/>
        <w:textAlignment w:val="auto"/>
        <w:rPr>
          <w:rFonts w:hint="eastAsia" w:ascii="宋体" w:hAnsi="宋体" w:eastAsia="宋体" w:cs="宋体"/>
          <w:b w:val="0"/>
          <w:bCs w:val="0"/>
          <w:color w:val="auto"/>
          <w:kern w:val="0"/>
          <w:sz w:val="24"/>
          <w:szCs w:val="24"/>
          <w:lang w:val="en-US" w:eastAsia="zh-CN" w:bidi="ar-SA"/>
        </w:rPr>
      </w:pPr>
      <w:r>
        <w:rPr>
          <w:rFonts w:hint="eastAsia" w:ascii="宋体" w:hAnsi="宋体" w:cs="宋体"/>
          <w:b w:val="0"/>
          <w:bCs w:val="0"/>
          <w:color w:val="auto"/>
          <w:kern w:val="0"/>
          <w:sz w:val="24"/>
          <w:szCs w:val="24"/>
          <w:lang w:val="en-US" w:eastAsia="zh-CN" w:bidi="ar-SA"/>
        </w:rPr>
        <w:t>3.</w:t>
      </w:r>
      <w:r>
        <w:rPr>
          <w:rFonts w:hint="eastAsia" w:ascii="宋体" w:hAnsi="宋体" w:eastAsia="宋体" w:cs="宋体"/>
          <w:b w:val="0"/>
          <w:bCs w:val="0"/>
          <w:color w:val="auto"/>
          <w:kern w:val="0"/>
          <w:sz w:val="24"/>
          <w:szCs w:val="24"/>
          <w:lang w:val="en-US" w:eastAsia="zh-CN" w:bidi="ar-SA"/>
        </w:rPr>
        <w:t>设备在交付买方前发生的风险均由卖方负责。</w:t>
      </w:r>
    </w:p>
    <w:p w14:paraId="6EC4B99D">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482" w:firstLineChars="200"/>
        <w:jc w:val="both"/>
        <w:textAlignment w:val="auto"/>
        <w:rPr>
          <w:rFonts w:hint="eastAsia" w:ascii="宋体" w:hAnsi="宋体" w:eastAsia="宋体" w:cs="宋体"/>
          <w:b/>
          <w:bCs/>
          <w:color w:val="auto"/>
          <w:kern w:val="0"/>
          <w:sz w:val="24"/>
          <w:szCs w:val="24"/>
          <w:lang w:val="en-US" w:eastAsia="zh-CN" w:bidi="ar-SA"/>
        </w:rPr>
      </w:pPr>
      <w:r>
        <w:rPr>
          <w:rFonts w:hint="eastAsia" w:ascii="宋体" w:hAnsi="宋体" w:eastAsia="宋体" w:cs="宋体"/>
          <w:b/>
          <w:bCs/>
          <w:color w:val="auto"/>
          <w:sz w:val="24"/>
          <w:szCs w:val="24"/>
          <w:lang w:val="en-US" w:eastAsia="zh-CN"/>
        </w:rPr>
        <w:t>六、</w:t>
      </w:r>
      <w:r>
        <w:rPr>
          <w:rFonts w:hint="eastAsia" w:ascii="宋体" w:hAnsi="宋体" w:eastAsia="宋体" w:cs="宋体"/>
          <w:b/>
          <w:bCs/>
          <w:color w:val="auto"/>
          <w:kern w:val="0"/>
          <w:sz w:val="24"/>
          <w:szCs w:val="24"/>
          <w:lang w:val="en-US" w:eastAsia="zh-CN" w:bidi="ar-SA"/>
        </w:rPr>
        <w:t>售后服务</w:t>
      </w:r>
      <w:r>
        <w:rPr>
          <w:rFonts w:hint="eastAsia" w:ascii="宋体" w:hAnsi="宋体" w:cs="宋体"/>
          <w:b/>
          <w:bCs/>
          <w:color w:val="auto"/>
          <w:kern w:val="0"/>
          <w:sz w:val="24"/>
          <w:szCs w:val="24"/>
          <w:lang w:val="en-US" w:eastAsia="zh-CN" w:bidi="ar-SA"/>
        </w:rPr>
        <w:t>及培训</w:t>
      </w:r>
      <w:r>
        <w:rPr>
          <w:rFonts w:hint="eastAsia" w:ascii="宋体" w:hAnsi="宋体" w:eastAsia="宋体" w:cs="宋体"/>
          <w:b/>
          <w:bCs/>
          <w:color w:val="auto"/>
          <w:kern w:val="0"/>
          <w:sz w:val="24"/>
          <w:szCs w:val="24"/>
          <w:lang w:val="en-US" w:eastAsia="zh-CN" w:bidi="ar-SA"/>
        </w:rPr>
        <w:t>要求</w:t>
      </w:r>
    </w:p>
    <w:p w14:paraId="12FA055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cs="宋体"/>
          <w:color w:val="000000"/>
          <w:kern w:val="0"/>
          <w:sz w:val="24"/>
          <w:szCs w:val="24"/>
          <w:lang w:val="en-US" w:eastAsia="zh-CN" w:bidi="ar-SA"/>
        </w:rPr>
        <w:t>1.</w:t>
      </w:r>
      <w:r>
        <w:rPr>
          <w:rFonts w:hint="eastAsia" w:ascii="宋体" w:hAnsi="宋体" w:eastAsia="宋体" w:cs="宋体"/>
          <w:color w:val="000000"/>
          <w:kern w:val="0"/>
          <w:sz w:val="24"/>
          <w:szCs w:val="24"/>
          <w:lang w:val="en-US" w:eastAsia="zh-CN" w:bidi="ar-SA"/>
        </w:rPr>
        <w:t>售后服务要求</w:t>
      </w:r>
    </w:p>
    <w:p w14:paraId="7A9E7C7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 xml:space="preserve">1.1质量保证期为自项目通过最终验收合格之日起三年，若国家有明确规定的质量保证期高于此质量保证期的，执行国家规定。 </w:t>
      </w:r>
    </w:p>
    <w:p w14:paraId="124A00D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1.2供应商应设有稳定可靠的售后服务机构或同类合作机构，可提供7天×24小时热线服务和长期的免费技术支持。</w:t>
      </w:r>
    </w:p>
    <w:p w14:paraId="23C1D78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1.3对采购人的售后服务通知，供应商接报后30分钟内响应，2小时到达现场维修，如24小时内未处理完毕，供应商须采取应急措施解决，不得影响采购人的正常工作业务。</w:t>
      </w:r>
    </w:p>
    <w:p w14:paraId="096832D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1.4服务机构须设专业人员提供远程服务。若远程维护无法解决的，供应商应及时安排人员前往现场处理故障。</w:t>
      </w:r>
    </w:p>
    <w:p w14:paraId="4906A4F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w:t>
      </w:r>
      <w:r>
        <w:rPr>
          <w:rFonts w:hint="eastAsia" w:ascii="宋体" w:hAnsi="宋体" w:cs="宋体"/>
          <w:color w:val="000000"/>
          <w:kern w:val="0"/>
          <w:sz w:val="24"/>
          <w:szCs w:val="24"/>
          <w:lang w:val="en-US" w:eastAsia="zh-CN" w:bidi="ar-SA"/>
        </w:rPr>
        <w:t>.</w:t>
      </w:r>
      <w:r>
        <w:rPr>
          <w:rFonts w:hint="eastAsia" w:ascii="宋体" w:hAnsi="宋体" w:eastAsia="宋体" w:cs="宋体"/>
          <w:color w:val="000000"/>
          <w:kern w:val="0"/>
          <w:sz w:val="24"/>
          <w:szCs w:val="24"/>
          <w:lang w:val="en-US" w:eastAsia="zh-CN" w:bidi="ar-SA"/>
        </w:rPr>
        <w:t>培训要求</w:t>
      </w:r>
    </w:p>
    <w:p w14:paraId="7C0C7E7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2.1供应商必须向采购人提供免费培训，供应商在投标文件中提出全面、详细的培训计划，包括但不限于培训内容、培训时间、地点等。</w:t>
      </w:r>
    </w:p>
    <w:p w14:paraId="2558124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2.2供应商应按采购人约定合理的安排培训时间。供应商提供培训，为用户讲使用方法。</w:t>
      </w:r>
    </w:p>
    <w:p w14:paraId="7DD718C3">
      <w:pPr>
        <w:pStyle w:val="169"/>
        <w:keepNext w:val="0"/>
        <w:keepLines w:val="0"/>
        <w:pageBreakBefore w:val="0"/>
        <w:numPr>
          <w:ilvl w:val="0"/>
          <w:numId w:val="7"/>
        </w:numPr>
        <w:kinsoku/>
        <w:wordWrap/>
        <w:overflowPunct/>
        <w:topLinePunct w:val="0"/>
        <w:autoSpaceDE/>
        <w:autoSpaceDN/>
        <w:bidi w:val="0"/>
        <w:adjustRightInd/>
        <w:snapToGrid/>
        <w:spacing w:line="520" w:lineRule="exact"/>
        <w:ind w:firstLine="480"/>
        <w:textAlignment w:val="auto"/>
        <w:rPr>
          <w:rFonts w:hint="eastAsia" w:ascii="宋体" w:hAnsi="宋体" w:eastAsia="宋体" w:cs="宋体"/>
          <w:b/>
          <w:bCs/>
          <w:color w:val="000000"/>
          <w:kern w:val="0"/>
          <w:sz w:val="24"/>
          <w:szCs w:val="24"/>
          <w:lang w:val="en-US" w:eastAsia="zh-CN" w:bidi="ar-SA"/>
        </w:rPr>
      </w:pPr>
      <w:r>
        <w:rPr>
          <w:rFonts w:hint="eastAsia" w:ascii="宋体" w:hAnsi="宋体" w:eastAsia="宋体" w:cs="宋体"/>
          <w:b/>
          <w:bCs/>
          <w:color w:val="000000"/>
          <w:kern w:val="0"/>
          <w:sz w:val="24"/>
          <w:szCs w:val="24"/>
          <w:lang w:val="en-US" w:eastAsia="zh-CN" w:bidi="ar-SA"/>
        </w:rPr>
        <w:t>验收</w:t>
      </w:r>
    </w:p>
    <w:p w14:paraId="12D2DC64">
      <w:pPr>
        <w:pStyle w:val="169"/>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由中标人负责安装调试，安装调试完毕后，中标人提交验收文件，采购方的设备使用单位对设备进行技术验收（中标人协助），验收以国家标准或以合同文本中描述的有关技术要求为准。</w:t>
      </w:r>
    </w:p>
    <w:p w14:paraId="6A795E7D">
      <w:pPr>
        <w:pStyle w:val="169"/>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kern w:val="0"/>
          <w:sz w:val="24"/>
          <w:szCs w:val="24"/>
          <w:lang w:val="en-US" w:eastAsia="zh-CN" w:bidi="ar-SA"/>
        </w:rPr>
      </w:pPr>
      <w:r>
        <w:rPr>
          <w:rFonts w:hint="eastAsia" w:ascii="宋体" w:hAnsi="宋体" w:eastAsia="宋体" w:cs="宋体"/>
          <w:color w:val="000000"/>
          <w:kern w:val="0"/>
          <w:sz w:val="24"/>
          <w:szCs w:val="24"/>
          <w:lang w:val="en-US" w:eastAsia="zh-CN" w:bidi="ar-SA"/>
        </w:rPr>
        <w:t>技术验收合格后的，采购人根据使用单位技术验收报告，组织相关部门对设备进行最终验收，验收合格后出具《验收报告》。</w:t>
      </w:r>
    </w:p>
    <w:p w14:paraId="4E499C5D">
      <w:pPr>
        <w:pStyle w:val="169"/>
        <w:keepNext w:val="0"/>
        <w:keepLines w:val="0"/>
        <w:pageBreakBefore w:val="0"/>
        <w:kinsoku/>
        <w:wordWrap/>
        <w:overflowPunct/>
        <w:topLinePunct w:val="0"/>
        <w:autoSpaceDE/>
        <w:autoSpaceDN/>
        <w:bidi w:val="0"/>
        <w:adjustRightInd/>
        <w:snapToGrid/>
        <w:spacing w:line="520" w:lineRule="exact"/>
        <w:ind w:firstLine="480"/>
        <w:textAlignment w:val="auto"/>
        <w:rPr>
          <w:rFonts w:hint="eastAsia" w:ascii="宋体" w:hAnsi="宋体" w:eastAsia="宋体" w:cs="宋体"/>
          <w:color w:val="000000"/>
          <w:kern w:val="0"/>
          <w:sz w:val="24"/>
          <w:szCs w:val="24"/>
          <w:lang w:val="en-US" w:eastAsia="zh-CN" w:bidi="ar-SA"/>
        </w:rPr>
        <w:sectPr>
          <w:headerReference r:id="rId15" w:type="default"/>
          <w:footerReference r:id="rId16"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eastAsia="宋体" w:cs="宋体"/>
          <w:color w:val="000000"/>
          <w:kern w:val="0"/>
          <w:sz w:val="24"/>
          <w:szCs w:val="24"/>
          <w:lang w:val="en-US" w:eastAsia="zh-CN" w:bidi="ar-SA"/>
        </w:rPr>
        <w:t>验收依据：合同文本；国家有关的验收标准及规范；招标文件；投标文件。</w:t>
      </w:r>
    </w:p>
    <w:p w14:paraId="2CAA594D">
      <w:pPr>
        <w:pStyle w:val="2"/>
        <w:keepNext/>
        <w:keepLines/>
        <w:pageBreakBefore w:val="0"/>
        <w:widowControl w:val="0"/>
        <w:tabs>
          <w:tab w:val="left" w:pos="305"/>
          <w:tab w:val="center" w:pos="4598"/>
        </w:tabs>
        <w:kinsoku/>
        <w:wordWrap/>
        <w:overflowPunct/>
        <w:topLinePunct w:val="0"/>
        <w:autoSpaceDE/>
        <w:autoSpaceDN/>
        <w:bidi w:val="0"/>
        <w:adjustRightInd/>
        <w:snapToGrid/>
        <w:spacing w:before="240" w:after="240" w:line="360" w:lineRule="auto"/>
        <w:jc w:val="center"/>
        <w:textAlignment w:val="auto"/>
        <w:rPr>
          <w:rFonts w:hint="eastAsia" w:ascii="宋体" w:hAnsi="宋体" w:cs="Times New Roman"/>
          <w:color w:val="auto"/>
        </w:rPr>
      </w:pPr>
      <w:bookmarkStart w:id="98" w:name="_Toc22418"/>
      <w:r>
        <w:rPr>
          <w:rFonts w:hint="eastAsia" w:ascii="宋体" w:hAnsi="宋体"/>
          <w:color w:val="auto"/>
        </w:rPr>
        <w:t>第</w:t>
      </w:r>
      <w:r>
        <w:rPr>
          <w:rFonts w:hint="eastAsia" w:ascii="宋体" w:hAnsi="宋体"/>
          <w:color w:val="auto"/>
          <w:lang w:val="en-US" w:eastAsia="zh-CN"/>
        </w:rPr>
        <w:t>六</w:t>
      </w:r>
      <w:r>
        <w:rPr>
          <w:rFonts w:hint="eastAsia" w:ascii="宋体" w:hAnsi="宋体"/>
          <w:color w:val="auto"/>
        </w:rPr>
        <w:t xml:space="preserve">章 </w:t>
      </w:r>
      <w:r>
        <w:rPr>
          <w:rFonts w:hint="eastAsia" w:ascii="宋体" w:hAnsi="宋体" w:cs="Times New Roman"/>
          <w:color w:val="auto"/>
        </w:rPr>
        <w:t>合同格式</w:t>
      </w:r>
      <w:bookmarkEnd w:id="98"/>
    </w:p>
    <w:bookmarkEnd w:id="91"/>
    <w:bookmarkEnd w:id="92"/>
    <w:bookmarkEnd w:id="93"/>
    <w:p w14:paraId="354342E8">
      <w:pPr>
        <w:pStyle w:val="18"/>
        <w:jc w:val="center"/>
        <w:rPr>
          <w:rFonts w:hint="eastAsia" w:ascii="仿宋" w:hAnsi="仿宋" w:eastAsia="仿宋"/>
          <w:b/>
          <w:color w:val="auto"/>
          <w:sz w:val="36"/>
          <w:szCs w:val="36"/>
          <w:lang w:val="en-US" w:eastAsia="zh-CN"/>
        </w:rPr>
      </w:pPr>
      <w:bookmarkStart w:id="99" w:name="_Toc417906114"/>
      <w:bookmarkStart w:id="100" w:name="_Toc484890085"/>
      <w:bookmarkStart w:id="101" w:name="_Toc528240830"/>
    </w:p>
    <w:p w14:paraId="74CF8AC2">
      <w:pPr>
        <w:pStyle w:val="18"/>
        <w:jc w:val="center"/>
        <w:rPr>
          <w:rFonts w:hint="eastAsia" w:ascii="宋体" w:hAnsi="宋体" w:eastAsia="宋体" w:cs="Times New Roman"/>
          <w:b/>
          <w:bCs/>
          <w:color w:val="auto"/>
          <w:kern w:val="44"/>
          <w:sz w:val="44"/>
          <w:szCs w:val="44"/>
          <w:lang w:val="en-US" w:eastAsia="zh-CN" w:bidi="ar-SA"/>
        </w:rPr>
      </w:pPr>
      <w:r>
        <w:rPr>
          <w:rFonts w:hint="eastAsia" w:cs="Times New Roman"/>
          <w:b/>
          <w:bCs/>
          <w:color w:val="auto"/>
          <w:kern w:val="44"/>
          <w:sz w:val="48"/>
          <w:szCs w:val="48"/>
          <w:lang w:val="en-US" w:eastAsia="zh-CN" w:bidi="ar-SA"/>
        </w:rPr>
        <w:t>安康市初级中学生成式人工智能学科融合智慧教室项目（二次）</w:t>
      </w:r>
    </w:p>
    <w:p w14:paraId="15C7A97F">
      <w:pPr>
        <w:spacing w:line="440" w:lineRule="exact"/>
        <w:jc w:val="center"/>
        <w:rPr>
          <w:rFonts w:hint="eastAsia" w:ascii="宋体" w:hAnsi="宋体" w:eastAsia="宋体" w:cs="宋体"/>
          <w:b/>
          <w:color w:val="auto"/>
        </w:rPr>
      </w:pPr>
    </w:p>
    <w:p w14:paraId="741E2B37">
      <w:pPr>
        <w:spacing w:line="440" w:lineRule="exact"/>
        <w:jc w:val="center"/>
        <w:rPr>
          <w:rFonts w:hint="eastAsia" w:ascii="宋体" w:hAnsi="宋体" w:eastAsia="宋体" w:cs="宋体"/>
          <w:b/>
          <w:color w:val="auto"/>
        </w:rPr>
      </w:pPr>
    </w:p>
    <w:p w14:paraId="4CD83F00">
      <w:pPr>
        <w:spacing w:line="440" w:lineRule="exact"/>
        <w:jc w:val="center"/>
        <w:rPr>
          <w:rFonts w:hint="eastAsia" w:ascii="宋体" w:hAnsi="宋体" w:eastAsia="宋体" w:cs="宋体"/>
          <w:b/>
          <w:color w:val="auto"/>
        </w:rPr>
      </w:pPr>
    </w:p>
    <w:p w14:paraId="6C379B02">
      <w:pPr>
        <w:jc w:val="center"/>
        <w:rPr>
          <w:rFonts w:hint="eastAsia" w:ascii="宋体" w:hAnsi="宋体" w:eastAsia="宋体" w:cs="宋体"/>
          <w:b/>
          <w:color w:val="auto"/>
        </w:rPr>
      </w:pPr>
      <w:r>
        <w:rPr>
          <w:rFonts w:hint="eastAsia" w:ascii="宋体" w:hAnsi="宋体" w:eastAsia="宋体" w:cs="宋体"/>
          <w:b/>
          <w:color w:val="auto"/>
          <w:sz w:val="52"/>
          <w:szCs w:val="52"/>
        </w:rPr>
        <w:t>合</w:t>
      </w:r>
    </w:p>
    <w:p w14:paraId="30301F9F">
      <w:pPr>
        <w:rPr>
          <w:rFonts w:hint="eastAsia" w:ascii="宋体" w:hAnsi="宋体" w:eastAsia="宋体" w:cs="宋体"/>
          <w:b/>
          <w:color w:val="auto"/>
        </w:rPr>
      </w:pPr>
    </w:p>
    <w:p w14:paraId="54B693A3">
      <w:pPr>
        <w:jc w:val="center"/>
        <w:rPr>
          <w:rFonts w:hint="eastAsia" w:ascii="宋体" w:hAnsi="宋体" w:eastAsia="宋体" w:cs="宋体"/>
          <w:b/>
          <w:color w:val="auto"/>
        </w:rPr>
      </w:pPr>
      <w:r>
        <w:rPr>
          <w:rFonts w:hint="eastAsia" w:ascii="宋体" w:hAnsi="宋体" w:eastAsia="宋体" w:cs="宋体"/>
          <w:b/>
          <w:color w:val="auto"/>
          <w:sz w:val="52"/>
          <w:szCs w:val="52"/>
        </w:rPr>
        <w:t>同</w:t>
      </w:r>
    </w:p>
    <w:p w14:paraId="55B1D778">
      <w:pPr>
        <w:rPr>
          <w:rFonts w:hint="eastAsia" w:ascii="宋体" w:hAnsi="宋体" w:eastAsia="宋体" w:cs="宋体"/>
          <w:b/>
          <w:color w:val="auto"/>
        </w:rPr>
      </w:pPr>
    </w:p>
    <w:p w14:paraId="307FF762">
      <w:pPr>
        <w:jc w:val="center"/>
        <w:rPr>
          <w:rFonts w:hint="eastAsia" w:ascii="宋体" w:hAnsi="宋体" w:eastAsia="宋体" w:cs="宋体"/>
          <w:b/>
          <w:color w:val="auto"/>
        </w:rPr>
      </w:pPr>
      <w:r>
        <w:rPr>
          <w:rFonts w:hint="eastAsia" w:ascii="宋体" w:hAnsi="宋体" w:eastAsia="宋体" w:cs="宋体"/>
          <w:b/>
          <w:color w:val="auto"/>
          <w:sz w:val="52"/>
          <w:szCs w:val="52"/>
        </w:rPr>
        <w:t>书</w:t>
      </w:r>
    </w:p>
    <w:p w14:paraId="2FBAEE3F">
      <w:pPr>
        <w:spacing w:line="440" w:lineRule="exact"/>
        <w:jc w:val="center"/>
        <w:rPr>
          <w:rFonts w:hint="eastAsia" w:ascii="宋体" w:hAnsi="宋体" w:eastAsia="宋体" w:cs="宋体"/>
          <w:b/>
          <w:color w:val="auto"/>
        </w:rPr>
      </w:pPr>
    </w:p>
    <w:p w14:paraId="77C43093">
      <w:pPr>
        <w:pStyle w:val="18"/>
        <w:rPr>
          <w:rFonts w:hint="eastAsia" w:ascii="宋体" w:hAnsi="宋体" w:eastAsia="宋体" w:cs="宋体"/>
          <w:b/>
          <w:color w:val="auto"/>
          <w:kern w:val="2"/>
          <w:sz w:val="32"/>
          <w:szCs w:val="32"/>
          <w:lang w:val="en-US" w:eastAsia="zh-CN" w:bidi="ar-SA"/>
        </w:rPr>
      </w:pPr>
    </w:p>
    <w:p w14:paraId="1AC06EF1">
      <w:pPr>
        <w:spacing w:before="91" w:line="221" w:lineRule="auto"/>
        <w:ind w:left="1395"/>
        <w:rPr>
          <w:rFonts w:hint="eastAsia" w:ascii="宋体" w:hAnsi="宋体" w:eastAsia="宋体" w:cs="宋体"/>
          <w:b/>
          <w:color w:val="auto"/>
          <w:kern w:val="2"/>
          <w:sz w:val="32"/>
          <w:szCs w:val="32"/>
          <w:lang w:val="en-US" w:eastAsia="zh-CN" w:bidi="ar-SA"/>
        </w:rPr>
      </w:pPr>
    </w:p>
    <w:p w14:paraId="50C01DE7">
      <w:pPr>
        <w:spacing w:before="91" w:line="221" w:lineRule="auto"/>
        <w:ind w:firstLine="964" w:firstLineChars="300"/>
        <w:rPr>
          <w:rFonts w:hint="eastAsia" w:ascii="宋体" w:hAnsi="宋体" w:eastAsia="宋体" w:cs="宋体"/>
          <w:b/>
          <w:color w:val="auto"/>
          <w:kern w:val="2"/>
          <w:sz w:val="32"/>
          <w:szCs w:val="32"/>
          <w:lang w:val="en-US" w:eastAsia="zh-CN" w:bidi="ar-SA"/>
        </w:rPr>
      </w:pPr>
      <w:r>
        <w:rPr>
          <w:rFonts w:hint="eastAsia" w:ascii="宋体" w:hAnsi="宋体" w:eastAsia="宋体" w:cs="宋体"/>
          <w:b/>
          <w:color w:val="auto"/>
          <w:kern w:val="2"/>
          <w:sz w:val="32"/>
          <w:szCs w:val="32"/>
          <w:lang w:val="en-US" w:eastAsia="zh-CN" w:bidi="ar-SA"/>
        </w:rPr>
        <w:t>甲    方：</w:t>
      </w:r>
      <w:r>
        <w:rPr>
          <w:rFonts w:hint="eastAsia" w:ascii="宋体" w:hAnsi="宋体" w:cs="宋体"/>
          <w:b/>
          <w:color w:val="auto"/>
          <w:kern w:val="2"/>
          <w:sz w:val="32"/>
          <w:szCs w:val="32"/>
          <w:lang w:val="en-US" w:eastAsia="zh-CN" w:bidi="ar-SA"/>
        </w:rPr>
        <w:t>安康市初级中学</w:t>
      </w:r>
    </w:p>
    <w:p w14:paraId="6EADA37C">
      <w:pPr>
        <w:pStyle w:val="18"/>
        <w:spacing w:line="353" w:lineRule="auto"/>
        <w:rPr>
          <w:rFonts w:hint="eastAsia" w:ascii="宋体" w:hAnsi="宋体" w:eastAsia="宋体" w:cs="宋体"/>
          <w:b/>
          <w:color w:val="auto"/>
          <w:kern w:val="2"/>
          <w:sz w:val="32"/>
          <w:szCs w:val="32"/>
          <w:lang w:val="en-US" w:eastAsia="zh-CN" w:bidi="ar-SA"/>
        </w:rPr>
      </w:pPr>
    </w:p>
    <w:p w14:paraId="3AE143D8">
      <w:pPr>
        <w:spacing w:line="440" w:lineRule="exact"/>
        <w:ind w:firstLine="964" w:firstLineChars="300"/>
        <w:rPr>
          <w:rFonts w:hint="default" w:ascii="宋体" w:hAnsi="宋体" w:eastAsia="宋体" w:cs="宋体"/>
          <w:b/>
          <w:color w:val="auto"/>
          <w:kern w:val="2"/>
          <w:sz w:val="32"/>
          <w:szCs w:val="32"/>
          <w:u w:val="single"/>
          <w:lang w:val="en-US" w:eastAsia="zh-CN" w:bidi="ar-SA"/>
        </w:rPr>
      </w:pPr>
      <w:r>
        <w:rPr>
          <w:rFonts w:hint="eastAsia" w:ascii="宋体" w:hAnsi="宋体" w:eastAsia="宋体" w:cs="宋体"/>
          <w:b/>
          <w:color w:val="auto"/>
          <w:kern w:val="2"/>
          <w:sz w:val="32"/>
          <w:szCs w:val="32"/>
          <w:lang w:val="en-US" w:eastAsia="zh-CN" w:bidi="ar-SA"/>
        </w:rPr>
        <w:t xml:space="preserve">乙    方： </w:t>
      </w:r>
      <w:r>
        <w:rPr>
          <w:rFonts w:hint="eastAsia" w:ascii="宋体" w:hAnsi="宋体" w:eastAsia="宋体" w:cs="宋体"/>
          <w:b/>
          <w:color w:val="auto"/>
          <w:kern w:val="2"/>
          <w:sz w:val="32"/>
          <w:szCs w:val="32"/>
          <w:u w:val="single"/>
          <w:lang w:val="en-US" w:eastAsia="zh-CN" w:bidi="ar-SA"/>
        </w:rPr>
        <w:t xml:space="preserve">          </w:t>
      </w:r>
    </w:p>
    <w:p w14:paraId="6AB14356">
      <w:pPr>
        <w:spacing w:line="440" w:lineRule="exact"/>
        <w:rPr>
          <w:rFonts w:hint="eastAsia" w:ascii="宋体" w:hAnsi="宋体" w:eastAsia="宋体" w:cs="宋体"/>
          <w:b/>
          <w:color w:val="auto"/>
        </w:rPr>
      </w:pPr>
    </w:p>
    <w:p w14:paraId="26117D81">
      <w:pPr>
        <w:spacing w:line="660" w:lineRule="exact"/>
        <w:ind w:firstLine="1606" w:firstLineChars="500"/>
        <w:rPr>
          <w:rFonts w:hint="eastAsia" w:ascii="宋体" w:hAnsi="宋体" w:eastAsia="宋体" w:cs="宋体"/>
          <w:b/>
          <w:color w:val="auto"/>
          <w:sz w:val="32"/>
          <w:szCs w:val="32"/>
          <w:u w:val="single"/>
        </w:rPr>
      </w:pPr>
    </w:p>
    <w:p w14:paraId="309D91B1">
      <w:pPr>
        <w:spacing w:line="800" w:lineRule="exact"/>
        <w:ind w:left="620" w:firstLine="1606" w:firstLineChars="500"/>
        <w:jc w:val="left"/>
        <w:rPr>
          <w:rFonts w:hint="eastAsia" w:ascii="宋体" w:hAnsi="宋体" w:eastAsia="宋体" w:cs="宋体"/>
          <w:b/>
          <w:color w:val="auto"/>
          <w:sz w:val="32"/>
          <w:szCs w:val="32"/>
        </w:rPr>
      </w:pPr>
      <w:r>
        <w:rPr>
          <w:rFonts w:hint="eastAsia" w:ascii="宋体" w:hAnsi="宋体" w:eastAsia="宋体" w:cs="宋体"/>
          <w:b/>
          <w:color w:val="auto"/>
          <w:sz w:val="32"/>
          <w:szCs w:val="32"/>
        </w:rPr>
        <w:t>签订时间：</w:t>
      </w:r>
      <w:r>
        <w:rPr>
          <w:rFonts w:hint="eastAsia" w:ascii="宋体" w:hAnsi="宋体" w:cs="宋体"/>
          <w:b/>
          <w:color w:val="auto"/>
          <w:sz w:val="32"/>
          <w:szCs w:val="32"/>
          <w:lang w:val="en-US" w:eastAsia="zh-CN"/>
        </w:rPr>
        <w:t xml:space="preserve">  </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年</w:t>
      </w:r>
      <w:r>
        <w:rPr>
          <w:rFonts w:hint="eastAsia" w:ascii="宋体" w:hAnsi="宋体" w:eastAsia="宋体" w:cs="宋体"/>
          <w:b/>
          <w:color w:val="auto"/>
          <w:sz w:val="32"/>
          <w:szCs w:val="32"/>
          <w:lang w:val="en-US" w:eastAsia="zh-CN"/>
        </w:rPr>
        <w:t xml:space="preserve"> </w:t>
      </w:r>
      <w:r>
        <w:rPr>
          <w:rFonts w:hint="eastAsia" w:ascii="宋体" w:hAnsi="宋体" w:cs="宋体"/>
          <w:b/>
          <w:color w:val="auto"/>
          <w:sz w:val="32"/>
          <w:szCs w:val="32"/>
          <w:lang w:val="en-US" w:eastAsia="zh-CN"/>
        </w:rPr>
        <w:t xml:space="preserve"> </w:t>
      </w:r>
      <w:r>
        <w:rPr>
          <w:rFonts w:hint="eastAsia" w:ascii="宋体" w:hAnsi="宋体" w:eastAsia="宋体" w:cs="宋体"/>
          <w:b/>
          <w:color w:val="auto"/>
          <w:sz w:val="32"/>
          <w:szCs w:val="32"/>
        </w:rPr>
        <w:t>月  日</w:t>
      </w:r>
    </w:p>
    <w:p w14:paraId="6019E77F">
      <w:pPr>
        <w:pStyle w:val="17"/>
        <w:jc w:val="center"/>
        <w:rPr>
          <w:rFonts w:hint="eastAsia"/>
          <w:b/>
          <w:bCs/>
          <w:color w:val="auto"/>
          <w:sz w:val="28"/>
          <w:szCs w:val="28"/>
          <w:lang w:val="en-US" w:eastAsia="zh-CN"/>
        </w:rPr>
      </w:pPr>
    </w:p>
    <w:p w14:paraId="6AEA947B">
      <w:pPr>
        <w:pStyle w:val="17"/>
        <w:jc w:val="center"/>
        <w:rPr>
          <w:rFonts w:hint="eastAsia"/>
          <w:b/>
          <w:bCs/>
          <w:color w:val="auto"/>
          <w:sz w:val="28"/>
          <w:szCs w:val="28"/>
          <w:lang w:val="en-US" w:eastAsia="zh-CN"/>
        </w:rPr>
      </w:pPr>
    </w:p>
    <w:p w14:paraId="341EB003">
      <w:pPr>
        <w:pStyle w:val="17"/>
        <w:jc w:val="center"/>
        <w:rPr>
          <w:rFonts w:hint="default" w:eastAsia="宋体"/>
          <w:b/>
          <w:bCs/>
          <w:color w:val="auto"/>
          <w:sz w:val="28"/>
          <w:szCs w:val="28"/>
          <w:lang w:val="en-US" w:eastAsia="zh-CN"/>
        </w:rPr>
      </w:pPr>
      <w:r>
        <w:rPr>
          <w:rFonts w:hint="eastAsia"/>
          <w:b/>
          <w:bCs/>
          <w:color w:val="auto"/>
          <w:sz w:val="28"/>
          <w:szCs w:val="28"/>
          <w:lang w:val="en-US" w:eastAsia="zh-CN"/>
        </w:rPr>
        <w:t>合同文本</w:t>
      </w:r>
    </w:p>
    <w:p w14:paraId="6AC60477">
      <w:pPr>
        <w:keepNext w:val="0"/>
        <w:keepLines w:val="0"/>
        <w:pageBreakBefore w:val="0"/>
        <w:kinsoku/>
        <w:wordWrap/>
        <w:overflowPunct/>
        <w:topLinePunct w:val="0"/>
        <w:bidi w:val="0"/>
        <w:spacing w:line="480" w:lineRule="exact"/>
        <w:ind w:firstLine="482" w:firstLineChars="200"/>
        <w:textAlignment w:val="auto"/>
        <w:rPr>
          <w:rFonts w:ascii="宋体" w:hAnsi="宋体"/>
          <w:b/>
          <w:bCs/>
          <w:color w:val="auto"/>
          <w:sz w:val="28"/>
          <w:szCs w:val="32"/>
        </w:rPr>
      </w:pPr>
      <w:r>
        <w:rPr>
          <w:rFonts w:hint="eastAsia" w:ascii="宋体" w:hAnsi="宋体" w:cs="宋体"/>
          <w:b/>
          <w:bCs/>
          <w:color w:val="auto"/>
          <w:sz w:val="24"/>
          <w:szCs w:val="24"/>
        </w:rPr>
        <w:t>（说明：本合同作为合同的基本格式，不作为最终合同，甲方有权在签订合同时对合同的相关条款及内容作进一步的细化和修改）</w:t>
      </w:r>
    </w:p>
    <w:p w14:paraId="36F188FA">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甲方(采购人)</w:t>
      </w:r>
      <w:r>
        <w:rPr>
          <w:rFonts w:hint="eastAsia" w:ascii="宋体" w:hAnsi="宋体" w:cs="宋体"/>
          <w:b w:val="0"/>
          <w:bCs w:val="0"/>
          <w:color w:val="auto"/>
          <w:sz w:val="24"/>
          <w:szCs w:val="24"/>
          <w:lang w:eastAsia="zh-CN"/>
        </w:rPr>
        <w:t>：安康市初级中学</w:t>
      </w:r>
      <w:r>
        <w:rPr>
          <w:rFonts w:hint="eastAsia" w:ascii="宋体" w:hAnsi="宋体" w:eastAsia="宋体" w:cs="宋体"/>
          <w:b w:val="0"/>
          <w:bCs w:val="0"/>
          <w:color w:val="auto"/>
          <w:sz w:val="24"/>
          <w:szCs w:val="24"/>
        </w:rPr>
        <w:t xml:space="preserve"> </w:t>
      </w:r>
    </w:p>
    <w:p w14:paraId="67CBBF58">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乙方(供应商)</w:t>
      </w:r>
      <w:r>
        <w:rPr>
          <w:rFonts w:hint="eastAsia" w:ascii="宋体" w:hAnsi="宋体" w:cs="宋体"/>
          <w:b w:val="0"/>
          <w:bCs w:val="0"/>
          <w:color w:val="auto"/>
          <w:sz w:val="24"/>
          <w:szCs w:val="24"/>
          <w:lang w:eastAsia="zh-CN"/>
        </w:rPr>
        <w:t>：</w:t>
      </w:r>
    </w:p>
    <w:p w14:paraId="71813218">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甲方的</w:t>
      </w:r>
      <w:r>
        <w:rPr>
          <w:rFonts w:hint="eastAsia" w:ascii="宋体" w:hAnsi="宋体" w:cs="宋体"/>
          <w:b w:val="0"/>
          <w:bCs w:val="0"/>
          <w:color w:val="auto"/>
          <w:sz w:val="24"/>
          <w:szCs w:val="24"/>
          <w:lang w:eastAsia="zh-CN"/>
        </w:rPr>
        <w:t>安康市初级中学生成式人工智能学科融合智慧教室项目（二次）</w:t>
      </w:r>
      <w:r>
        <w:rPr>
          <w:rFonts w:hint="eastAsia" w:ascii="宋体" w:hAnsi="宋体" w:eastAsia="宋体" w:cs="宋体"/>
          <w:b w:val="0"/>
          <w:bCs w:val="0"/>
          <w:color w:val="auto"/>
          <w:sz w:val="24"/>
          <w:szCs w:val="24"/>
        </w:rPr>
        <w:t>(项目编号：</w:t>
      </w:r>
      <w:r>
        <w:rPr>
          <w:rFonts w:hint="eastAsia" w:ascii="宋体" w:hAnsi="宋体" w:eastAsia="宋体" w:cs="宋体"/>
          <w:b w:val="0"/>
          <w:bCs w:val="0"/>
          <w:color w:val="auto"/>
          <w:sz w:val="24"/>
          <w:szCs w:val="24"/>
          <w:u w:val="single"/>
        </w:rPr>
        <w:t xml:space="preserve">    </w:t>
      </w:r>
      <w:r>
        <w:rPr>
          <w:rFonts w:hint="eastAsia" w:ascii="宋体" w:hAnsi="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)依法经过政府采购程序，确定乙方为</w:t>
      </w:r>
      <w:r>
        <w:rPr>
          <w:rFonts w:hint="eastAsia" w:ascii="宋体" w:hAnsi="宋体" w:cs="宋体"/>
          <w:b w:val="0"/>
          <w:bCs w:val="0"/>
          <w:color w:val="auto"/>
          <w:sz w:val="24"/>
          <w:szCs w:val="24"/>
          <w:lang w:val="en-US" w:eastAsia="zh-CN"/>
        </w:rPr>
        <w:t>中标</w:t>
      </w:r>
      <w:r>
        <w:rPr>
          <w:rFonts w:hint="eastAsia" w:ascii="宋体" w:hAnsi="宋体" w:eastAsia="宋体" w:cs="宋体"/>
          <w:b w:val="0"/>
          <w:bCs w:val="0"/>
          <w:color w:val="auto"/>
          <w:sz w:val="24"/>
          <w:szCs w:val="24"/>
        </w:rPr>
        <w:t>单位，根据《中华人民共和国民法典》《中华人民共和国政府采购法》及其他有关法律、法规，遵循平等、自愿、公平和诚信的原则，双方就下述项目范围与相关服务事项协商一致，订立本合同。</w:t>
      </w:r>
    </w:p>
    <w:p w14:paraId="43B4AD47">
      <w:pPr>
        <w:keepNext w:val="0"/>
        <w:keepLines w:val="0"/>
        <w:pageBreakBefore w:val="0"/>
        <w:widowControl w:val="0"/>
        <w:kinsoku/>
        <w:wordWrap/>
        <w:overflowPunct/>
        <w:topLinePunct w:val="0"/>
        <w:autoSpaceDE w:val="0"/>
        <w:autoSpaceDN w:val="0"/>
        <w:bidi w:val="0"/>
        <w:adjustRightInd w:val="0"/>
        <w:snapToGrid/>
        <w:spacing w:line="48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第一条  合同文件</w:t>
      </w:r>
    </w:p>
    <w:p w14:paraId="53ABBECF">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下列与本次采购活动有关的文件及附件是本合同不可分割的组成部分，与本合同具有同等法律效力，这些文件包括但不限于：</w:t>
      </w:r>
    </w:p>
    <w:p w14:paraId="02796007">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1.招标文件</w:t>
      </w:r>
    </w:p>
    <w:p w14:paraId="0A1ECBE2">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2.投标文件</w:t>
      </w:r>
    </w:p>
    <w:p w14:paraId="7404611B">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3.乙方在投标时的书面承诺</w:t>
      </w:r>
    </w:p>
    <w:p w14:paraId="178564E0">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4.中标通知书</w:t>
      </w:r>
    </w:p>
    <w:p w14:paraId="7B71CFE1">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5.合同补充条款或说明</w:t>
      </w:r>
    </w:p>
    <w:p w14:paraId="59EE0656">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6.保密协议或条款</w:t>
      </w:r>
    </w:p>
    <w:p w14:paraId="7CCF1CF7">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7.相关附件、图纸</w:t>
      </w:r>
      <w:r>
        <w:rPr>
          <w:rFonts w:hint="eastAsia" w:ascii="宋体" w:hAnsi="宋体" w:cs="宋体"/>
          <w:b w:val="0"/>
          <w:bCs w:val="0"/>
          <w:color w:val="auto"/>
          <w:sz w:val="24"/>
          <w:szCs w:val="24"/>
          <w:lang w:eastAsia="zh-CN"/>
        </w:rPr>
        <w:t>（</w:t>
      </w:r>
      <w:r>
        <w:rPr>
          <w:rFonts w:hint="eastAsia" w:ascii="宋体" w:hAnsi="宋体" w:cs="宋体"/>
          <w:b w:val="0"/>
          <w:bCs w:val="0"/>
          <w:color w:val="auto"/>
          <w:sz w:val="24"/>
          <w:szCs w:val="24"/>
          <w:lang w:val="en-US" w:eastAsia="zh-CN"/>
        </w:rPr>
        <w:t>如有</w:t>
      </w:r>
      <w:r>
        <w:rPr>
          <w:rFonts w:hint="eastAsia" w:ascii="宋体" w:hAnsi="宋体" w:cs="宋体"/>
          <w:b w:val="0"/>
          <w:bCs w:val="0"/>
          <w:color w:val="auto"/>
          <w:sz w:val="24"/>
          <w:szCs w:val="24"/>
          <w:lang w:eastAsia="zh-CN"/>
        </w:rPr>
        <w:t>）</w:t>
      </w:r>
    </w:p>
    <w:p w14:paraId="37F2DA39">
      <w:pPr>
        <w:keepNext w:val="0"/>
        <w:keepLines w:val="0"/>
        <w:pageBreakBefore w:val="0"/>
        <w:widowControl w:val="0"/>
        <w:kinsoku/>
        <w:wordWrap/>
        <w:overflowPunct/>
        <w:topLinePunct w:val="0"/>
        <w:autoSpaceDE w:val="0"/>
        <w:autoSpaceDN w:val="0"/>
        <w:bidi w:val="0"/>
        <w:adjustRightInd w:val="0"/>
        <w:snapToGrid/>
        <w:spacing w:line="48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第二条 合同标的</w:t>
      </w:r>
    </w:p>
    <w:p w14:paraId="4CFB0838">
      <w:pPr>
        <w:keepNext w:val="0"/>
        <w:keepLines w:val="0"/>
        <w:pageBreakBefore w:val="0"/>
        <w:widowControl w:val="0"/>
        <w:kinsoku/>
        <w:wordWrap/>
        <w:overflowPunct/>
        <w:topLinePunct w:val="0"/>
        <w:autoSpaceDE w:val="0"/>
        <w:autoSpaceDN w:val="0"/>
        <w:bidi w:val="0"/>
        <w:adjustRightInd w:val="0"/>
        <w:snapToGrid/>
        <w:spacing w:line="48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乙方根据招投标文件需向甲方提供下列货物</w:t>
      </w:r>
    </w:p>
    <w:tbl>
      <w:tblPr>
        <w:tblStyle w:val="116"/>
        <w:tblW w:w="95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02"/>
        <w:gridCol w:w="1437"/>
        <w:gridCol w:w="1403"/>
        <w:gridCol w:w="1188"/>
        <w:gridCol w:w="879"/>
        <w:gridCol w:w="1329"/>
        <w:gridCol w:w="1248"/>
        <w:gridCol w:w="1366"/>
      </w:tblGrid>
      <w:tr w14:paraId="01DD6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jc w:val="center"/>
        </w:trPr>
        <w:tc>
          <w:tcPr>
            <w:tcW w:w="702" w:type="dxa"/>
            <w:vAlign w:val="center"/>
          </w:tcPr>
          <w:p w14:paraId="7C976129">
            <w:pPr>
              <w:keepNext w:val="0"/>
              <w:keepLines w:val="0"/>
              <w:pageBreakBefore w:val="0"/>
              <w:kinsoku/>
              <w:wordWrap/>
              <w:overflowPunct/>
              <w:topLinePunct w:val="0"/>
              <w:autoSpaceDE w:val="0"/>
              <w:autoSpaceDN w:val="0"/>
              <w:bidi w:val="0"/>
              <w:spacing w:before="101" w:line="480" w:lineRule="exact"/>
              <w:ind w:left="94"/>
              <w:jc w:val="center"/>
              <w:textAlignment w:val="auto"/>
              <w:rPr>
                <w:rFonts w:hint="eastAsia" w:ascii="宋体" w:hAnsi="宋体" w:eastAsia="宋体" w:cs="宋体"/>
                <w:sz w:val="24"/>
                <w:szCs w:val="24"/>
              </w:rPr>
            </w:pPr>
            <w:r>
              <w:rPr>
                <w:rFonts w:hint="eastAsia" w:ascii="宋体" w:hAnsi="宋体" w:eastAsia="宋体" w:cs="宋体"/>
                <w:spacing w:val="9"/>
                <w:sz w:val="24"/>
                <w:szCs w:val="24"/>
              </w:rPr>
              <w:t>序号</w:t>
            </w:r>
          </w:p>
        </w:tc>
        <w:tc>
          <w:tcPr>
            <w:tcW w:w="1437" w:type="dxa"/>
            <w:vAlign w:val="center"/>
          </w:tcPr>
          <w:p w14:paraId="5D10C120">
            <w:pPr>
              <w:keepNext w:val="0"/>
              <w:keepLines w:val="0"/>
              <w:pageBreakBefore w:val="0"/>
              <w:kinsoku/>
              <w:wordWrap/>
              <w:overflowPunct/>
              <w:topLinePunct w:val="0"/>
              <w:autoSpaceDE w:val="0"/>
              <w:autoSpaceDN w:val="0"/>
              <w:bidi w:val="0"/>
              <w:spacing w:before="101" w:line="480" w:lineRule="exact"/>
              <w:jc w:val="center"/>
              <w:textAlignment w:val="auto"/>
              <w:rPr>
                <w:rFonts w:hint="eastAsia" w:ascii="宋体" w:hAnsi="宋体" w:eastAsia="宋体" w:cs="宋体"/>
                <w:sz w:val="24"/>
                <w:szCs w:val="24"/>
              </w:rPr>
            </w:pPr>
            <w:r>
              <w:rPr>
                <w:rFonts w:hint="eastAsia" w:ascii="宋体" w:hAnsi="宋体" w:eastAsia="宋体" w:cs="宋体"/>
                <w:spacing w:val="7"/>
                <w:sz w:val="24"/>
                <w:szCs w:val="24"/>
              </w:rPr>
              <w:t>货物名称</w:t>
            </w:r>
          </w:p>
        </w:tc>
        <w:tc>
          <w:tcPr>
            <w:tcW w:w="1403" w:type="dxa"/>
            <w:vAlign w:val="center"/>
          </w:tcPr>
          <w:p w14:paraId="507D91FA">
            <w:pPr>
              <w:keepNext w:val="0"/>
              <w:keepLines w:val="0"/>
              <w:pageBreakBefore w:val="0"/>
              <w:kinsoku/>
              <w:wordWrap/>
              <w:overflowPunct/>
              <w:topLinePunct w:val="0"/>
              <w:autoSpaceDE w:val="0"/>
              <w:autoSpaceDN w:val="0"/>
              <w:bidi w:val="0"/>
              <w:spacing w:before="139" w:line="480" w:lineRule="exact"/>
              <w:ind w:right="202"/>
              <w:jc w:val="center"/>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 品牌</w:t>
            </w:r>
          </w:p>
        </w:tc>
        <w:tc>
          <w:tcPr>
            <w:tcW w:w="1188" w:type="dxa"/>
            <w:vAlign w:val="center"/>
          </w:tcPr>
          <w:p w14:paraId="0CDCF3B4">
            <w:pPr>
              <w:keepNext w:val="0"/>
              <w:keepLines w:val="0"/>
              <w:pageBreakBefore w:val="0"/>
              <w:kinsoku/>
              <w:wordWrap/>
              <w:overflowPunct/>
              <w:topLinePunct w:val="0"/>
              <w:autoSpaceDE w:val="0"/>
              <w:autoSpaceDN w:val="0"/>
              <w:bidi w:val="0"/>
              <w:spacing w:before="101" w:line="480" w:lineRule="exact"/>
              <w:ind w:left="133"/>
              <w:jc w:val="center"/>
              <w:textAlignment w:val="auto"/>
              <w:rPr>
                <w:rFonts w:hint="default" w:ascii="宋体" w:hAnsi="宋体" w:eastAsia="宋体" w:cs="宋体"/>
                <w:spacing w:val="6"/>
                <w:sz w:val="24"/>
                <w:szCs w:val="24"/>
                <w:lang w:val="en-US" w:eastAsia="zh-CN"/>
              </w:rPr>
            </w:pPr>
            <w:r>
              <w:rPr>
                <w:rFonts w:hint="eastAsia" w:ascii="宋体" w:hAnsi="宋体" w:cs="宋体"/>
                <w:spacing w:val="6"/>
                <w:sz w:val="24"/>
                <w:szCs w:val="24"/>
                <w:lang w:val="en-US" w:eastAsia="zh-CN"/>
              </w:rPr>
              <w:t>规格型号</w:t>
            </w:r>
          </w:p>
        </w:tc>
        <w:tc>
          <w:tcPr>
            <w:tcW w:w="879" w:type="dxa"/>
            <w:vAlign w:val="center"/>
          </w:tcPr>
          <w:p w14:paraId="6712D25E">
            <w:pPr>
              <w:keepNext w:val="0"/>
              <w:keepLines w:val="0"/>
              <w:pageBreakBefore w:val="0"/>
              <w:kinsoku/>
              <w:wordWrap/>
              <w:overflowPunct/>
              <w:topLinePunct w:val="0"/>
              <w:autoSpaceDE w:val="0"/>
              <w:autoSpaceDN w:val="0"/>
              <w:bidi w:val="0"/>
              <w:spacing w:before="101" w:line="480" w:lineRule="exact"/>
              <w:ind w:left="133"/>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单位</w:t>
            </w:r>
          </w:p>
        </w:tc>
        <w:tc>
          <w:tcPr>
            <w:tcW w:w="1329" w:type="dxa"/>
            <w:vAlign w:val="center"/>
          </w:tcPr>
          <w:p w14:paraId="35073B59">
            <w:pPr>
              <w:keepNext w:val="0"/>
              <w:keepLines w:val="0"/>
              <w:pageBreakBefore w:val="0"/>
              <w:kinsoku/>
              <w:wordWrap/>
              <w:overflowPunct/>
              <w:topLinePunct w:val="0"/>
              <w:autoSpaceDE w:val="0"/>
              <w:autoSpaceDN w:val="0"/>
              <w:bidi w:val="0"/>
              <w:spacing w:before="100" w:line="480" w:lineRule="exact"/>
              <w:jc w:val="center"/>
              <w:textAlignment w:val="auto"/>
              <w:rPr>
                <w:rFonts w:hint="eastAsia" w:ascii="宋体" w:hAnsi="宋体" w:eastAsia="宋体" w:cs="宋体"/>
                <w:sz w:val="24"/>
                <w:szCs w:val="24"/>
              </w:rPr>
            </w:pPr>
            <w:r>
              <w:rPr>
                <w:rFonts w:hint="eastAsia" w:ascii="宋体" w:hAnsi="宋体" w:eastAsia="宋体" w:cs="宋体"/>
                <w:spacing w:val="6"/>
                <w:sz w:val="24"/>
                <w:szCs w:val="24"/>
              </w:rPr>
              <w:t>数量</w:t>
            </w:r>
          </w:p>
        </w:tc>
        <w:tc>
          <w:tcPr>
            <w:tcW w:w="1248" w:type="dxa"/>
            <w:vAlign w:val="center"/>
          </w:tcPr>
          <w:p w14:paraId="6B41AC65">
            <w:pPr>
              <w:keepNext w:val="0"/>
              <w:keepLines w:val="0"/>
              <w:pageBreakBefore w:val="0"/>
              <w:kinsoku/>
              <w:wordWrap/>
              <w:overflowPunct/>
              <w:topLinePunct w:val="0"/>
              <w:autoSpaceDE w:val="0"/>
              <w:autoSpaceDN w:val="0"/>
              <w:bidi w:val="0"/>
              <w:spacing w:before="100" w:line="480" w:lineRule="exact"/>
              <w:ind w:left="106"/>
              <w:jc w:val="center"/>
              <w:textAlignment w:val="auto"/>
              <w:rPr>
                <w:rFonts w:hint="eastAsia" w:ascii="宋体" w:hAnsi="宋体" w:eastAsia="宋体" w:cs="宋体"/>
                <w:sz w:val="24"/>
                <w:szCs w:val="24"/>
              </w:rPr>
            </w:pPr>
            <w:r>
              <w:rPr>
                <w:rFonts w:hint="eastAsia" w:ascii="宋体" w:hAnsi="宋体" w:eastAsia="宋体" w:cs="宋体"/>
                <w:spacing w:val="13"/>
                <w:sz w:val="24"/>
                <w:szCs w:val="24"/>
              </w:rPr>
              <w:t>单价(元)</w:t>
            </w:r>
          </w:p>
        </w:tc>
        <w:tc>
          <w:tcPr>
            <w:tcW w:w="1366" w:type="dxa"/>
            <w:vAlign w:val="center"/>
          </w:tcPr>
          <w:p w14:paraId="721448D4">
            <w:pPr>
              <w:keepNext w:val="0"/>
              <w:keepLines w:val="0"/>
              <w:pageBreakBefore w:val="0"/>
              <w:kinsoku/>
              <w:wordWrap/>
              <w:overflowPunct/>
              <w:topLinePunct w:val="0"/>
              <w:autoSpaceDE w:val="0"/>
              <w:autoSpaceDN w:val="0"/>
              <w:bidi w:val="0"/>
              <w:spacing w:before="101" w:line="480" w:lineRule="exact"/>
              <w:ind w:left="117"/>
              <w:jc w:val="center"/>
              <w:textAlignment w:val="auto"/>
              <w:rPr>
                <w:rFonts w:hint="eastAsia" w:ascii="宋体" w:hAnsi="宋体" w:eastAsia="宋体" w:cs="宋体"/>
                <w:sz w:val="24"/>
                <w:szCs w:val="24"/>
              </w:rPr>
            </w:pPr>
            <w:r>
              <w:rPr>
                <w:rFonts w:hint="eastAsia" w:ascii="宋体" w:hAnsi="宋体" w:eastAsia="宋体" w:cs="宋体"/>
                <w:spacing w:val="13"/>
                <w:sz w:val="24"/>
                <w:szCs w:val="24"/>
              </w:rPr>
              <w:t>合计(元)</w:t>
            </w:r>
          </w:p>
        </w:tc>
      </w:tr>
      <w:tr w14:paraId="0D6633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702" w:type="dxa"/>
            <w:vAlign w:val="center"/>
          </w:tcPr>
          <w:p w14:paraId="5B767037">
            <w:pPr>
              <w:keepNext w:val="0"/>
              <w:keepLines w:val="0"/>
              <w:pageBreakBefore w:val="0"/>
              <w:kinsoku/>
              <w:wordWrap/>
              <w:overflowPunct/>
              <w:topLinePunct w:val="0"/>
              <w:autoSpaceDE w:val="0"/>
              <w:autoSpaceDN w:val="0"/>
              <w:bidi w:val="0"/>
              <w:spacing w:before="137" w:line="480" w:lineRule="exact"/>
              <w:ind w:left="94"/>
              <w:jc w:val="center"/>
              <w:textAlignment w:val="auto"/>
              <w:rPr>
                <w:rFonts w:hint="eastAsia" w:ascii="宋体" w:hAnsi="宋体" w:eastAsia="宋体" w:cs="宋体"/>
                <w:sz w:val="24"/>
                <w:szCs w:val="24"/>
              </w:rPr>
            </w:pPr>
            <w:r>
              <w:rPr>
                <w:rFonts w:hint="eastAsia" w:ascii="宋体" w:hAnsi="宋体" w:eastAsia="宋体" w:cs="宋体"/>
                <w:sz w:val="24"/>
                <w:szCs w:val="24"/>
              </w:rPr>
              <w:t>1</w:t>
            </w:r>
          </w:p>
        </w:tc>
        <w:tc>
          <w:tcPr>
            <w:tcW w:w="1437" w:type="dxa"/>
            <w:vAlign w:val="top"/>
          </w:tcPr>
          <w:p w14:paraId="441719F8">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403" w:type="dxa"/>
            <w:vAlign w:val="top"/>
          </w:tcPr>
          <w:p w14:paraId="61B53EB5">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188" w:type="dxa"/>
            <w:vAlign w:val="top"/>
          </w:tcPr>
          <w:p w14:paraId="11580145">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879" w:type="dxa"/>
            <w:vAlign w:val="top"/>
          </w:tcPr>
          <w:p w14:paraId="34A94202">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29" w:type="dxa"/>
            <w:vAlign w:val="top"/>
          </w:tcPr>
          <w:p w14:paraId="1F5DDACE">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248" w:type="dxa"/>
            <w:vAlign w:val="top"/>
          </w:tcPr>
          <w:p w14:paraId="3CA8DF36">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66" w:type="dxa"/>
            <w:vAlign w:val="top"/>
          </w:tcPr>
          <w:p w14:paraId="1ED9E56F">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r>
      <w:tr w14:paraId="5A12E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702" w:type="dxa"/>
            <w:vAlign w:val="center"/>
          </w:tcPr>
          <w:p w14:paraId="0C1B70FC">
            <w:pPr>
              <w:keepNext w:val="0"/>
              <w:keepLines w:val="0"/>
              <w:pageBreakBefore w:val="0"/>
              <w:kinsoku/>
              <w:wordWrap/>
              <w:overflowPunct/>
              <w:topLinePunct w:val="0"/>
              <w:autoSpaceDE w:val="0"/>
              <w:autoSpaceDN w:val="0"/>
              <w:bidi w:val="0"/>
              <w:spacing w:before="139" w:line="480" w:lineRule="exact"/>
              <w:ind w:left="94"/>
              <w:jc w:val="center"/>
              <w:textAlignment w:val="auto"/>
              <w:rPr>
                <w:rFonts w:hint="eastAsia" w:ascii="宋体" w:hAnsi="宋体" w:eastAsia="宋体" w:cs="宋体"/>
                <w:sz w:val="24"/>
                <w:szCs w:val="24"/>
              </w:rPr>
            </w:pPr>
            <w:r>
              <w:rPr>
                <w:rFonts w:hint="eastAsia" w:ascii="宋体" w:hAnsi="宋体" w:eastAsia="宋体" w:cs="宋体"/>
                <w:sz w:val="24"/>
                <w:szCs w:val="24"/>
              </w:rPr>
              <w:t>2</w:t>
            </w:r>
          </w:p>
        </w:tc>
        <w:tc>
          <w:tcPr>
            <w:tcW w:w="1437" w:type="dxa"/>
            <w:vAlign w:val="top"/>
          </w:tcPr>
          <w:p w14:paraId="7087A381">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403" w:type="dxa"/>
            <w:vAlign w:val="top"/>
          </w:tcPr>
          <w:p w14:paraId="47408DE0">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188" w:type="dxa"/>
            <w:vAlign w:val="top"/>
          </w:tcPr>
          <w:p w14:paraId="6F1B8D7F">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879" w:type="dxa"/>
            <w:vAlign w:val="top"/>
          </w:tcPr>
          <w:p w14:paraId="43EA2897">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29" w:type="dxa"/>
            <w:vAlign w:val="top"/>
          </w:tcPr>
          <w:p w14:paraId="5C0A4FE7">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248" w:type="dxa"/>
            <w:vAlign w:val="top"/>
          </w:tcPr>
          <w:p w14:paraId="48AE0933">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66" w:type="dxa"/>
            <w:vAlign w:val="top"/>
          </w:tcPr>
          <w:p w14:paraId="633D7331">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r>
      <w:tr w14:paraId="31B54E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9" w:hRule="atLeast"/>
          <w:jc w:val="center"/>
        </w:trPr>
        <w:tc>
          <w:tcPr>
            <w:tcW w:w="702" w:type="dxa"/>
            <w:vAlign w:val="center"/>
          </w:tcPr>
          <w:p w14:paraId="758964DA">
            <w:pPr>
              <w:keepNext w:val="0"/>
              <w:keepLines w:val="0"/>
              <w:pageBreakBefore w:val="0"/>
              <w:kinsoku/>
              <w:wordWrap/>
              <w:overflowPunct/>
              <w:topLinePunct w:val="0"/>
              <w:autoSpaceDE w:val="0"/>
              <w:autoSpaceDN w:val="0"/>
              <w:bidi w:val="0"/>
              <w:spacing w:before="141" w:line="480" w:lineRule="exact"/>
              <w:ind w:left="94"/>
              <w:jc w:val="center"/>
              <w:textAlignment w:val="auto"/>
              <w:rPr>
                <w:rFonts w:hint="eastAsia" w:ascii="宋体" w:hAnsi="宋体" w:eastAsia="宋体" w:cs="宋体"/>
                <w:sz w:val="24"/>
                <w:szCs w:val="24"/>
              </w:rPr>
            </w:pPr>
            <w:r>
              <w:rPr>
                <w:rFonts w:hint="eastAsia" w:ascii="宋体" w:hAnsi="宋体" w:eastAsia="宋体" w:cs="宋体"/>
                <w:sz w:val="24"/>
                <w:szCs w:val="24"/>
              </w:rPr>
              <w:t>3</w:t>
            </w:r>
          </w:p>
        </w:tc>
        <w:tc>
          <w:tcPr>
            <w:tcW w:w="1437" w:type="dxa"/>
            <w:vAlign w:val="top"/>
          </w:tcPr>
          <w:p w14:paraId="36D5B4D4">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403" w:type="dxa"/>
            <w:vAlign w:val="top"/>
          </w:tcPr>
          <w:p w14:paraId="2339BDAD">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188" w:type="dxa"/>
            <w:vAlign w:val="top"/>
          </w:tcPr>
          <w:p w14:paraId="766FE692">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879" w:type="dxa"/>
            <w:vAlign w:val="top"/>
          </w:tcPr>
          <w:p w14:paraId="3E2B08DB">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29" w:type="dxa"/>
            <w:vAlign w:val="top"/>
          </w:tcPr>
          <w:p w14:paraId="6BD25DBD">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248" w:type="dxa"/>
            <w:vAlign w:val="top"/>
          </w:tcPr>
          <w:p w14:paraId="5547FCC3">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66" w:type="dxa"/>
            <w:vAlign w:val="top"/>
          </w:tcPr>
          <w:p w14:paraId="6366D077">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r>
      <w:tr w14:paraId="120C45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jc w:val="center"/>
        </w:trPr>
        <w:tc>
          <w:tcPr>
            <w:tcW w:w="702" w:type="dxa"/>
            <w:vAlign w:val="center"/>
          </w:tcPr>
          <w:p w14:paraId="37CF9D76">
            <w:pPr>
              <w:keepNext w:val="0"/>
              <w:keepLines w:val="0"/>
              <w:pageBreakBefore w:val="0"/>
              <w:kinsoku/>
              <w:wordWrap/>
              <w:overflowPunct/>
              <w:topLinePunct w:val="0"/>
              <w:autoSpaceDE w:val="0"/>
              <w:autoSpaceDN w:val="0"/>
              <w:bidi w:val="0"/>
              <w:spacing w:before="142" w:line="480" w:lineRule="exact"/>
              <w:ind w:left="94"/>
              <w:jc w:val="center"/>
              <w:textAlignment w:val="auto"/>
              <w:rPr>
                <w:rFonts w:hint="eastAsia" w:ascii="宋体" w:hAnsi="宋体" w:eastAsia="宋体" w:cs="宋体"/>
                <w:sz w:val="24"/>
                <w:szCs w:val="24"/>
              </w:rPr>
            </w:pPr>
            <w:r>
              <w:rPr>
                <w:rFonts w:hint="eastAsia" w:ascii="宋体" w:hAnsi="宋体" w:eastAsia="宋体" w:cs="宋体"/>
                <w:sz w:val="24"/>
                <w:szCs w:val="24"/>
              </w:rPr>
              <w:t>4</w:t>
            </w:r>
          </w:p>
        </w:tc>
        <w:tc>
          <w:tcPr>
            <w:tcW w:w="1437" w:type="dxa"/>
            <w:vAlign w:val="top"/>
          </w:tcPr>
          <w:p w14:paraId="09082E38">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403" w:type="dxa"/>
            <w:vAlign w:val="top"/>
          </w:tcPr>
          <w:p w14:paraId="7EABDA4E">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188" w:type="dxa"/>
            <w:vAlign w:val="top"/>
          </w:tcPr>
          <w:p w14:paraId="2C2CFC18">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879" w:type="dxa"/>
            <w:vAlign w:val="top"/>
          </w:tcPr>
          <w:p w14:paraId="6A2CB55C">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29" w:type="dxa"/>
            <w:vAlign w:val="top"/>
          </w:tcPr>
          <w:p w14:paraId="5C273678">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248" w:type="dxa"/>
            <w:vAlign w:val="top"/>
          </w:tcPr>
          <w:p w14:paraId="5BED0757">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c>
          <w:tcPr>
            <w:tcW w:w="1366" w:type="dxa"/>
            <w:vAlign w:val="top"/>
          </w:tcPr>
          <w:p w14:paraId="54F4F557">
            <w:pPr>
              <w:pStyle w:val="100"/>
              <w:keepNext w:val="0"/>
              <w:keepLines w:val="0"/>
              <w:pageBreakBefore w:val="0"/>
              <w:kinsoku/>
              <w:wordWrap/>
              <w:overflowPunct/>
              <w:topLinePunct w:val="0"/>
              <w:autoSpaceDE w:val="0"/>
              <w:autoSpaceDN w:val="0"/>
              <w:bidi w:val="0"/>
              <w:spacing w:line="480" w:lineRule="exact"/>
              <w:textAlignment w:val="auto"/>
              <w:rPr>
                <w:rFonts w:hint="eastAsia" w:ascii="宋体" w:hAnsi="宋体" w:eastAsia="宋体" w:cs="宋体"/>
                <w:sz w:val="24"/>
                <w:szCs w:val="24"/>
              </w:rPr>
            </w:pPr>
          </w:p>
        </w:tc>
      </w:tr>
      <w:tr w14:paraId="69C6EB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98" w:hRule="atLeast"/>
          <w:jc w:val="center"/>
        </w:trPr>
        <w:tc>
          <w:tcPr>
            <w:tcW w:w="702" w:type="dxa"/>
            <w:vAlign w:val="top"/>
          </w:tcPr>
          <w:p w14:paraId="0693F33C">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jc w:val="center"/>
              <w:textAlignment w:val="auto"/>
              <w:rPr>
                <w:rFonts w:hint="default" w:ascii="宋体" w:hAnsi="宋体" w:eastAsia="宋体" w:cs="宋体"/>
                <w:sz w:val="24"/>
                <w:szCs w:val="24"/>
                <w:lang w:val="en-US"/>
              </w:rPr>
            </w:pPr>
            <w:r>
              <w:rPr>
                <w:rFonts w:hint="default" w:ascii="宋体" w:hAnsi="宋体" w:eastAsia="宋体" w:cs="宋体"/>
                <w:sz w:val="24"/>
                <w:szCs w:val="24"/>
                <w:lang w:val="en-US"/>
              </w:rPr>
              <w:t>……</w:t>
            </w:r>
          </w:p>
        </w:tc>
        <w:tc>
          <w:tcPr>
            <w:tcW w:w="1437" w:type="dxa"/>
            <w:vAlign w:val="top"/>
          </w:tcPr>
          <w:p w14:paraId="4D2BCB54">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c>
          <w:tcPr>
            <w:tcW w:w="1403" w:type="dxa"/>
            <w:vAlign w:val="top"/>
          </w:tcPr>
          <w:p w14:paraId="68A634C1">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c>
          <w:tcPr>
            <w:tcW w:w="1188" w:type="dxa"/>
            <w:vAlign w:val="top"/>
          </w:tcPr>
          <w:p w14:paraId="2B59228E">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c>
          <w:tcPr>
            <w:tcW w:w="879" w:type="dxa"/>
            <w:vAlign w:val="top"/>
          </w:tcPr>
          <w:p w14:paraId="5430CFFB">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c>
          <w:tcPr>
            <w:tcW w:w="1329" w:type="dxa"/>
            <w:vAlign w:val="top"/>
          </w:tcPr>
          <w:p w14:paraId="60BAD080">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c>
          <w:tcPr>
            <w:tcW w:w="1248" w:type="dxa"/>
            <w:vAlign w:val="top"/>
          </w:tcPr>
          <w:p w14:paraId="50B54EBB">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c>
          <w:tcPr>
            <w:tcW w:w="1366" w:type="dxa"/>
            <w:vAlign w:val="top"/>
          </w:tcPr>
          <w:p w14:paraId="54740F7E">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p>
        </w:tc>
      </w:tr>
      <w:tr w14:paraId="4CC98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6" w:hRule="atLeast"/>
          <w:jc w:val="center"/>
        </w:trPr>
        <w:tc>
          <w:tcPr>
            <w:tcW w:w="9552" w:type="dxa"/>
            <w:gridSpan w:val="8"/>
            <w:vAlign w:val="top"/>
          </w:tcPr>
          <w:p w14:paraId="0A57578A">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总报价(人民币大写)</w:t>
            </w:r>
            <w:r>
              <w:rPr>
                <w:rFonts w:hint="eastAsia" w:ascii="宋体" w:hAnsi="宋体" w:cs="宋体"/>
                <w:sz w:val="24"/>
                <w:szCs w:val="24"/>
                <w:lang w:val="en-US" w:eastAsia="zh-CN"/>
              </w:rPr>
              <w:t>：</w:t>
            </w:r>
            <w:r>
              <w:rPr>
                <w:rFonts w:hint="default" w:ascii="宋体" w:hAnsi="宋体" w:eastAsia="宋体" w:cs="宋体"/>
                <w:sz w:val="24"/>
                <w:szCs w:val="24"/>
                <w:lang w:val="en-US"/>
              </w:rPr>
              <w:t xml:space="preserve">                 (¥             元 )</w:t>
            </w:r>
          </w:p>
        </w:tc>
      </w:tr>
      <w:tr w14:paraId="43C1D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jc w:val="center"/>
        </w:trPr>
        <w:tc>
          <w:tcPr>
            <w:tcW w:w="9552" w:type="dxa"/>
            <w:gridSpan w:val="8"/>
            <w:vAlign w:val="top"/>
          </w:tcPr>
          <w:p w14:paraId="421D0EE1">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备注：表内报价内容以元为单位。</w:t>
            </w:r>
          </w:p>
        </w:tc>
      </w:tr>
    </w:tbl>
    <w:p w14:paraId="52640984">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第三条  合同总金额</w:t>
      </w:r>
    </w:p>
    <w:p w14:paraId="20F4C6D8">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1.合同价款：小写： ¥</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元，大写：</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元整。</w:t>
      </w:r>
    </w:p>
    <w:p w14:paraId="3A460126">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2.合同总价即成交价，固定总价包干，本合同执行期间合同总价款不变。合同价格包括但不限于货物(含软件、标准附件、备品备件、专用工具、图纸资料)、包装、运输(含保险)</w:t>
      </w:r>
      <w:r>
        <w:rPr>
          <w:rFonts w:hint="eastAsia" w:ascii="宋体" w:hAnsi="宋体" w:cs="宋体"/>
          <w:sz w:val="24"/>
          <w:szCs w:val="24"/>
          <w:lang w:val="en-US" w:eastAsia="zh-CN"/>
        </w:rPr>
        <w:t>，</w:t>
      </w:r>
      <w:r>
        <w:rPr>
          <w:rFonts w:hint="default" w:ascii="宋体" w:hAnsi="宋体" w:eastAsia="宋体" w:cs="宋体"/>
          <w:sz w:val="24"/>
          <w:szCs w:val="24"/>
          <w:lang w:val="en-US"/>
        </w:rPr>
        <w:t>货到就位以及安装、调试、培训、保修等验收合格之前和质保期内的售后服务一切税金和费用。合同价格为含税价，乙方提供产品所发生的一切税(包括增值税)费等都已包含于合同价款中。</w:t>
      </w:r>
    </w:p>
    <w:p w14:paraId="6B07992C">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第四条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交货规定</w:t>
      </w:r>
    </w:p>
    <w:p w14:paraId="48535900">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1.交货方法：由乙方送货。</w:t>
      </w:r>
    </w:p>
    <w:p w14:paraId="6799E7BD">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2.运输方式：由乙方自行选择运输方式，运输及保险费用由乙方负担。货物交付给甲方验收之前，货物相关全部风险由乙方承担。</w:t>
      </w:r>
    </w:p>
    <w:p w14:paraId="3DD7DCE2">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3.交货地点：甲方要求地点。</w:t>
      </w:r>
    </w:p>
    <w:p w14:paraId="61C84BFB">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color w:val="auto"/>
          <w:sz w:val="24"/>
          <w:szCs w:val="24"/>
          <w:lang w:val="en-US"/>
        </w:rPr>
      </w:pPr>
      <w:r>
        <w:rPr>
          <w:rFonts w:hint="default" w:ascii="宋体" w:hAnsi="宋体" w:eastAsia="宋体" w:cs="宋体"/>
          <w:color w:val="auto"/>
          <w:sz w:val="24"/>
          <w:szCs w:val="24"/>
          <w:lang w:val="en-US"/>
        </w:rPr>
        <w:t>4.合同履行期：</w:t>
      </w:r>
      <w:r>
        <w:rPr>
          <w:rFonts w:hint="eastAsia" w:ascii="宋体" w:hAnsi="宋体" w:cs="宋体"/>
          <w:color w:val="auto"/>
          <w:kern w:val="0"/>
          <w:sz w:val="24"/>
          <w:szCs w:val="24"/>
          <w:lang w:val="en-US" w:eastAsia="zh-CN" w:bidi="ar-SA"/>
        </w:rPr>
        <w:t>自合同签订生效之日起30个日历天内交付（包含调试验收）</w:t>
      </w:r>
      <w:r>
        <w:rPr>
          <w:rFonts w:hint="default" w:ascii="宋体" w:hAnsi="宋体" w:eastAsia="宋体" w:cs="宋体"/>
          <w:color w:val="auto"/>
          <w:sz w:val="24"/>
          <w:szCs w:val="24"/>
          <w:lang w:val="en-US"/>
        </w:rPr>
        <w:t>。</w:t>
      </w:r>
    </w:p>
    <w:p w14:paraId="2E2CBC84">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color w:val="auto"/>
          <w:sz w:val="24"/>
          <w:szCs w:val="24"/>
          <w:lang w:val="en-US"/>
        </w:rPr>
        <w:t>5.需要乙方对货物(包括软件)或系统进行安装调试的，乙方应派经甲方认可</w:t>
      </w:r>
      <w:r>
        <w:rPr>
          <w:rFonts w:hint="default" w:ascii="宋体" w:hAnsi="宋体" w:eastAsia="宋体" w:cs="宋体"/>
          <w:sz w:val="24"/>
          <w:szCs w:val="24"/>
          <w:lang w:val="en-US"/>
        </w:rPr>
        <w:t>的有经验和能力、具有相应资质的技术人员，负责供货及安装调试工作，在供货期间应充分了解供货进度，保证货物质量，解决安装中出现的技术问题。乙方负责整个货物的供应，供货前应完成出厂检验并向甲方提供检验报告，甲方有权对供货前的生产过程及检验环节进行抽查监督，乙方应予以配合。</w:t>
      </w:r>
    </w:p>
    <w:p w14:paraId="45221611">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6.乙方交货时应派遣专业技术人员到甲方指定地点进行现场培训，直至甲方指定的操作人员能够独立、熟练操作设备及进行日常维护。培训内容至少包括：设备</w:t>
      </w:r>
      <w:r>
        <w:rPr>
          <w:rFonts w:hint="eastAsia" w:ascii="宋体" w:hAnsi="宋体" w:cs="宋体"/>
          <w:sz w:val="24"/>
          <w:szCs w:val="24"/>
          <w:lang w:val="en-US" w:eastAsia="zh-CN"/>
        </w:rPr>
        <w:t>/软件</w:t>
      </w:r>
      <w:r>
        <w:rPr>
          <w:rFonts w:hint="default" w:ascii="宋体" w:hAnsi="宋体" w:eastAsia="宋体" w:cs="宋体"/>
          <w:sz w:val="24"/>
          <w:szCs w:val="24"/>
          <w:lang w:val="en-US"/>
        </w:rPr>
        <w:t>的基本原理、安装调试、操作使用、日常维护保养、常见故障诊断与排除等。</w:t>
      </w:r>
    </w:p>
    <w:p w14:paraId="6353CEBF">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第五条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付款方式</w:t>
      </w:r>
    </w:p>
    <w:p w14:paraId="30B80688">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1.本合同项下所有款项均以人民币支付。</w:t>
      </w:r>
    </w:p>
    <w:p w14:paraId="105C6B3F">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2.乙方向甲方提交下列文件材料，经甲方审核无误后支 付采购资金：</w:t>
      </w:r>
    </w:p>
    <w:p w14:paraId="385FABB0">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(1)经甲方确认的发票；</w:t>
      </w:r>
    </w:p>
    <w:p w14:paraId="73173288">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sz w:val="24"/>
          <w:szCs w:val="24"/>
          <w:lang w:val="en-US" w:eastAsia="zh-CN"/>
        </w:rPr>
      </w:pPr>
      <w:r>
        <w:rPr>
          <w:rFonts w:hint="default" w:ascii="宋体" w:hAnsi="宋体" w:eastAsia="宋体" w:cs="宋体"/>
          <w:sz w:val="24"/>
          <w:szCs w:val="24"/>
          <w:lang w:val="en-US"/>
        </w:rPr>
        <w:t>(2)经甲乙双方确认签署的《验收报告》</w:t>
      </w:r>
      <w:r>
        <w:rPr>
          <w:rFonts w:hint="eastAsia" w:ascii="宋体" w:hAnsi="宋体" w:cs="宋体"/>
          <w:sz w:val="24"/>
          <w:szCs w:val="24"/>
          <w:lang w:val="en-US" w:eastAsia="zh-CN"/>
        </w:rPr>
        <w:t>；</w:t>
      </w:r>
    </w:p>
    <w:p w14:paraId="5F7E5F87">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(3)其他材料。</w:t>
      </w:r>
    </w:p>
    <w:p w14:paraId="15C28B27">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color w:val="auto"/>
          <w:sz w:val="24"/>
          <w:szCs w:val="24"/>
          <w:lang w:val="en-US"/>
        </w:rPr>
      </w:pPr>
      <w:r>
        <w:rPr>
          <w:rFonts w:hint="default" w:ascii="宋体" w:hAnsi="宋体" w:eastAsia="宋体" w:cs="宋体"/>
          <w:color w:val="auto"/>
          <w:sz w:val="24"/>
          <w:szCs w:val="24"/>
          <w:lang w:val="en-US"/>
        </w:rPr>
        <w:t>3.付款方式：</w:t>
      </w:r>
      <w:r>
        <w:rPr>
          <w:rFonts w:hint="eastAsia" w:ascii="宋体" w:hAnsi="宋体" w:cs="宋体"/>
          <w:color w:val="auto"/>
          <w:kern w:val="0"/>
          <w:sz w:val="24"/>
          <w:szCs w:val="24"/>
          <w:lang w:val="en-US" w:eastAsia="zh-CN" w:bidi="ar-SA"/>
        </w:rPr>
        <w:t>货到初验合格后支付至合同总价的40%，货到安装调试合格后支付至合同总价的80%，验收合格后支付至合同总价的100%。</w:t>
      </w:r>
    </w:p>
    <w:p w14:paraId="686E6EDA">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color w:val="auto"/>
          <w:sz w:val="24"/>
          <w:szCs w:val="24"/>
          <w:lang w:val="en-US"/>
        </w:rPr>
      </w:pPr>
      <w:r>
        <w:rPr>
          <w:rFonts w:hint="default" w:ascii="宋体" w:hAnsi="宋体" w:eastAsia="宋体" w:cs="宋体"/>
          <w:b/>
          <w:bCs/>
          <w:color w:val="auto"/>
          <w:sz w:val="24"/>
          <w:szCs w:val="24"/>
          <w:lang w:val="en-US"/>
        </w:rPr>
        <w:t>第六条  权利和质量保证</w:t>
      </w:r>
    </w:p>
    <w:p w14:paraId="522BB9F9">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color w:val="auto"/>
          <w:sz w:val="24"/>
          <w:szCs w:val="24"/>
          <w:lang w:val="en-US"/>
        </w:rPr>
        <w:t>1.乙方应保证货物及与货物有关的附属件完全符合有关国家规范和相关政策，且是未使用过的全新货物，质量优良、渠道正当、配置合理，如发生质量问题由乙方承担全部责任。</w:t>
      </w:r>
      <w:r>
        <w:rPr>
          <w:rFonts w:hint="eastAsia" w:ascii="宋体" w:hAnsi="宋体" w:cs="Times New Roman"/>
          <w:color w:val="auto"/>
          <w:kern w:val="0"/>
          <w:sz w:val="24"/>
          <w:szCs w:val="24"/>
          <w:lang w:val="en-US" w:eastAsia="zh-CN"/>
        </w:rPr>
        <w:t>自项目通过最终验收合格之日起三年，若国家有明确规定的质量保证期高于此质量保证期的，执行国家规定。</w:t>
      </w:r>
    </w:p>
    <w:p w14:paraId="47A6F5B0">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2.乙方提交的货物应满足招标文件要求，全面符合投标文件中记载的生产厂家、规格型号、技术参数、性能等，并应附有此类货物完整、详细的技术资料和说明文件。</w:t>
      </w:r>
    </w:p>
    <w:p w14:paraId="68E3A10E">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3.乙方提交的货物必须按照招标采购文件的要求和中标人投标文件的承诺，以约定标准进行制造、安装。</w:t>
      </w:r>
    </w:p>
    <w:p w14:paraId="728606EC">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4.乙方应保证将货物按照国家或专业标准包装、确保货物安全无损运抵合同规定的交货地点，并进行安装、试运行。</w:t>
      </w:r>
    </w:p>
    <w:p w14:paraId="362E2D12">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5.乙方应保证甲方在使用该货物或其任何一部分时不受第三方提出侵犯其专利权、版权、商标权或其他权利的起诉。一旦出现侵权，索赔或诉讼，乙方应承担全部责任(包括但不限于诉讼费、律师费、赔偿金等)。如因此影响到甲方的正常使用，甲方有权单方解除本合同，乙方应无条件向甲方退回已收取的全部合同价款，给甲方造成损失的，由乙方一并赔偿。</w:t>
      </w:r>
    </w:p>
    <w:p w14:paraId="48945224">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6.乙方应保证货物不存在危及人身及财产安全的产品缺陷，否则应承担全部法律责任。</w:t>
      </w:r>
    </w:p>
    <w:p w14:paraId="11B624DE">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7.乙方需对本项目一切资料和文件进行保密，且不得向第三方或公众泄露。本规定在本项目实施结束后仍应有效，否则因此造成的损失和责任由乙方承担。</w:t>
      </w:r>
    </w:p>
    <w:p w14:paraId="77EF32BD">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8.乙方员工在工作期间发生一切事故、伤亡事故以及其他损失由乙方自行承担。</w:t>
      </w:r>
    </w:p>
    <w:p w14:paraId="737188F8">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9.因乙方自身原因造成的甲方损失，乙方应承担赔偿责任。</w:t>
      </w:r>
    </w:p>
    <w:p w14:paraId="5F17096C">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10.甲方按合同约定向乙方支付费用，甲方对乙方供货内容进行监督和初验，发现问题及时要求乙方改正，直至达到要求。</w:t>
      </w:r>
    </w:p>
    <w:p w14:paraId="77F159A1">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第七条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货物验收</w:t>
      </w:r>
    </w:p>
    <w:p w14:paraId="3734C749">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 乙方申请验收时应提供货物的装箱清单、产品合格证、设备手册(说明书)、原厂保修卡、检验报告、随箱资料及备品备件、易损件、专用工具、软件技术资料等。</w:t>
      </w:r>
    </w:p>
    <w:p w14:paraId="195C291E">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2.需要乙方对货物(包括软件)或系统进行安装调试的，甲乙双方应在货物安装调试完毕后的</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个工作日内进行运行效果验收。调试检验出现全部或部分未达到本合同所约定的技术指标，甲方有权选择下列任一处理方式：</w:t>
      </w:r>
    </w:p>
    <w:p w14:paraId="4D9BF419">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a. 重新调试直至合格为止；</w:t>
      </w:r>
    </w:p>
    <w:p w14:paraId="6EBABC33">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b. 要求乙方对货物进行免费更换，然后重新调试直至合格为止。</w:t>
      </w:r>
    </w:p>
    <w:p w14:paraId="5624A237">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3.货物安装调试完成后验收时，甲乙双方必须同时在场。如有必要可邀请有关专家验收。其内容包括生产厂家、 品牌、规格、型号和数量，外观质量是否符合本合同约定，产品技术指标、性能参数以及质量是否达到现行国家有关验收规范标准、是否按照甲方要求安装到位、是否按照甲方要求进行调试和提供相关培训、是否在规定时间内安装完毕、 所有产品的配套技术资料及包装是否完好无损等进行逐项 检查。验收合格的，由双方共同签署《验收报告》。验收不合格的，乙方应在</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个工作日内完成整改并重新申请验收，因此产生的费用由乙方承担，且交货期不予顺延。若整改后仍不合格，甲方有权解除合同并要求乙方承担违约责任。</w:t>
      </w:r>
    </w:p>
    <w:p w14:paraId="2635C4AA">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4.货物达不到本合同“第二条合同标的”规定的数量、质量要求和运行效果，甲方有权拒收，并可以解除合同；由此引起甲方损失及赔偿责任由乙方承担。</w:t>
      </w:r>
    </w:p>
    <w:p w14:paraId="40DF87E9">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第八条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项目管理服务</w:t>
      </w:r>
    </w:p>
    <w:p w14:paraId="6CBBCC76">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乙方应指定不少于一人全权全程负责本项目的商务服务，以及货物安装、调试、咨询、培训和售后等技术服务工作。</w:t>
      </w:r>
    </w:p>
    <w:p w14:paraId="3A0C3A98">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eastAsia" w:ascii="宋体" w:hAnsi="宋体" w:eastAsia="宋体" w:cs="宋体"/>
          <w:sz w:val="24"/>
          <w:szCs w:val="24"/>
          <w:lang w:val="en-US" w:eastAsia="zh-CN"/>
        </w:rPr>
      </w:pPr>
      <w:r>
        <w:rPr>
          <w:rFonts w:hint="default" w:ascii="宋体" w:hAnsi="宋体" w:eastAsia="宋体" w:cs="宋体"/>
          <w:sz w:val="24"/>
          <w:szCs w:val="24"/>
          <w:lang w:val="en-US"/>
        </w:rPr>
        <w:t>项目负责人姓名：</w:t>
      </w:r>
      <w:r>
        <w:rPr>
          <w:rFonts w:hint="default" w:ascii="宋体" w:hAnsi="宋体" w:eastAsia="宋体" w:cs="宋体"/>
          <w:sz w:val="24"/>
          <w:szCs w:val="24"/>
          <w:u w:val="single"/>
          <w:lang w:val="en-US"/>
        </w:rPr>
        <w:t xml:space="preserve">       </w:t>
      </w:r>
      <w:r>
        <w:rPr>
          <w:rFonts w:hint="eastAsia" w:ascii="宋体" w:hAnsi="宋体" w:cs="宋体"/>
          <w:sz w:val="24"/>
          <w:szCs w:val="24"/>
          <w:lang w:val="en-US" w:eastAsia="zh-CN"/>
        </w:rPr>
        <w:t>；</w:t>
      </w:r>
      <w:r>
        <w:rPr>
          <w:rFonts w:hint="default" w:ascii="宋体" w:hAnsi="宋体" w:eastAsia="宋体" w:cs="宋体"/>
          <w:sz w:val="24"/>
          <w:szCs w:val="24"/>
          <w:lang w:val="en-US"/>
        </w:rPr>
        <w:t xml:space="preserve"> 联系电话：</w:t>
      </w:r>
      <w:r>
        <w:rPr>
          <w:rFonts w:hint="default" w:ascii="宋体" w:hAnsi="宋体" w:eastAsia="宋体" w:cs="宋体"/>
          <w:sz w:val="24"/>
          <w:szCs w:val="24"/>
          <w:u w:val="single"/>
          <w:lang w:val="en-US"/>
        </w:rPr>
        <w:t xml:space="preserve">         </w:t>
      </w:r>
      <w:r>
        <w:rPr>
          <w:rFonts w:hint="eastAsia" w:ascii="宋体" w:hAnsi="宋体" w:cs="宋体"/>
          <w:sz w:val="24"/>
          <w:szCs w:val="24"/>
          <w:lang w:val="en-US" w:eastAsia="zh-CN"/>
        </w:rPr>
        <w:t>。</w:t>
      </w:r>
    </w:p>
    <w:p w14:paraId="771152BD">
      <w:pPr>
        <w:keepNext w:val="0"/>
        <w:keepLines w:val="0"/>
        <w:pageBreakBefore w:val="0"/>
        <w:widowControl/>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sz w:val="24"/>
          <w:szCs w:val="24"/>
          <w:lang w:val="en-US"/>
        </w:rPr>
      </w:pPr>
      <w:r>
        <w:rPr>
          <w:rFonts w:hint="eastAsia" w:ascii="宋体" w:hAnsi="宋体" w:cs="宋体"/>
          <w:b/>
          <w:bCs/>
          <w:sz w:val="24"/>
          <w:szCs w:val="24"/>
          <w:lang w:val="en-US" w:eastAsia="zh-CN"/>
        </w:rPr>
        <w:t xml:space="preserve">第九条  </w:t>
      </w:r>
      <w:r>
        <w:rPr>
          <w:rFonts w:hint="default" w:ascii="宋体" w:hAnsi="宋体" w:eastAsia="宋体" w:cs="宋体"/>
          <w:b/>
          <w:bCs/>
          <w:sz w:val="24"/>
          <w:szCs w:val="24"/>
          <w:lang w:val="en-US"/>
        </w:rPr>
        <w:t xml:space="preserve">售后服务 </w:t>
      </w:r>
      <w:r>
        <w:rPr>
          <w:rFonts w:hint="default" w:ascii="宋体" w:hAnsi="宋体" w:eastAsia="宋体" w:cs="宋体"/>
          <w:sz w:val="24"/>
          <w:szCs w:val="24"/>
          <w:lang w:val="en-US"/>
        </w:rPr>
        <w:t xml:space="preserve">  </w:t>
      </w:r>
    </w:p>
    <w:p w14:paraId="353A32F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1.乙方应为甲方提供所投产品自验收合格之日起至少</w:t>
      </w:r>
      <w:r>
        <w:rPr>
          <w:rFonts w:hint="default" w:ascii="宋体" w:hAnsi="宋体" w:eastAsia="宋体" w:cs="宋体"/>
          <w:color w:val="auto"/>
          <w:sz w:val="24"/>
          <w:szCs w:val="24"/>
          <w:u w:val="single"/>
          <w:lang w:val="en-US"/>
        </w:rPr>
        <w:t xml:space="preserve"> </w:t>
      </w:r>
      <w:r>
        <w:rPr>
          <w:rFonts w:hint="eastAsia" w:ascii="宋体" w:hAnsi="宋体" w:cs="宋体"/>
          <w:color w:val="auto"/>
          <w:sz w:val="24"/>
          <w:szCs w:val="24"/>
          <w:u w:val="single"/>
          <w:lang w:val="en-US" w:eastAsia="zh-CN"/>
        </w:rPr>
        <w:t xml:space="preserve">  </w:t>
      </w:r>
      <w:r>
        <w:rPr>
          <w:rFonts w:hint="default" w:ascii="宋体" w:hAnsi="宋体" w:eastAsia="宋体" w:cs="宋体"/>
          <w:color w:val="auto"/>
          <w:sz w:val="24"/>
          <w:szCs w:val="24"/>
          <w:u w:val="single"/>
          <w:lang w:val="en-US"/>
        </w:rPr>
        <w:t xml:space="preserve">  </w:t>
      </w:r>
      <w:r>
        <w:rPr>
          <w:rFonts w:hint="default" w:ascii="宋体" w:hAnsi="宋体" w:eastAsia="宋体" w:cs="宋体"/>
          <w:color w:val="auto"/>
          <w:sz w:val="24"/>
          <w:szCs w:val="24"/>
          <w:lang w:val="en-US"/>
        </w:rPr>
        <w:t>年</w:t>
      </w:r>
      <w:r>
        <w:rPr>
          <w:rFonts w:hint="default" w:ascii="宋体" w:hAnsi="宋体" w:eastAsia="宋体" w:cs="宋体"/>
          <w:sz w:val="24"/>
          <w:szCs w:val="24"/>
          <w:lang w:val="en-US"/>
        </w:rPr>
        <w:t>的免费软件升级及技术咨询(国家/行业有更长规定的从其规定)</w:t>
      </w:r>
      <w:r>
        <w:rPr>
          <w:rFonts w:hint="eastAsia" w:ascii="宋体" w:hAnsi="宋体" w:cs="宋体"/>
          <w:sz w:val="24"/>
          <w:szCs w:val="24"/>
          <w:lang w:val="en-US" w:eastAsia="zh-CN"/>
        </w:rPr>
        <w:t>，</w:t>
      </w:r>
      <w:r>
        <w:rPr>
          <w:rFonts w:hint="default" w:ascii="宋体" w:hAnsi="宋体" w:eastAsia="宋体" w:cs="宋体"/>
          <w:sz w:val="24"/>
          <w:szCs w:val="24"/>
          <w:lang w:val="en-US"/>
        </w:rPr>
        <w:t>并能够及时提供设备后期维修及易损件供应服务；乙方承诺在服务期内保持技术支持能力，若无法继续履约应提前</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个月书面通知甲方，并承担甲方获取同等服务的合理费用。所提供的服务内容应严格按国家最新发布的规范标准执行，符合投标文件的技术参数及质量标准，如发生质量问题由乙方承担全部责任。</w:t>
      </w:r>
    </w:p>
    <w:p w14:paraId="3C61956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2.乙方应负责货物及主要部件、配件维修更换。质保期内，乙方对货物提供全免费保修或免费更换；质保期后，如需更换零部件，乙方应以成本价提供。</w:t>
      </w:r>
    </w:p>
    <w:p w14:paraId="6A8160B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3.乙方应在收到甲方的售后服务通知</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分钟内响应，</w:t>
      </w:r>
      <w:r>
        <w:rPr>
          <w:rFonts w:hint="default" w:ascii="宋体" w:hAnsi="宋体" w:eastAsia="宋体" w:cs="宋体"/>
          <w:sz w:val="24"/>
          <w:szCs w:val="24"/>
          <w:u w:val="single"/>
          <w:lang w:val="en-US"/>
        </w:rPr>
        <w:t xml:space="preserve"> </w:t>
      </w:r>
      <w:r>
        <w:rPr>
          <w:rFonts w:hint="default" w:ascii="宋体" w:hAnsi="宋体" w:eastAsia="宋体" w:cs="宋体"/>
          <w:sz w:val="24"/>
          <w:szCs w:val="24"/>
          <w:u w:val="single"/>
          <w:lang w:val="en-US"/>
        </w:rPr>
        <w:tab/>
      </w:r>
      <w:r>
        <w:rPr>
          <w:rFonts w:hint="default" w:ascii="宋体" w:hAnsi="宋体" w:eastAsia="宋体" w:cs="宋体"/>
          <w:sz w:val="24"/>
          <w:szCs w:val="24"/>
          <w:lang w:val="en-US"/>
        </w:rPr>
        <w:t>小时到达现场维修。如</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小时内未处理完毕，乙方须采取包括但不限于提供备用设备、临时替代方案等有效应急 措施，确保不影响甲方的正常工作业务；逾期未采取有效应急措施的，每延误</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天乙方应向甲方支付合同总价款</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 的违约金(累计不超过合同总价款的</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w:t>
      </w:r>
    </w:p>
    <w:p w14:paraId="230ACFE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4.乙方应设有稳定可靠的售后服务机构或同类合作机构，可提供24小时热线服务和技术支持。服务机构须设专业人员提供远程服务，若远程维护无法解决的，乙方应及时安排人员前往现场处理故障。</w:t>
      </w:r>
    </w:p>
    <w:p w14:paraId="21104F69">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第十条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分包</w:t>
      </w:r>
    </w:p>
    <w:p w14:paraId="1AB1DF2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除招标采购文件事先说明且经甲方事先书面同意外，乙方不得分包其应履行的合同义务。</w:t>
      </w:r>
    </w:p>
    <w:p w14:paraId="757D9C2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第十一条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合同的生效</w:t>
      </w:r>
    </w:p>
    <w:p w14:paraId="5B30AA5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本合同经甲乙双方授权代表签订并加盖公章或合同专用章后生效。</w:t>
      </w:r>
    </w:p>
    <w:p w14:paraId="378DE18A">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第十二条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违约责任</w:t>
      </w:r>
    </w:p>
    <w:p w14:paraId="3C91FC3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1.若发现乙方有弄虚作假的，在投标阶段故意或随意夸大产品技术性能，乙方应无条件退货，本合同解除，乙方赔偿甲方相应的损失。</w:t>
      </w:r>
    </w:p>
    <w:p w14:paraId="0761309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2.乙方所交付的货物达不到本合同规定要求的，甲方有权拒收，乙方应</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日内采取补救措施，逾期未采取补救措施的，乙方应向甲方支付合同相关货物总价</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%的违约金，若甲方实际损失超过违约金的，乙方应赔偿超出部分损失。</w:t>
      </w:r>
    </w:p>
    <w:p w14:paraId="7116C23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3.甲方无正当理由拒收货物、拒付货款的，应向乙方偿付拒付货款</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%的违约金。甲方有正当理由(包括但不限于货物品牌、规格、质量不符合合同约定或未按约定时间交付)拒收货物的，应在验收时书面说明理由，乙方应在</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日内采取补救措施，因此产生的费用由乙方承担。</w:t>
      </w:r>
    </w:p>
    <w:p w14:paraId="01AD044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4.乙方无正当理由逾期交付货物的，每逾期</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天，乙方向甲方偿付逾期交货部分货款总额的</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‰的违约金。如乙方逾期交货达</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天，甲方有权解除合同，甲方解除合同的通知自到达乙方时生效。在此情况下，乙方给甲方造成的实际损失高于违约金的，对高出违约金的部分乙方应予以赔偿。</w:t>
      </w:r>
    </w:p>
    <w:p w14:paraId="3FF9641C">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5.在乙方承诺的或国家规定的质量保证期内(取两者中最长的期限)</w:t>
      </w:r>
      <w:r>
        <w:rPr>
          <w:rFonts w:hint="eastAsia" w:ascii="宋体" w:hAnsi="宋体" w:cs="宋体"/>
          <w:sz w:val="24"/>
          <w:szCs w:val="24"/>
          <w:lang w:val="en-US" w:eastAsia="zh-CN"/>
        </w:rPr>
        <w:t>，</w:t>
      </w:r>
      <w:r>
        <w:rPr>
          <w:rFonts w:hint="default" w:ascii="宋体" w:hAnsi="宋体" w:eastAsia="宋体" w:cs="宋体"/>
          <w:sz w:val="24"/>
          <w:szCs w:val="24"/>
          <w:lang w:val="en-US"/>
        </w:rPr>
        <w:t>如经乙方两次维修，货物仍不能达到合同约定的质量标准、运行效果的，甲方有权要求乙方更换为全新合格货物。如更换的货物仍无法正常使用的，甲方有权解除 合同并要求乙方退还已支付的全部款项，同时乙方应支付合同总价款</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%的违约金。</w:t>
      </w:r>
    </w:p>
    <w:p w14:paraId="66EE6ED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6.乙方违法本合同第九条售后服务约定，未能按规定响应时间、到达现场时间或修复故障时间提供服务的，每逾期</w:t>
      </w:r>
      <w:r>
        <w:rPr>
          <w:rFonts w:hint="default" w:ascii="宋体" w:hAnsi="宋体" w:eastAsia="宋体" w:cs="宋体"/>
          <w:sz w:val="24"/>
          <w:szCs w:val="24"/>
          <w:u w:val="single"/>
          <w:lang w:val="en-US"/>
        </w:rPr>
        <w:tab/>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小时，应向甲方支付合同总价款</w:t>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%的违约金，逾期超过</w:t>
      </w:r>
      <w:r>
        <w:rPr>
          <w:rFonts w:hint="default" w:ascii="宋体" w:hAnsi="宋体" w:eastAsia="宋体" w:cs="宋体"/>
          <w:sz w:val="24"/>
          <w:szCs w:val="24"/>
          <w:u w:val="single"/>
          <w:lang w:val="en-US"/>
        </w:rPr>
        <w:tab/>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小时仍未解决的，甲方有权自行委托第三方进行维修，所产生的费用由乙方承担，乙方还应支付合同总价款</w:t>
      </w:r>
      <w:r>
        <w:rPr>
          <w:rFonts w:hint="default" w:ascii="宋体" w:hAnsi="宋体" w:eastAsia="宋体" w:cs="宋体"/>
          <w:sz w:val="24"/>
          <w:szCs w:val="24"/>
          <w:u w:val="single"/>
          <w:lang w:val="en-US"/>
        </w:rPr>
        <w:tab/>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%的违约金。</w:t>
      </w:r>
    </w:p>
    <w:p w14:paraId="385582C4">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7.其它未尽事宜，以《中华人民共和国民法典》和《政府采购法》等有关法律法规规定为准，无相关规定的，双方协商解决。</w:t>
      </w:r>
    </w:p>
    <w:p w14:paraId="5A50C86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第十三条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不可抗力</w:t>
      </w:r>
    </w:p>
    <w:p w14:paraId="17F2F1A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甲、乙方中任何一方，因不可抗力不能按时或完全履行合同的，应及时通知对方，并在</w:t>
      </w:r>
      <w:r>
        <w:rPr>
          <w:rFonts w:hint="default" w:ascii="宋体" w:hAnsi="宋体" w:eastAsia="宋体" w:cs="宋体"/>
          <w:sz w:val="24"/>
          <w:szCs w:val="24"/>
          <w:u w:val="single"/>
          <w:lang w:val="en-US"/>
        </w:rPr>
        <w:tab/>
      </w:r>
      <w:r>
        <w:rPr>
          <w:rFonts w:hint="default" w:ascii="宋体" w:hAnsi="宋体" w:eastAsia="宋体" w:cs="宋体"/>
          <w:sz w:val="24"/>
          <w:szCs w:val="24"/>
          <w:u w:val="single"/>
          <w:lang w:val="en-US"/>
        </w:rPr>
        <w:t xml:space="preserve"> </w:t>
      </w:r>
      <w:r>
        <w:rPr>
          <w:rFonts w:hint="default" w:ascii="宋体" w:hAnsi="宋体" w:eastAsia="宋体" w:cs="宋体"/>
          <w:sz w:val="24"/>
          <w:szCs w:val="24"/>
          <w:lang w:val="en-US"/>
        </w:rPr>
        <w:t>个工作日内提供相应证明。未履行完合同部分是否继续履行、如何履行等问题，可由双方初步协商，并向主管部门和政府采购管理部门报告。确定为不可抗力原因造成的损失，免予承担责任。</w:t>
      </w:r>
    </w:p>
    <w:p w14:paraId="6FCB16D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第十四条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争议的解决方式</w:t>
      </w:r>
    </w:p>
    <w:p w14:paraId="0352267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1.因货物的质量问题发生争议的，应当邀请国家认可的质量检测机构对货物质量进行鉴定。货物完全符合合同约定标准的，鉴定费由甲方承担；主要技术参数不符合合同约定标准的，鉴定费用由乙方承担；部分指标不符合或双方对鉴定结论有异议的，鉴定费用由责任方承担(无法确定责任的，由双方平均承担)。</w:t>
      </w:r>
    </w:p>
    <w:p w14:paraId="7E82F8F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2.在解释或者执行本合同的过程中发生争议时，双方应通过协商方式解决。</w:t>
      </w:r>
    </w:p>
    <w:p w14:paraId="727CD88E">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3.经协商不能解决的争议，双方应向安康市有管辖权的法院提起诉讼。</w:t>
      </w:r>
    </w:p>
    <w:p w14:paraId="223E9B90">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sz w:val="24"/>
          <w:szCs w:val="24"/>
          <w:lang w:val="en-US"/>
        </w:rPr>
      </w:pPr>
      <w:r>
        <w:rPr>
          <w:rFonts w:hint="default" w:ascii="宋体" w:hAnsi="宋体" w:eastAsia="宋体" w:cs="宋体"/>
          <w:sz w:val="24"/>
          <w:szCs w:val="24"/>
          <w:lang w:val="en-US"/>
        </w:rPr>
        <w:t>4.在法院审理和仲裁期间，除有争议部分外，本合同其他部分可以履行的仍应按合同条款继续履行。</w:t>
      </w:r>
    </w:p>
    <w:p w14:paraId="1358B51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2" w:firstLineChars="200"/>
        <w:jc w:val="left"/>
        <w:textAlignment w:val="auto"/>
        <w:rPr>
          <w:rFonts w:hint="default" w:ascii="宋体" w:hAnsi="宋体" w:eastAsia="宋体" w:cs="宋体"/>
          <w:b/>
          <w:bCs/>
          <w:sz w:val="24"/>
          <w:szCs w:val="24"/>
          <w:lang w:val="en-US"/>
        </w:rPr>
      </w:pPr>
      <w:r>
        <w:rPr>
          <w:rFonts w:hint="default" w:ascii="宋体" w:hAnsi="宋体" w:eastAsia="宋体" w:cs="宋体"/>
          <w:b/>
          <w:bCs/>
          <w:sz w:val="24"/>
          <w:szCs w:val="24"/>
          <w:lang w:val="en-US"/>
        </w:rPr>
        <w:t>第十五条</w:t>
      </w:r>
      <w:r>
        <w:rPr>
          <w:rFonts w:hint="eastAsia" w:ascii="宋体" w:hAnsi="宋体" w:cs="宋体"/>
          <w:b/>
          <w:bCs/>
          <w:sz w:val="24"/>
          <w:szCs w:val="24"/>
          <w:lang w:val="en-US" w:eastAsia="zh-CN"/>
        </w:rPr>
        <w:t xml:space="preserve">  </w:t>
      </w:r>
      <w:r>
        <w:rPr>
          <w:rFonts w:hint="default" w:ascii="宋体" w:hAnsi="宋体" w:eastAsia="宋体" w:cs="宋体"/>
          <w:b/>
          <w:bCs/>
          <w:sz w:val="24"/>
          <w:szCs w:val="24"/>
          <w:lang w:val="en-US"/>
        </w:rPr>
        <w:t>其他</w:t>
      </w:r>
    </w:p>
    <w:p w14:paraId="1940CD11">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b w:val="0"/>
          <w:bCs w:val="0"/>
          <w:sz w:val="24"/>
          <w:szCs w:val="24"/>
          <w:lang w:val="en-US"/>
        </w:rPr>
      </w:pPr>
      <w:r>
        <w:rPr>
          <w:rFonts w:hint="default" w:ascii="宋体" w:hAnsi="宋体" w:eastAsia="宋体" w:cs="宋体"/>
          <w:b w:val="0"/>
          <w:bCs w:val="0"/>
          <w:sz w:val="24"/>
          <w:szCs w:val="24"/>
          <w:lang w:val="en-US"/>
        </w:rPr>
        <w:t>符合《政府采购法》规定的，经双方协商，办理政府采购手续后，可签订补充合同，所签订的补充合同与本合同具 有同等法律效力。</w:t>
      </w:r>
    </w:p>
    <w:p w14:paraId="460D87C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80" w:lineRule="exact"/>
        <w:ind w:firstLine="480" w:firstLineChars="200"/>
        <w:jc w:val="left"/>
        <w:textAlignment w:val="auto"/>
        <w:rPr>
          <w:rFonts w:hint="default" w:ascii="宋体" w:hAnsi="宋体" w:eastAsia="宋体" w:cs="宋体"/>
          <w:b w:val="0"/>
          <w:bCs w:val="0"/>
          <w:sz w:val="24"/>
          <w:szCs w:val="24"/>
          <w:lang w:val="en-US"/>
        </w:rPr>
      </w:pPr>
      <w:r>
        <w:rPr>
          <w:rFonts w:hint="default" w:ascii="宋体" w:hAnsi="宋体" w:eastAsia="宋体" w:cs="宋体"/>
          <w:b w:val="0"/>
          <w:bCs w:val="0"/>
          <w:sz w:val="24"/>
          <w:szCs w:val="24"/>
          <w:lang w:val="en-US"/>
        </w:rPr>
        <w:t>本合同一式</w:t>
      </w:r>
      <w:r>
        <w:rPr>
          <w:rFonts w:hint="default" w:ascii="宋体" w:hAnsi="宋体" w:eastAsia="宋体" w:cs="宋体"/>
          <w:b w:val="0"/>
          <w:bCs w:val="0"/>
          <w:sz w:val="24"/>
          <w:szCs w:val="24"/>
          <w:u w:val="single"/>
          <w:lang w:val="en-US"/>
        </w:rPr>
        <w:t xml:space="preserve">    </w:t>
      </w:r>
      <w:r>
        <w:rPr>
          <w:rFonts w:hint="default" w:ascii="宋体" w:hAnsi="宋体" w:eastAsia="宋体" w:cs="宋体"/>
          <w:b w:val="0"/>
          <w:bCs w:val="0"/>
          <w:sz w:val="24"/>
          <w:szCs w:val="24"/>
          <w:lang w:val="en-US"/>
        </w:rPr>
        <w:t>份，甲、乙双方各执</w:t>
      </w:r>
      <w:r>
        <w:rPr>
          <w:rFonts w:hint="default" w:ascii="宋体" w:hAnsi="宋体" w:eastAsia="宋体" w:cs="宋体"/>
          <w:b w:val="0"/>
          <w:bCs w:val="0"/>
          <w:sz w:val="24"/>
          <w:szCs w:val="24"/>
          <w:u w:val="single"/>
          <w:lang w:val="en-US"/>
        </w:rPr>
        <w:t xml:space="preserve">    </w:t>
      </w:r>
      <w:r>
        <w:rPr>
          <w:rFonts w:hint="default" w:ascii="宋体" w:hAnsi="宋体" w:eastAsia="宋体" w:cs="宋体"/>
          <w:b w:val="0"/>
          <w:bCs w:val="0"/>
          <w:sz w:val="24"/>
          <w:szCs w:val="24"/>
          <w:lang w:val="en-US"/>
        </w:rPr>
        <w:t>份。</w:t>
      </w:r>
    </w:p>
    <w:p w14:paraId="26DD3EC8">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default" w:ascii="宋体" w:hAnsi="宋体" w:eastAsia="宋体" w:cs="宋体"/>
          <w:b w:val="0"/>
          <w:bCs w:val="0"/>
          <w:sz w:val="24"/>
          <w:szCs w:val="24"/>
          <w:lang w:val="en-US"/>
        </w:rPr>
      </w:pPr>
    </w:p>
    <w:p w14:paraId="34A30EE7">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default" w:ascii="宋体" w:hAnsi="宋体" w:eastAsia="宋体" w:cs="宋体"/>
          <w:b w:val="0"/>
          <w:bCs w:val="0"/>
          <w:sz w:val="24"/>
          <w:szCs w:val="24"/>
          <w:lang w:val="en-US"/>
        </w:rPr>
      </w:pPr>
    </w:p>
    <w:p w14:paraId="088711E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rPr>
        <w:t>甲方名称： (盖章)</w:t>
      </w:r>
      <w:r>
        <w:rPr>
          <w:rFonts w:hint="eastAsia" w:ascii="宋体" w:hAnsi="宋体" w:cs="宋体"/>
          <w:b w:val="0"/>
          <w:bCs w:val="0"/>
          <w:sz w:val="24"/>
          <w:szCs w:val="24"/>
          <w:lang w:val="en-US" w:eastAsia="zh-CN"/>
        </w:rPr>
        <w:t xml:space="preserve">                           </w:t>
      </w:r>
      <w:r>
        <w:rPr>
          <w:rFonts w:hint="default" w:ascii="宋体" w:hAnsi="宋体" w:eastAsia="宋体" w:cs="宋体"/>
          <w:b w:val="0"/>
          <w:bCs w:val="0"/>
          <w:sz w:val="24"/>
          <w:szCs w:val="24"/>
          <w:lang w:val="en-US"/>
        </w:rPr>
        <w:t>乙方名称 ： (盖章)</w:t>
      </w:r>
    </w:p>
    <w:p w14:paraId="3D59E473">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default" w:ascii="宋体" w:hAnsi="宋体" w:eastAsia="宋体" w:cs="宋体"/>
          <w:b w:val="0"/>
          <w:bCs w:val="0"/>
          <w:sz w:val="24"/>
          <w:szCs w:val="24"/>
          <w:lang w:val="en-US" w:eastAsia="zh-CN"/>
        </w:rPr>
      </w:pPr>
      <w:r>
        <w:rPr>
          <w:rFonts w:hint="default" w:ascii="宋体" w:hAnsi="宋体" w:eastAsia="宋体" w:cs="宋体"/>
          <w:b w:val="0"/>
          <w:bCs w:val="0"/>
          <w:sz w:val="24"/>
          <w:szCs w:val="24"/>
          <w:lang w:val="en-US"/>
        </w:rPr>
        <w:t xml:space="preserve">地址： </w:t>
      </w:r>
      <w:r>
        <w:rPr>
          <w:rFonts w:hint="eastAsia" w:ascii="宋体" w:hAnsi="宋体" w:cs="宋体"/>
          <w:b w:val="0"/>
          <w:bCs w:val="0"/>
          <w:sz w:val="24"/>
          <w:szCs w:val="24"/>
          <w:lang w:val="en-US" w:eastAsia="zh-CN"/>
        </w:rPr>
        <w:t xml:space="preserve">                                     </w:t>
      </w:r>
      <w:r>
        <w:rPr>
          <w:rFonts w:hint="default" w:ascii="宋体" w:hAnsi="宋体" w:eastAsia="宋体" w:cs="宋体"/>
          <w:b w:val="0"/>
          <w:bCs w:val="0"/>
          <w:sz w:val="24"/>
          <w:szCs w:val="24"/>
          <w:lang w:val="en-US"/>
        </w:rPr>
        <w:t>地址：</w:t>
      </w:r>
    </w:p>
    <w:p w14:paraId="41FFEA3B">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default" w:ascii="宋体" w:hAnsi="宋体" w:eastAsia="宋体" w:cs="宋体"/>
          <w:b w:val="0"/>
          <w:bCs w:val="0"/>
          <w:sz w:val="24"/>
          <w:szCs w:val="24"/>
          <w:lang w:val="en-US"/>
        </w:rPr>
      </w:pPr>
      <w:r>
        <w:rPr>
          <w:rFonts w:hint="default" w:ascii="宋体" w:hAnsi="宋体" w:eastAsia="宋体" w:cs="宋体"/>
          <w:b w:val="0"/>
          <w:bCs w:val="0"/>
          <w:sz w:val="24"/>
          <w:szCs w:val="24"/>
          <w:lang w:val="en-US"/>
        </w:rPr>
        <w:t>法定代表人或授权代表(签字):</w:t>
      </w:r>
      <w:r>
        <w:rPr>
          <w:rFonts w:hint="eastAsia" w:ascii="宋体" w:hAnsi="宋体" w:cs="宋体"/>
          <w:b w:val="0"/>
          <w:bCs w:val="0"/>
          <w:sz w:val="24"/>
          <w:szCs w:val="24"/>
          <w:lang w:val="en-US" w:eastAsia="zh-CN"/>
        </w:rPr>
        <w:t xml:space="preserve">                 </w:t>
      </w:r>
      <w:r>
        <w:rPr>
          <w:rFonts w:hint="default" w:ascii="宋体" w:hAnsi="宋体" w:eastAsia="宋体" w:cs="宋体"/>
          <w:b w:val="0"/>
          <w:bCs w:val="0"/>
          <w:sz w:val="24"/>
          <w:szCs w:val="24"/>
          <w:lang w:val="en-US"/>
        </w:rPr>
        <w:t>法定代表人或授权代表(签字):</w:t>
      </w:r>
    </w:p>
    <w:p w14:paraId="74519BF5">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rPr>
          <w:rFonts w:hint="default" w:ascii="宋体" w:hAnsi="宋体" w:eastAsia="宋体" w:cs="宋体"/>
          <w:b w:val="0"/>
          <w:bCs w:val="0"/>
          <w:sz w:val="24"/>
          <w:szCs w:val="24"/>
          <w:lang w:val="en-US"/>
        </w:rPr>
      </w:pPr>
    </w:p>
    <w:p w14:paraId="7BAF1312">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2" w:firstLineChars="200"/>
        <w:jc w:val="left"/>
        <w:textAlignment w:val="auto"/>
        <w:rPr>
          <w:rFonts w:hint="default" w:ascii="宋体" w:hAnsi="宋体" w:eastAsia="宋体" w:cs="宋体"/>
          <w:b/>
          <w:bCs/>
          <w:sz w:val="24"/>
          <w:szCs w:val="24"/>
          <w:lang w:val="en-US"/>
        </w:rPr>
      </w:pPr>
    </w:p>
    <w:p w14:paraId="69465BDF">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0" w:firstLineChars="200"/>
        <w:jc w:val="left"/>
        <w:textAlignment w:val="auto"/>
        <w:outlineLvl w:val="9"/>
        <w:rPr>
          <w:rFonts w:hint="default" w:ascii="宋体" w:hAnsi="宋体" w:eastAsia="宋体" w:cs="宋体"/>
          <w:b w:val="0"/>
          <w:bCs w:val="0"/>
          <w:color w:val="FF0000"/>
          <w:sz w:val="24"/>
          <w:szCs w:val="24"/>
          <w:lang w:val="en-US"/>
        </w:rPr>
      </w:pPr>
      <w:r>
        <w:rPr>
          <w:rFonts w:hint="default" w:ascii="宋体" w:hAnsi="宋体" w:eastAsia="宋体" w:cs="宋体"/>
          <w:b w:val="0"/>
          <w:bCs w:val="0"/>
          <w:sz w:val="24"/>
          <w:szCs w:val="24"/>
          <w:lang w:val="en-US"/>
        </w:rPr>
        <w:t>年      月        日                            年     月       日</w:t>
      </w:r>
    </w:p>
    <w:p w14:paraId="3BBF555D">
      <w:pPr>
        <w:keepNext w:val="0"/>
        <w:keepLines w:val="0"/>
        <w:pageBreakBefore w:val="0"/>
        <w:widowControl/>
        <w:numPr>
          <w:ilvl w:val="0"/>
          <w:numId w:val="0"/>
        </w:numPr>
        <w:suppressLineNumbers w:val="0"/>
        <w:kinsoku/>
        <w:wordWrap/>
        <w:overflowPunct/>
        <w:topLinePunct w:val="0"/>
        <w:autoSpaceDE/>
        <w:autoSpaceDN/>
        <w:bidi w:val="0"/>
        <w:adjustRightInd/>
        <w:snapToGrid/>
        <w:spacing w:beforeAutospacing="0" w:afterAutospacing="0" w:line="460" w:lineRule="exact"/>
        <w:ind w:firstLine="482" w:firstLineChars="200"/>
        <w:jc w:val="left"/>
        <w:textAlignment w:val="auto"/>
        <w:rPr>
          <w:rFonts w:hint="default" w:ascii="宋体" w:hAnsi="宋体" w:eastAsia="宋体" w:cs="宋体"/>
          <w:color w:val="auto"/>
          <w:sz w:val="24"/>
          <w:szCs w:val="24"/>
          <w:lang w:val="en-US"/>
        </w:rPr>
      </w:pPr>
      <w:r>
        <w:rPr>
          <w:rFonts w:hint="default" w:ascii="宋体" w:hAnsi="宋体" w:eastAsia="宋体" w:cs="宋体"/>
          <w:b/>
          <w:bCs/>
          <w:color w:val="auto"/>
          <w:sz w:val="24"/>
          <w:szCs w:val="24"/>
          <w:lang w:val="en-US"/>
        </w:rPr>
        <w:t xml:space="preserve">  </w:t>
      </w:r>
      <w:r>
        <w:rPr>
          <w:rFonts w:hint="default" w:ascii="宋体" w:hAnsi="宋体" w:eastAsia="宋体" w:cs="宋体"/>
          <w:color w:val="auto"/>
          <w:sz w:val="24"/>
          <w:szCs w:val="24"/>
          <w:lang w:val="en-US"/>
        </w:rPr>
        <w:t xml:space="preserve">        </w:t>
      </w:r>
    </w:p>
    <w:p w14:paraId="5EB563FF">
      <w:pPr>
        <w:pStyle w:val="2"/>
        <w:keepNext/>
        <w:keepLines/>
        <w:pageBreakBefore w:val="0"/>
        <w:widowControl w:val="0"/>
        <w:kinsoku/>
        <w:wordWrap/>
        <w:overflowPunct/>
        <w:topLinePunct w:val="0"/>
        <w:autoSpaceDE/>
        <w:autoSpaceDN/>
        <w:bidi w:val="0"/>
        <w:adjustRightInd/>
        <w:snapToGrid/>
        <w:spacing w:line="579" w:lineRule="auto"/>
        <w:jc w:val="center"/>
        <w:textAlignment w:val="auto"/>
        <w:rPr>
          <w:rFonts w:hint="eastAsia" w:eastAsia="宋体"/>
          <w:color w:val="auto"/>
          <w:lang w:val="en-US" w:eastAsia="zh-CN"/>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02" w:name="_Toc26541333"/>
      <w:bookmarkStart w:id="103" w:name="_Toc9064"/>
      <w:bookmarkStart w:id="104" w:name="_Toc23258622"/>
      <w:r>
        <w:rPr>
          <w:rFonts w:hint="eastAsia"/>
          <w:color w:val="auto"/>
          <w:lang w:val="en-US" w:eastAsia="zh-CN"/>
        </w:rPr>
        <w:t xml:space="preserve"> </w:t>
      </w:r>
    </w:p>
    <w:p w14:paraId="352F038D">
      <w:pPr>
        <w:pStyle w:val="2"/>
        <w:keepNext/>
        <w:keepLines/>
        <w:pageBreakBefore w:val="0"/>
        <w:widowControl w:val="0"/>
        <w:kinsoku/>
        <w:wordWrap/>
        <w:overflowPunct/>
        <w:topLinePunct w:val="0"/>
        <w:autoSpaceDE/>
        <w:autoSpaceDN/>
        <w:bidi w:val="0"/>
        <w:adjustRightInd/>
        <w:snapToGrid/>
        <w:spacing w:line="579" w:lineRule="auto"/>
        <w:jc w:val="center"/>
        <w:textAlignment w:val="auto"/>
        <w:rPr>
          <w:color w:val="auto"/>
        </w:rPr>
      </w:pPr>
      <w:bookmarkStart w:id="105" w:name="_Toc30111"/>
      <w:r>
        <w:rPr>
          <w:rFonts w:hint="eastAsia"/>
          <w:color w:val="auto"/>
        </w:rPr>
        <w:t>第</w:t>
      </w:r>
      <w:r>
        <w:rPr>
          <w:rFonts w:hint="eastAsia"/>
          <w:color w:val="auto"/>
          <w:lang w:val="en-US" w:eastAsia="zh-CN"/>
        </w:rPr>
        <w:t>七</w:t>
      </w:r>
      <w:r>
        <w:rPr>
          <w:rFonts w:hint="eastAsia"/>
          <w:color w:val="auto"/>
        </w:rPr>
        <w:t>章 投标文件</w:t>
      </w:r>
      <w:bookmarkEnd w:id="99"/>
      <w:bookmarkEnd w:id="100"/>
      <w:r>
        <w:rPr>
          <w:rFonts w:hint="eastAsia"/>
          <w:color w:val="auto"/>
        </w:rPr>
        <w:t>（格式）</w:t>
      </w:r>
      <w:bookmarkEnd w:id="101"/>
      <w:bookmarkEnd w:id="102"/>
      <w:bookmarkEnd w:id="103"/>
      <w:bookmarkEnd w:id="104"/>
      <w:bookmarkEnd w:id="105"/>
    </w:p>
    <w:p w14:paraId="3C4EAAB2">
      <w:pPr>
        <w:widowControl/>
        <w:spacing w:line="400" w:lineRule="exact"/>
        <w:jc w:val="right"/>
        <w:rPr>
          <w:rFonts w:cs="仿宋" w:asciiTheme="minorEastAsia" w:hAnsiTheme="minorEastAsia" w:eastAsiaTheme="minorEastAsia"/>
          <w:b/>
          <w:color w:val="auto"/>
          <w:sz w:val="36"/>
          <w:szCs w:val="36"/>
          <w:bdr w:val="single" w:color="auto" w:sz="4" w:space="0"/>
          <w:shd w:val="pct10" w:color="auto" w:fill="FFFFFF"/>
        </w:rPr>
      </w:pPr>
      <w:r>
        <w:rPr>
          <w:rFonts w:hint="eastAsia" w:cs="仿宋" w:asciiTheme="minorEastAsia" w:hAnsiTheme="minorEastAsia" w:eastAsiaTheme="minorEastAsia"/>
          <w:b/>
          <w:color w:val="auto"/>
          <w:sz w:val="36"/>
          <w:szCs w:val="36"/>
          <w:bdr w:val="single" w:color="auto" w:sz="4" w:space="0"/>
          <w:shd w:val="pct10" w:color="auto" w:fill="FFFFFF"/>
        </w:rPr>
        <w:t>政府采购项目</w:t>
      </w:r>
    </w:p>
    <w:p w14:paraId="604016FA">
      <w:pPr>
        <w:rPr>
          <w:color w:val="auto"/>
        </w:rPr>
      </w:pPr>
    </w:p>
    <w:p w14:paraId="6C93BB5B">
      <w:pPr>
        <w:widowControl/>
        <w:spacing w:line="440" w:lineRule="exact"/>
        <w:rPr>
          <w:rFonts w:cs="仿宋" w:asciiTheme="minorEastAsia" w:hAnsiTheme="minorEastAsia" w:eastAsiaTheme="minorEastAsia"/>
          <w:bCs/>
          <w:color w:val="auto"/>
          <w:sz w:val="32"/>
          <w:szCs w:val="32"/>
        </w:rPr>
      </w:pPr>
      <w:r>
        <w:rPr>
          <w:rFonts w:hint="eastAsia" w:ascii="宋体" w:hAnsi="宋体" w:cs="宋体"/>
          <w:b/>
          <w:bCs/>
          <w:color w:val="auto"/>
          <w:kern w:val="44"/>
          <w:sz w:val="32"/>
          <w:szCs w:val="32"/>
        </w:rPr>
        <w:t>项目编号</w:t>
      </w:r>
      <w:r>
        <w:rPr>
          <w:rFonts w:hint="eastAsia" w:ascii="宋体" w:hAnsi="宋体" w:cs="宋体"/>
          <w:b/>
          <w:bCs/>
          <w:color w:val="auto"/>
          <w:kern w:val="44"/>
          <w:sz w:val="32"/>
          <w:szCs w:val="32"/>
          <w:lang w:eastAsia="zh-CN"/>
        </w:rPr>
        <w:t>：</w:t>
      </w:r>
      <w:r>
        <w:rPr>
          <w:rFonts w:hint="eastAsia" w:cs="仿宋" w:asciiTheme="minorEastAsia" w:hAnsiTheme="minorEastAsia" w:eastAsiaTheme="minorEastAsia"/>
          <w:bCs/>
          <w:color w:val="auto"/>
          <w:sz w:val="32"/>
          <w:szCs w:val="32"/>
        </w:rPr>
        <w:t xml:space="preserve"> </w:t>
      </w:r>
    </w:p>
    <w:p w14:paraId="62166F93">
      <w:pPr>
        <w:spacing w:line="480" w:lineRule="exact"/>
        <w:rPr>
          <w:rFonts w:ascii="宋体" w:hAnsi="宋体"/>
          <w:b/>
          <w:color w:val="auto"/>
          <w:sz w:val="180"/>
          <w:szCs w:val="48"/>
        </w:rPr>
      </w:pPr>
    </w:p>
    <w:p w14:paraId="575D6EA2">
      <w:pPr>
        <w:spacing w:line="480" w:lineRule="exact"/>
        <w:rPr>
          <w:rFonts w:ascii="宋体" w:hAnsi="宋体"/>
          <w:b/>
          <w:color w:val="auto"/>
          <w:sz w:val="180"/>
          <w:szCs w:val="48"/>
        </w:rPr>
      </w:pPr>
    </w:p>
    <w:p w14:paraId="150E0041">
      <w:pPr>
        <w:spacing w:line="480" w:lineRule="exact"/>
        <w:rPr>
          <w:rFonts w:ascii="宋体" w:hAnsi="宋体"/>
          <w:b/>
          <w:color w:val="auto"/>
          <w:sz w:val="180"/>
          <w:szCs w:val="48"/>
        </w:rPr>
      </w:pPr>
    </w:p>
    <w:p w14:paraId="5D207778">
      <w:pPr>
        <w:spacing w:line="480" w:lineRule="exact"/>
        <w:rPr>
          <w:rFonts w:ascii="宋体" w:hAnsi="宋体"/>
          <w:b/>
          <w:color w:val="auto"/>
          <w:sz w:val="180"/>
          <w:szCs w:val="48"/>
        </w:rPr>
      </w:pPr>
    </w:p>
    <w:p w14:paraId="03D9C536">
      <w:pPr>
        <w:pStyle w:val="73"/>
        <w:spacing w:line="360" w:lineRule="auto"/>
        <w:ind w:left="3970" w:leftChars="418" w:hanging="3092" w:hangingChars="700"/>
        <w:rPr>
          <w:rFonts w:ascii="宋体" w:hAnsi="宋体"/>
          <w:b/>
          <w:color w:val="auto"/>
          <w:sz w:val="44"/>
          <w:szCs w:val="20"/>
        </w:rPr>
      </w:pPr>
      <w:r>
        <w:rPr>
          <w:rFonts w:hint="eastAsia" w:ascii="宋体" w:hAnsi="宋体"/>
          <w:b/>
          <w:color w:val="auto"/>
          <w:sz w:val="44"/>
          <w:szCs w:val="20"/>
        </w:rPr>
        <w:t xml:space="preserve"> </w:t>
      </w:r>
      <w:r>
        <w:rPr>
          <w:rFonts w:hint="eastAsia" w:ascii="宋体" w:hAnsi="宋体"/>
          <w:b/>
          <w:color w:val="auto"/>
          <w:sz w:val="44"/>
          <w:szCs w:val="20"/>
          <w:u w:val="single"/>
        </w:rPr>
        <w:t xml:space="preserve">                       </w:t>
      </w:r>
      <w:r>
        <w:rPr>
          <w:rFonts w:hint="eastAsia" w:ascii="宋体" w:hAnsi="宋体"/>
          <w:b/>
          <w:color w:val="auto"/>
          <w:sz w:val="44"/>
          <w:szCs w:val="20"/>
        </w:rPr>
        <w:t xml:space="preserve"> 项目</w:t>
      </w:r>
    </w:p>
    <w:p w14:paraId="2A9D8DA1">
      <w:pPr>
        <w:rPr>
          <w:color w:val="auto"/>
        </w:rPr>
      </w:pPr>
    </w:p>
    <w:p w14:paraId="09885060">
      <w:pPr>
        <w:rPr>
          <w:color w:val="auto"/>
        </w:rPr>
      </w:pPr>
    </w:p>
    <w:p w14:paraId="694527F3">
      <w:pPr>
        <w:pStyle w:val="18"/>
        <w:rPr>
          <w:color w:val="auto"/>
          <w:lang w:val="en-US" w:bidi="ar-SA"/>
        </w:rPr>
      </w:pPr>
    </w:p>
    <w:p w14:paraId="1DBCC870">
      <w:pPr>
        <w:rPr>
          <w:color w:val="auto"/>
        </w:rPr>
      </w:pPr>
    </w:p>
    <w:p w14:paraId="409FE87C">
      <w:pPr>
        <w:spacing w:line="360" w:lineRule="auto"/>
        <w:jc w:val="center"/>
        <w:rPr>
          <w:rFonts w:ascii="宋体" w:hAnsi="宋体"/>
          <w:b/>
          <w:color w:val="auto"/>
          <w:sz w:val="28"/>
          <w:szCs w:val="28"/>
        </w:rPr>
      </w:pPr>
      <w:r>
        <w:rPr>
          <w:rFonts w:hint="eastAsia" w:ascii="宋体" w:hAnsi="宋体"/>
          <w:color w:val="auto"/>
          <w:sz w:val="72"/>
          <w:szCs w:val="72"/>
        </w:rPr>
        <w:t>投标文件</w:t>
      </w:r>
    </w:p>
    <w:p w14:paraId="665CD90C">
      <w:pPr>
        <w:spacing w:line="360" w:lineRule="auto"/>
        <w:rPr>
          <w:rFonts w:ascii="宋体" w:hAnsi="宋体"/>
          <w:b/>
          <w:color w:val="auto"/>
          <w:sz w:val="28"/>
          <w:szCs w:val="28"/>
        </w:rPr>
      </w:pPr>
    </w:p>
    <w:p w14:paraId="208A1996">
      <w:pPr>
        <w:spacing w:line="360" w:lineRule="auto"/>
        <w:jc w:val="center"/>
        <w:rPr>
          <w:rFonts w:ascii="宋体" w:hAnsi="宋体"/>
          <w:b/>
          <w:color w:val="auto"/>
          <w:sz w:val="28"/>
          <w:szCs w:val="28"/>
        </w:rPr>
      </w:pPr>
    </w:p>
    <w:p w14:paraId="714A2A45">
      <w:pPr>
        <w:widowControl/>
        <w:spacing w:line="360" w:lineRule="auto"/>
        <w:ind w:left="199" w:leftChars="95" w:firstLine="360" w:firstLineChars="150"/>
        <w:rPr>
          <w:rFonts w:ascii="宋体" w:hAnsi="宋体"/>
          <w:color w:val="auto"/>
          <w:sz w:val="24"/>
          <w:szCs w:val="24"/>
        </w:rPr>
      </w:pPr>
    </w:p>
    <w:p w14:paraId="7CA18EA0">
      <w:pPr>
        <w:widowControl/>
        <w:spacing w:line="360" w:lineRule="auto"/>
        <w:ind w:left="199" w:leftChars="95" w:firstLine="360" w:firstLineChars="150"/>
        <w:rPr>
          <w:rFonts w:ascii="宋体" w:hAnsi="宋体"/>
          <w:color w:val="auto"/>
          <w:sz w:val="24"/>
          <w:szCs w:val="24"/>
        </w:rPr>
      </w:pPr>
    </w:p>
    <w:p w14:paraId="03127625">
      <w:pPr>
        <w:pStyle w:val="38"/>
        <w:rPr>
          <w:color w:val="auto"/>
        </w:rPr>
      </w:pPr>
    </w:p>
    <w:p w14:paraId="452A8B9B">
      <w:pPr>
        <w:widowControl/>
        <w:spacing w:line="360" w:lineRule="auto"/>
        <w:ind w:left="199" w:leftChars="95" w:firstLine="360" w:firstLineChars="150"/>
        <w:rPr>
          <w:rFonts w:ascii="宋体" w:hAnsi="宋体"/>
          <w:color w:val="auto"/>
          <w:sz w:val="24"/>
          <w:szCs w:val="24"/>
          <w:u w:val="single"/>
        </w:rPr>
      </w:pPr>
    </w:p>
    <w:p w14:paraId="40CA83A2">
      <w:pPr>
        <w:snapToGrid w:val="0"/>
        <w:spacing w:line="360" w:lineRule="auto"/>
        <w:ind w:firstLine="640" w:firstLineChars="200"/>
        <w:jc w:val="left"/>
        <w:rPr>
          <w:rFonts w:ascii="宋体"/>
          <w:color w:val="auto"/>
          <w:sz w:val="32"/>
          <w:szCs w:val="32"/>
          <w:u w:val="single"/>
        </w:rPr>
      </w:pPr>
      <w:bookmarkStart w:id="106" w:name="_Toc528240831"/>
      <w:bookmarkStart w:id="107" w:name="_Toc484890086"/>
      <w:r>
        <w:rPr>
          <w:rFonts w:hint="eastAsia" w:ascii="宋体" w:hAnsi="宋体" w:cs="宋体"/>
          <w:color w:val="auto"/>
          <w:sz w:val="32"/>
          <w:szCs w:val="32"/>
          <w:lang w:val="zh-CN"/>
        </w:rPr>
        <w:t>供应商（单位名称及公章）：</w:t>
      </w:r>
      <w:r>
        <w:rPr>
          <w:rFonts w:hint="eastAsia" w:ascii="宋体" w:hAnsi="宋体" w:cs="宋体"/>
          <w:color w:val="auto"/>
          <w:sz w:val="24"/>
          <w:szCs w:val="24"/>
        </w:rPr>
        <w:t>____________________________</w:t>
      </w:r>
    </w:p>
    <w:p w14:paraId="1D5CC6FB">
      <w:pPr>
        <w:snapToGrid w:val="0"/>
        <w:spacing w:line="360" w:lineRule="auto"/>
        <w:ind w:firstLine="640" w:firstLineChars="200"/>
        <w:jc w:val="left"/>
        <w:rPr>
          <w:color w:val="auto"/>
        </w:rPr>
      </w:pPr>
      <w:r>
        <w:rPr>
          <w:rFonts w:hint="eastAsia" w:ascii="宋体" w:hAnsi="宋体" w:cs="宋体"/>
          <w:color w:val="auto"/>
          <w:sz w:val="32"/>
          <w:szCs w:val="32"/>
          <w:lang w:val="zh-CN"/>
        </w:rPr>
        <w:t>法定代表人</w:t>
      </w:r>
      <w:r>
        <w:rPr>
          <w:rFonts w:hint="eastAsia" w:ascii="宋体" w:hAnsi="宋体" w:cs="宋体"/>
          <w:color w:val="auto"/>
          <w:sz w:val="32"/>
          <w:szCs w:val="32"/>
        </w:rPr>
        <w:t>或</w:t>
      </w:r>
      <w:r>
        <w:rPr>
          <w:rFonts w:hint="eastAsia" w:ascii="宋体" w:hAnsi="宋体" w:cs="宋体"/>
          <w:color w:val="auto"/>
          <w:sz w:val="32"/>
          <w:szCs w:val="32"/>
          <w:lang w:val="zh-CN"/>
        </w:rPr>
        <w:t>被授权人（签字</w:t>
      </w:r>
      <w:r>
        <w:rPr>
          <w:rFonts w:hint="eastAsia" w:ascii="宋体" w:hAnsi="宋体" w:cs="宋体"/>
          <w:color w:val="auto"/>
          <w:sz w:val="32"/>
          <w:szCs w:val="32"/>
        </w:rPr>
        <w:t>或盖章</w:t>
      </w:r>
      <w:r>
        <w:rPr>
          <w:rFonts w:hint="eastAsia" w:ascii="宋体" w:hAnsi="宋体" w:cs="宋体"/>
          <w:color w:val="auto"/>
          <w:sz w:val="32"/>
          <w:szCs w:val="32"/>
          <w:lang w:val="zh-CN"/>
        </w:rPr>
        <w:t>）：</w:t>
      </w:r>
      <w:r>
        <w:rPr>
          <w:rFonts w:hint="eastAsia" w:ascii="宋体" w:hAnsi="宋体" w:cs="宋体"/>
          <w:color w:val="auto"/>
          <w:sz w:val="24"/>
          <w:szCs w:val="24"/>
        </w:rPr>
        <w:t>_________________</w:t>
      </w:r>
    </w:p>
    <w:p w14:paraId="1A998941">
      <w:pPr>
        <w:snapToGrid w:val="0"/>
        <w:spacing w:line="360" w:lineRule="auto"/>
        <w:ind w:firstLine="640" w:firstLineChars="200"/>
        <w:jc w:val="left"/>
        <w:rPr>
          <w:rFonts w:ascii="宋体"/>
          <w:color w:val="auto"/>
          <w:sz w:val="36"/>
          <w:szCs w:val="36"/>
          <w:u w:val="single"/>
        </w:rPr>
      </w:pPr>
      <w:r>
        <w:rPr>
          <w:rFonts w:hint="eastAsia" w:ascii="宋体" w:hAnsi="宋体" w:cs="宋体"/>
          <w:color w:val="auto"/>
          <w:sz w:val="32"/>
          <w:szCs w:val="32"/>
        </w:rPr>
        <w:t>日期</w:t>
      </w:r>
      <w:r>
        <w:rPr>
          <w:rFonts w:hint="eastAsia" w:ascii="宋体" w:hAnsi="宋体" w:cs="宋体"/>
          <w:color w:val="auto"/>
          <w:sz w:val="32"/>
          <w:szCs w:val="32"/>
          <w:lang w:val="zh-CN"/>
        </w:rPr>
        <w:t>：</w:t>
      </w:r>
      <w:r>
        <w:rPr>
          <w:rFonts w:hint="eastAsia" w:ascii="宋体" w:hAnsi="宋体" w:cs="宋体"/>
          <w:color w:val="auto"/>
          <w:sz w:val="24"/>
          <w:szCs w:val="24"/>
        </w:rPr>
        <w:t>________________________________________________________</w:t>
      </w:r>
    </w:p>
    <w:p w14:paraId="62D4E83E">
      <w:pPr>
        <w:widowControl/>
        <w:ind w:firstLine="2400" w:firstLineChars="250"/>
        <w:jc w:val="left"/>
        <w:rPr>
          <w:color w:val="auto"/>
          <w:sz w:val="96"/>
        </w:rPr>
      </w:pPr>
    </w:p>
    <w:p w14:paraId="0CCBCB28">
      <w:pPr>
        <w:pStyle w:val="35"/>
        <w:rPr>
          <w:color w:val="auto"/>
        </w:rPr>
      </w:pPr>
    </w:p>
    <w:p w14:paraId="1D64071C">
      <w:pPr>
        <w:widowControl/>
        <w:jc w:val="center"/>
        <w:rPr>
          <w:color w:val="auto"/>
          <w:sz w:val="52"/>
          <w:szCs w:val="18"/>
        </w:rPr>
      </w:pPr>
      <w:r>
        <w:rPr>
          <w:rFonts w:hint="eastAsia"/>
          <w:color w:val="auto"/>
          <w:sz w:val="52"/>
          <w:szCs w:val="18"/>
        </w:rPr>
        <w:t>目   录</w:t>
      </w:r>
    </w:p>
    <w:p w14:paraId="008D68AF">
      <w:pPr>
        <w:widowControl/>
        <w:jc w:val="left"/>
        <w:rPr>
          <w:color w:val="auto"/>
          <w:sz w:val="36"/>
        </w:rPr>
      </w:pPr>
    </w:p>
    <w:p w14:paraId="231FE970">
      <w:pPr>
        <w:pageBreakBefore w:val="0"/>
        <w:widowControl/>
        <w:numPr>
          <w:ilvl w:val="0"/>
          <w:numId w:val="8"/>
        </w:numPr>
        <w:kinsoku/>
        <w:wordWrap/>
        <w:overflowPunct/>
        <w:topLinePunct w:val="0"/>
        <w:autoSpaceDE/>
        <w:autoSpaceDN/>
        <w:bidi w:val="0"/>
        <w:adjustRightInd/>
        <w:snapToGrid/>
        <w:spacing w:line="720" w:lineRule="exact"/>
        <w:ind w:firstLine="320" w:firstLineChars="100"/>
        <w:jc w:val="left"/>
        <w:textAlignment w:val="auto"/>
        <w:rPr>
          <w:rFonts w:hint="eastAsia" w:cs="仿宋" w:asciiTheme="minorEastAsia" w:hAnsiTheme="minorEastAsia" w:eastAsiaTheme="minorEastAsia"/>
          <w:bCs/>
          <w:color w:val="auto"/>
          <w:sz w:val="32"/>
          <w:szCs w:val="28"/>
        </w:rPr>
      </w:pPr>
      <w:r>
        <w:rPr>
          <w:rFonts w:hint="eastAsia" w:cs="仿宋" w:asciiTheme="minorEastAsia" w:hAnsiTheme="minorEastAsia" w:eastAsiaTheme="minorEastAsia"/>
          <w:bCs/>
          <w:color w:val="auto"/>
          <w:sz w:val="32"/>
          <w:szCs w:val="28"/>
        </w:rPr>
        <w:t>投标函</w:t>
      </w:r>
    </w:p>
    <w:p w14:paraId="2DD87165">
      <w:pPr>
        <w:pageBreakBefore w:val="0"/>
        <w:widowControl/>
        <w:numPr>
          <w:ilvl w:val="0"/>
          <w:numId w:val="8"/>
        </w:numPr>
        <w:kinsoku/>
        <w:wordWrap/>
        <w:overflowPunct/>
        <w:topLinePunct w:val="0"/>
        <w:autoSpaceDE/>
        <w:autoSpaceDN/>
        <w:bidi w:val="0"/>
        <w:adjustRightInd/>
        <w:snapToGrid/>
        <w:spacing w:line="720" w:lineRule="exact"/>
        <w:ind w:firstLine="320" w:firstLineChars="100"/>
        <w:jc w:val="left"/>
        <w:textAlignment w:val="auto"/>
        <w:rPr>
          <w:rFonts w:cs="仿宋" w:asciiTheme="minorEastAsia" w:hAnsiTheme="minorEastAsia" w:eastAsiaTheme="minorEastAsia"/>
          <w:bCs/>
          <w:color w:val="auto"/>
          <w:sz w:val="32"/>
          <w:szCs w:val="28"/>
        </w:rPr>
      </w:pPr>
      <w:r>
        <w:rPr>
          <w:rFonts w:hint="eastAsia" w:cs="仿宋" w:asciiTheme="minorEastAsia" w:hAnsiTheme="minorEastAsia" w:eastAsiaTheme="minorEastAsia"/>
          <w:bCs/>
          <w:color w:val="auto"/>
          <w:sz w:val="32"/>
          <w:szCs w:val="28"/>
        </w:rPr>
        <w:t>投标一览表</w:t>
      </w:r>
    </w:p>
    <w:p w14:paraId="33F05FAA">
      <w:pPr>
        <w:pStyle w:val="3"/>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auto"/>
          <w:szCs w:val="28"/>
        </w:rPr>
      </w:pPr>
      <w:r>
        <w:rPr>
          <w:rFonts w:hint="eastAsia" w:cs="仿宋" w:asciiTheme="minorEastAsia" w:hAnsiTheme="minorEastAsia" w:eastAsiaTheme="minorEastAsia"/>
          <w:b w:val="0"/>
          <w:color w:val="auto"/>
          <w:szCs w:val="28"/>
        </w:rPr>
        <w:t>三</w:t>
      </w:r>
      <w:r>
        <w:rPr>
          <w:rFonts w:hint="eastAsia" w:cs="仿宋" w:asciiTheme="minorEastAsia" w:hAnsiTheme="minorEastAsia" w:eastAsiaTheme="minorEastAsia"/>
          <w:b w:val="0"/>
          <w:color w:val="auto"/>
          <w:szCs w:val="28"/>
          <w:lang w:eastAsia="zh-CN"/>
        </w:rPr>
        <w:t>、</w:t>
      </w:r>
      <w:r>
        <w:rPr>
          <w:rFonts w:hint="eastAsia" w:cs="仿宋" w:asciiTheme="minorEastAsia" w:hAnsiTheme="minorEastAsia" w:eastAsiaTheme="minorEastAsia"/>
          <w:b w:val="0"/>
          <w:color w:val="auto"/>
          <w:szCs w:val="28"/>
        </w:rPr>
        <w:t>资格证明文件</w:t>
      </w:r>
    </w:p>
    <w:p w14:paraId="7FF6B393">
      <w:pPr>
        <w:pStyle w:val="3"/>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auto"/>
          <w:szCs w:val="28"/>
        </w:rPr>
      </w:pPr>
      <w:r>
        <w:rPr>
          <w:rFonts w:hint="eastAsia" w:cs="仿宋" w:asciiTheme="minorEastAsia" w:hAnsiTheme="minorEastAsia" w:eastAsiaTheme="minorEastAsia"/>
          <w:b w:val="0"/>
          <w:color w:val="auto"/>
          <w:szCs w:val="28"/>
        </w:rPr>
        <w:t>四、技术商务偏离表</w:t>
      </w:r>
    </w:p>
    <w:p w14:paraId="0F3A1582">
      <w:pPr>
        <w:pStyle w:val="3"/>
        <w:pageBreakBefore w:val="0"/>
        <w:kinsoku/>
        <w:wordWrap/>
        <w:overflowPunct/>
        <w:topLinePunct w:val="0"/>
        <w:autoSpaceDE/>
        <w:autoSpaceDN/>
        <w:bidi w:val="0"/>
        <w:adjustRightInd/>
        <w:snapToGrid/>
        <w:spacing w:before="0" w:after="0" w:line="720" w:lineRule="exact"/>
        <w:ind w:firstLine="320" w:firstLineChars="100"/>
        <w:jc w:val="left"/>
        <w:textAlignment w:val="auto"/>
        <w:rPr>
          <w:rFonts w:cs="仿宋" w:asciiTheme="minorEastAsia" w:hAnsiTheme="minorEastAsia" w:eastAsiaTheme="minorEastAsia"/>
          <w:b w:val="0"/>
          <w:color w:val="auto"/>
          <w:szCs w:val="28"/>
        </w:rPr>
      </w:pPr>
      <w:r>
        <w:rPr>
          <w:rFonts w:hint="eastAsia" w:cs="仿宋" w:asciiTheme="minorEastAsia" w:hAnsiTheme="minorEastAsia" w:eastAsiaTheme="minorEastAsia"/>
          <w:b w:val="0"/>
          <w:color w:val="auto"/>
          <w:szCs w:val="28"/>
        </w:rPr>
        <w:t>五、投标方案</w:t>
      </w:r>
    </w:p>
    <w:p w14:paraId="21B55B24">
      <w:pPr>
        <w:pageBreakBefore w:val="0"/>
        <w:widowControl/>
        <w:kinsoku/>
        <w:wordWrap/>
        <w:overflowPunct/>
        <w:topLinePunct w:val="0"/>
        <w:autoSpaceDE/>
        <w:autoSpaceDN/>
        <w:bidi w:val="0"/>
        <w:adjustRightInd/>
        <w:snapToGrid/>
        <w:spacing w:line="720" w:lineRule="exact"/>
        <w:ind w:firstLine="320" w:firstLineChars="100"/>
        <w:jc w:val="left"/>
        <w:textAlignment w:val="auto"/>
        <w:rPr>
          <w:rFonts w:cs="仿宋" w:asciiTheme="minorEastAsia" w:hAnsiTheme="minorEastAsia" w:eastAsiaTheme="minorEastAsia"/>
          <w:bCs/>
          <w:color w:val="auto"/>
          <w:sz w:val="32"/>
          <w:szCs w:val="28"/>
        </w:rPr>
      </w:pPr>
      <w:r>
        <w:rPr>
          <w:rFonts w:hint="eastAsia" w:cs="仿宋" w:asciiTheme="minorEastAsia" w:hAnsiTheme="minorEastAsia" w:eastAsiaTheme="minorEastAsia"/>
          <w:bCs/>
          <w:color w:val="auto"/>
          <w:sz w:val="32"/>
          <w:szCs w:val="28"/>
        </w:rPr>
        <w:t>六、</w:t>
      </w:r>
      <w:r>
        <w:rPr>
          <w:rFonts w:hint="eastAsia" w:cs="仿宋" w:asciiTheme="minorEastAsia" w:hAnsiTheme="minorEastAsia" w:eastAsiaTheme="minorEastAsia"/>
          <w:bCs/>
          <w:color w:val="auto"/>
          <w:sz w:val="32"/>
          <w:szCs w:val="28"/>
          <w:lang w:val="en-US" w:eastAsia="zh-CN"/>
        </w:rPr>
        <w:t>供应商</w:t>
      </w:r>
      <w:r>
        <w:rPr>
          <w:rFonts w:hint="eastAsia" w:cs="仿宋" w:asciiTheme="minorEastAsia" w:hAnsiTheme="minorEastAsia" w:eastAsiaTheme="minorEastAsia"/>
          <w:bCs/>
          <w:color w:val="auto"/>
          <w:sz w:val="32"/>
          <w:szCs w:val="28"/>
        </w:rPr>
        <w:t>承诺书</w:t>
      </w:r>
    </w:p>
    <w:p w14:paraId="6C4AD9A6">
      <w:pPr>
        <w:widowControl/>
        <w:spacing w:line="360" w:lineRule="auto"/>
        <w:jc w:val="left"/>
        <w:rPr>
          <w:rFonts w:ascii="Calibri Light" w:hAnsi="Calibri Light"/>
          <w:b/>
          <w:bCs/>
          <w:color w:val="auto"/>
          <w:sz w:val="36"/>
          <w:szCs w:val="32"/>
        </w:rPr>
      </w:pPr>
      <w:r>
        <w:rPr>
          <w:color w:val="auto"/>
          <w:sz w:val="22"/>
        </w:rPr>
        <w:br w:type="page"/>
      </w:r>
    </w:p>
    <w:bookmarkEnd w:id="106"/>
    <w:bookmarkEnd w:id="107"/>
    <w:p w14:paraId="4DA22BA1">
      <w:pPr>
        <w:pStyle w:val="3"/>
        <w:spacing w:before="0" w:after="0"/>
        <w:ind w:firstLine="482" w:firstLineChars="150"/>
        <w:jc w:val="center"/>
        <w:rPr>
          <w:color w:val="auto"/>
        </w:rPr>
      </w:pPr>
      <w:bookmarkStart w:id="108" w:name="_Toc26541334"/>
      <w:bookmarkStart w:id="109" w:name="_Toc23258623"/>
      <w:bookmarkStart w:id="110" w:name="_Toc484890087"/>
      <w:bookmarkStart w:id="111" w:name="_Toc23258626"/>
      <w:bookmarkStart w:id="112" w:name="_Toc26541337"/>
      <w:r>
        <w:rPr>
          <w:rFonts w:hint="eastAsia"/>
          <w:color w:val="auto"/>
        </w:rPr>
        <w:t>一、投标函</w:t>
      </w:r>
      <w:bookmarkEnd w:id="108"/>
      <w:bookmarkEnd w:id="109"/>
    </w:p>
    <w:p w14:paraId="06B24B13">
      <w:pPr>
        <w:spacing w:line="360" w:lineRule="auto"/>
        <w:rPr>
          <w:rFonts w:ascii="宋体" w:hAnsi="宋体" w:cs="宋体"/>
          <w:sz w:val="24"/>
          <w:szCs w:val="24"/>
          <w:u w:val="single"/>
        </w:rPr>
      </w:pPr>
      <w:r>
        <w:rPr>
          <w:rFonts w:hint="eastAsia" w:ascii="宋体" w:hAnsi="宋体" w:cs="宋体"/>
          <w:sz w:val="24"/>
          <w:szCs w:val="24"/>
        </w:rPr>
        <w:t>致：</w:t>
      </w:r>
      <w:r>
        <w:rPr>
          <w:rFonts w:hint="eastAsia" w:ascii="宋体" w:hAnsi="宋体" w:cs="宋体"/>
          <w:sz w:val="24"/>
          <w:szCs w:val="24"/>
          <w:u w:val="single"/>
        </w:rPr>
        <w:t>安康尚昊招标代理有限公司</w:t>
      </w:r>
    </w:p>
    <w:p w14:paraId="4D2826FA">
      <w:pPr>
        <w:adjustRightInd w:val="0"/>
        <w:snapToGrid w:val="0"/>
        <w:spacing w:line="360" w:lineRule="auto"/>
        <w:ind w:firstLine="480" w:firstLineChars="200"/>
        <w:rPr>
          <w:rFonts w:ascii="宋体" w:hAnsi="宋体" w:cs="宋体"/>
          <w:sz w:val="24"/>
          <w:szCs w:val="24"/>
        </w:rPr>
      </w:pPr>
      <w:r>
        <w:rPr>
          <w:rFonts w:hint="eastAsia" w:ascii="宋体" w:hAnsi="宋体" w:cs="宋体"/>
          <w:bCs/>
          <w:sz w:val="24"/>
          <w:szCs w:val="24"/>
        </w:rPr>
        <w:t>我方确认收到贵方提供的项目及其相关服务的招标文件的全部内容。我方</w:t>
      </w:r>
      <w:r>
        <w:rPr>
          <w:rFonts w:hint="eastAsia" w:ascii="宋体" w:hAnsi="宋体" w:cs="宋体"/>
          <w:bCs/>
          <w:sz w:val="24"/>
          <w:szCs w:val="24"/>
          <w:u w:val="single"/>
        </w:rPr>
        <w:t>（投标人名称）</w:t>
      </w:r>
      <w:r>
        <w:rPr>
          <w:rFonts w:hint="eastAsia" w:ascii="宋体" w:hAnsi="宋体" w:cs="宋体"/>
          <w:bCs/>
          <w:sz w:val="24"/>
          <w:szCs w:val="24"/>
        </w:rPr>
        <w:t>作为本项目投标人正式授权</w:t>
      </w:r>
      <w:r>
        <w:rPr>
          <w:rFonts w:hint="eastAsia" w:ascii="宋体" w:hAnsi="宋体" w:cs="宋体"/>
          <w:bCs/>
          <w:sz w:val="24"/>
          <w:szCs w:val="24"/>
          <w:u w:val="single"/>
        </w:rPr>
        <w:t>（被授权代表全名、职务）</w:t>
      </w:r>
      <w:r>
        <w:rPr>
          <w:rFonts w:hint="eastAsia" w:ascii="宋体" w:hAnsi="宋体" w:cs="宋体"/>
          <w:bCs/>
          <w:sz w:val="24"/>
          <w:szCs w:val="24"/>
        </w:rPr>
        <w:t>代表我方进行有关投标的一切事宜。在此提交的投标文件。我方已完全明白招标文件的所有条款要求，并</w:t>
      </w:r>
      <w:r>
        <w:rPr>
          <w:rFonts w:hint="eastAsia" w:ascii="宋体" w:hAnsi="宋体" w:cs="宋体"/>
          <w:kern w:val="0"/>
          <w:sz w:val="24"/>
          <w:szCs w:val="24"/>
        </w:rPr>
        <w:t>声明如下</w:t>
      </w:r>
      <w:r>
        <w:rPr>
          <w:rFonts w:hint="eastAsia" w:ascii="宋体" w:hAnsi="宋体" w:cs="宋体"/>
          <w:bCs/>
          <w:sz w:val="24"/>
          <w:szCs w:val="24"/>
        </w:rPr>
        <w:t>：</w:t>
      </w:r>
    </w:p>
    <w:p w14:paraId="0C87FC0E">
      <w:pPr>
        <w:spacing w:line="360" w:lineRule="auto"/>
        <w:ind w:firstLine="480" w:firstLineChars="200"/>
        <w:rPr>
          <w:rFonts w:ascii="宋体"/>
          <w:sz w:val="24"/>
          <w:szCs w:val="24"/>
        </w:rPr>
      </w:pPr>
      <w:r>
        <w:rPr>
          <w:rFonts w:hint="eastAsia" w:ascii="宋体" w:hAnsi="宋体" w:cs="宋体"/>
          <w:sz w:val="24"/>
          <w:szCs w:val="24"/>
        </w:rPr>
        <w:t>1.我方决定参加：</w:t>
      </w:r>
      <w:r>
        <w:rPr>
          <w:rFonts w:hint="eastAsia" w:ascii="宋体" w:hAnsi="宋体" w:cs="宋体"/>
          <w:sz w:val="24"/>
          <w:szCs w:val="24"/>
          <w:u w:val="single"/>
        </w:rPr>
        <w:t>项目名称</w:t>
      </w:r>
      <w:r>
        <w:rPr>
          <w:rFonts w:hint="eastAsia" w:ascii="宋体" w:hAnsi="宋体" w:cs="宋体"/>
          <w:sz w:val="24"/>
          <w:szCs w:val="24"/>
          <w:u w:val="single"/>
          <w:lang w:eastAsia="zh-CN"/>
        </w:rPr>
        <w:t>：</w:t>
      </w:r>
      <w:r>
        <w:rPr>
          <w:rFonts w:hint="eastAsia" w:ascii="宋体" w:hAnsi="宋体" w:cs="宋体"/>
          <w:sz w:val="24"/>
          <w:szCs w:val="24"/>
          <w:u w:val="single"/>
        </w:rPr>
        <w:t>（项目编号：</w:t>
      </w:r>
      <w:r>
        <w:rPr>
          <w:rFonts w:hint="eastAsia" w:ascii="宋体" w:hAnsi="宋体" w:cs="宋体"/>
          <w:sz w:val="24"/>
          <w:szCs w:val="24"/>
          <w:u w:val="single"/>
          <w:lang w:val="en-US" w:eastAsia="zh-CN"/>
        </w:rPr>
        <w:t xml:space="preserve"> ）</w:t>
      </w:r>
      <w:r>
        <w:rPr>
          <w:rFonts w:hint="eastAsia" w:ascii="宋体" w:hAnsi="宋体" w:cs="宋体"/>
          <w:sz w:val="24"/>
          <w:szCs w:val="24"/>
        </w:rPr>
        <w:t>的报价，我公司的</w:t>
      </w:r>
      <w:r>
        <w:rPr>
          <w:rFonts w:hint="eastAsia" w:ascii="宋体" w:hAnsi="宋体" w:cs="宋体"/>
          <w:sz w:val="24"/>
          <w:szCs w:val="24"/>
          <w:lang w:val="en-US" w:eastAsia="zh-CN"/>
        </w:rPr>
        <w:t>投标</w:t>
      </w:r>
      <w:r>
        <w:rPr>
          <w:rFonts w:hint="eastAsia" w:ascii="宋体" w:hAnsi="宋体" w:cs="宋体"/>
          <w:sz w:val="24"/>
          <w:szCs w:val="24"/>
        </w:rPr>
        <w:t>总报价为：</w:t>
      </w:r>
    </w:p>
    <w:p w14:paraId="15423198">
      <w:pPr>
        <w:spacing w:line="360" w:lineRule="auto"/>
        <w:ind w:firstLine="480" w:firstLineChars="200"/>
        <w:rPr>
          <w:rFonts w:ascii="宋体" w:hAnsi="宋体" w:cs="宋体"/>
          <w:sz w:val="24"/>
          <w:szCs w:val="24"/>
        </w:rPr>
      </w:pPr>
      <w:r>
        <w:rPr>
          <w:rFonts w:hint="eastAsia" w:ascii="宋体" w:hAnsi="宋体" w:cs="宋体"/>
          <w:sz w:val="24"/>
          <w:szCs w:val="24"/>
        </w:rPr>
        <w:t>人民币（大写）：______________元；（小写）￥：______元；</w:t>
      </w:r>
    </w:p>
    <w:p w14:paraId="547A490D">
      <w:pPr>
        <w:spacing w:line="360" w:lineRule="auto"/>
        <w:ind w:firstLine="480" w:firstLineChars="200"/>
        <w:rPr>
          <w:rFonts w:ascii="宋体" w:hAnsi="宋体" w:cs="宋体"/>
          <w:sz w:val="24"/>
          <w:szCs w:val="24"/>
        </w:rPr>
      </w:pPr>
      <w:r>
        <w:rPr>
          <w:rFonts w:hint="eastAsia" w:ascii="宋体" w:hAnsi="宋体" w:cs="宋体"/>
          <w:sz w:val="24"/>
          <w:szCs w:val="24"/>
        </w:rPr>
        <w:t>2.本投标文件的有效期为投标文件递交截止日起</w:t>
      </w:r>
      <w:r>
        <w:rPr>
          <w:rFonts w:hint="eastAsia" w:ascii="宋体" w:hAnsi="宋体" w:cs="宋体"/>
          <w:sz w:val="24"/>
          <w:szCs w:val="24"/>
          <w:u w:val="single"/>
        </w:rPr>
        <w:t xml:space="preserve"> （有效期不得少于90天） </w:t>
      </w:r>
      <w:r>
        <w:rPr>
          <w:rFonts w:hint="eastAsia" w:ascii="宋体" w:hAnsi="宋体" w:cs="宋体"/>
          <w:sz w:val="24"/>
          <w:szCs w:val="24"/>
        </w:rPr>
        <w:t>日历天有效，如被确定为中标单位，有效期将延至合同终止日为止，投标文件始终有效并不撤回已递交的投标文件。</w:t>
      </w:r>
    </w:p>
    <w:p w14:paraId="7C948B86">
      <w:pPr>
        <w:spacing w:line="360" w:lineRule="auto"/>
        <w:ind w:firstLine="480" w:firstLineChars="200"/>
        <w:rPr>
          <w:rFonts w:ascii="宋体" w:hAnsi="宋体" w:cs="宋体"/>
          <w:sz w:val="24"/>
          <w:szCs w:val="24"/>
        </w:rPr>
      </w:pPr>
      <w:r>
        <w:rPr>
          <w:rFonts w:hint="eastAsia" w:ascii="宋体" w:hAnsi="宋体" w:cs="宋体"/>
          <w:sz w:val="24"/>
          <w:szCs w:val="24"/>
        </w:rPr>
        <w:t>3.我方已详细研究了招标文件的所有内容包括修正</w:t>
      </w:r>
      <w:r>
        <w:rPr>
          <w:rFonts w:hint="eastAsia" w:ascii="宋体" w:hAnsi="宋体" w:cs="宋体"/>
          <w:sz w:val="24"/>
          <w:szCs w:val="24"/>
          <w:lang w:eastAsia="zh-CN"/>
        </w:rPr>
        <w:t>（</w:t>
      </w:r>
      <w:r>
        <w:rPr>
          <w:rFonts w:hint="eastAsia" w:ascii="宋体" w:hAnsi="宋体" w:cs="宋体"/>
          <w:sz w:val="24"/>
          <w:szCs w:val="24"/>
        </w:rPr>
        <w:t>如果有</w:t>
      </w:r>
      <w:r>
        <w:rPr>
          <w:rFonts w:hint="eastAsia" w:ascii="宋体" w:hAnsi="宋体" w:cs="宋体"/>
          <w:sz w:val="24"/>
          <w:szCs w:val="24"/>
          <w:lang w:eastAsia="zh-CN"/>
        </w:rPr>
        <w:t>）</w:t>
      </w:r>
      <w:r>
        <w:rPr>
          <w:rFonts w:hint="eastAsia" w:ascii="宋体" w:hAnsi="宋体" w:cs="宋体"/>
          <w:sz w:val="24"/>
          <w:szCs w:val="24"/>
        </w:rPr>
        <w:t>和所有已提供的参考资料以及有关格式并完全明白，我方同意放弃对这些文件所提出异议的权利。</w:t>
      </w:r>
    </w:p>
    <w:p w14:paraId="0D7722C2">
      <w:pPr>
        <w:spacing w:line="360" w:lineRule="auto"/>
        <w:ind w:firstLine="480" w:firstLineChars="200"/>
        <w:rPr>
          <w:rFonts w:ascii="宋体" w:hAnsi="宋体" w:cs="宋体"/>
          <w:sz w:val="24"/>
          <w:szCs w:val="24"/>
        </w:rPr>
      </w:pPr>
      <w:r>
        <w:rPr>
          <w:rFonts w:hint="eastAsia" w:ascii="宋体" w:hAnsi="宋体" w:cs="宋体"/>
          <w:sz w:val="24"/>
          <w:szCs w:val="24"/>
        </w:rPr>
        <w:t>4.我方同意按照贵方可能提出的要求提供与报价有关的</w:t>
      </w:r>
      <w:r>
        <w:rPr>
          <w:rFonts w:hint="eastAsia" w:ascii="宋体" w:hAnsi="宋体" w:cs="宋体"/>
          <w:sz w:val="24"/>
          <w:szCs w:val="24"/>
          <w:lang w:eastAsia="zh-CN"/>
        </w:rPr>
        <w:t>任何其他</w:t>
      </w:r>
      <w:r>
        <w:rPr>
          <w:rFonts w:hint="eastAsia" w:ascii="宋体" w:hAnsi="宋体" w:cs="宋体"/>
          <w:sz w:val="24"/>
          <w:szCs w:val="24"/>
        </w:rPr>
        <w:t>材料或信息。</w:t>
      </w:r>
    </w:p>
    <w:p w14:paraId="0D6CDC0B">
      <w:pPr>
        <w:spacing w:line="360" w:lineRule="auto"/>
        <w:ind w:firstLine="480" w:firstLineChars="200"/>
        <w:rPr>
          <w:rFonts w:ascii="宋体" w:hAnsi="宋体" w:cs="宋体"/>
          <w:sz w:val="24"/>
          <w:szCs w:val="24"/>
        </w:rPr>
      </w:pPr>
      <w:r>
        <w:rPr>
          <w:rFonts w:hint="eastAsia" w:ascii="宋体" w:hAnsi="宋体" w:cs="宋体"/>
          <w:sz w:val="24"/>
          <w:szCs w:val="24"/>
        </w:rPr>
        <w:t>5.我方完全服从和尊重评委会所作的评定结果，同时清楚理解到最低报价并非意味着必定获得中标资格。</w:t>
      </w:r>
    </w:p>
    <w:p w14:paraId="21733B44">
      <w:pPr>
        <w:spacing w:line="360" w:lineRule="auto"/>
        <w:ind w:firstLine="480" w:firstLineChars="200"/>
        <w:rPr>
          <w:rFonts w:ascii="宋体" w:hAnsi="宋体" w:cs="宋体"/>
          <w:sz w:val="24"/>
          <w:szCs w:val="24"/>
        </w:rPr>
      </w:pPr>
      <w:r>
        <w:rPr>
          <w:rFonts w:hint="eastAsia" w:ascii="宋体" w:hAnsi="宋体" w:cs="宋体"/>
          <w:sz w:val="24"/>
          <w:szCs w:val="24"/>
        </w:rPr>
        <w:t xml:space="preserve">6.我方如被确定为中标单位，除不可抗力原因外，将在规定时间内与采购人签订合同，并保证履行投标文件以及投标文件修改书（如果有）中的全部责任和义务，按质、按量、按期完成《合同》中的全部任务。 </w:t>
      </w:r>
    </w:p>
    <w:p w14:paraId="305BF8A9">
      <w:pPr>
        <w:spacing w:line="360" w:lineRule="auto"/>
        <w:ind w:firstLine="480" w:firstLineChars="200"/>
        <w:rPr>
          <w:rFonts w:ascii="宋体" w:hAnsi="宋体" w:cs="宋体"/>
          <w:sz w:val="24"/>
          <w:szCs w:val="24"/>
        </w:rPr>
      </w:pPr>
      <w:r>
        <w:rPr>
          <w:rFonts w:hint="eastAsia" w:ascii="宋体" w:hAnsi="宋体" w:cs="宋体"/>
          <w:sz w:val="24"/>
          <w:szCs w:val="24"/>
        </w:rPr>
        <w:t>7.我方自行承担因投标文件错误、缺漏、不清晰而导致的一切后果。</w:t>
      </w:r>
    </w:p>
    <w:p w14:paraId="38D402C3">
      <w:pPr>
        <w:spacing w:line="360" w:lineRule="auto"/>
        <w:ind w:firstLine="480" w:firstLineChars="200"/>
        <w:rPr>
          <w:rFonts w:ascii="宋体" w:hAnsi="宋体" w:cs="宋体"/>
          <w:strike/>
          <w:sz w:val="24"/>
          <w:szCs w:val="24"/>
        </w:rPr>
      </w:pPr>
      <w:r>
        <w:rPr>
          <w:rFonts w:hint="eastAsia" w:ascii="宋体" w:hAnsi="宋体" w:cs="宋体"/>
          <w:sz w:val="24"/>
          <w:szCs w:val="24"/>
        </w:rPr>
        <w:t>8.我方承诺在本次投标中提供的一切文件均为真实、有效、完整和准确的，绝无任何虚假、伪造和夸大</w:t>
      </w:r>
      <w:r>
        <w:rPr>
          <w:rFonts w:hint="eastAsia" w:ascii="宋体" w:hAnsi="宋体" w:cs="宋体"/>
          <w:sz w:val="24"/>
          <w:szCs w:val="24"/>
          <w:lang w:eastAsia="zh-CN"/>
        </w:rPr>
        <w:t>的成分</w:t>
      </w:r>
      <w:r>
        <w:rPr>
          <w:rFonts w:hint="eastAsia" w:ascii="宋体" w:hAnsi="宋体" w:cs="宋体"/>
          <w:sz w:val="24"/>
          <w:szCs w:val="24"/>
        </w:rPr>
        <w:t>，如有违法、违规、弄虚作假行为，造成的损失、不良后果及法律责任，一律由我方自行承担。</w:t>
      </w:r>
    </w:p>
    <w:p w14:paraId="35C9C598">
      <w:pPr>
        <w:spacing w:line="360" w:lineRule="auto"/>
        <w:ind w:firstLine="480" w:firstLineChars="200"/>
        <w:rPr>
          <w:rFonts w:ascii="宋体" w:hAnsi="宋体" w:cs="宋体"/>
          <w:sz w:val="24"/>
          <w:szCs w:val="24"/>
        </w:rPr>
      </w:pPr>
      <w:r>
        <w:rPr>
          <w:rFonts w:hint="eastAsia" w:ascii="宋体" w:hAnsi="宋体" w:cs="宋体"/>
          <w:sz w:val="24"/>
          <w:szCs w:val="24"/>
        </w:rPr>
        <w:t>9. 我方如被确定为中标单位，我方同意按照招标文件规定及时向采购代理机构缴纳代理服务费。</w:t>
      </w:r>
    </w:p>
    <w:p w14:paraId="6D205446">
      <w:pPr>
        <w:spacing w:line="360" w:lineRule="auto"/>
        <w:ind w:firstLine="480" w:firstLineChars="200"/>
        <w:rPr>
          <w:rFonts w:ascii="宋体" w:hAnsi="宋体"/>
          <w:color w:val="auto"/>
          <w:sz w:val="24"/>
          <w:szCs w:val="24"/>
        </w:rPr>
      </w:pPr>
      <w:r>
        <w:rPr>
          <w:rFonts w:hint="eastAsia" w:ascii="宋体" w:hAnsi="宋体"/>
          <w:sz w:val="24"/>
          <w:szCs w:val="24"/>
          <w:lang w:eastAsia="zh-CN"/>
        </w:rPr>
        <w:t>10.</w:t>
      </w:r>
      <w:r>
        <w:rPr>
          <w:rFonts w:hint="eastAsia" w:ascii="宋体" w:hAnsi="宋体"/>
          <w:sz w:val="24"/>
          <w:szCs w:val="24"/>
        </w:rPr>
        <w:t>所有关于本投标文件的函电，请按下列地址联系。</w:t>
      </w:r>
    </w:p>
    <w:p w14:paraId="29AEB1BB">
      <w:pPr>
        <w:spacing w:line="360" w:lineRule="auto"/>
        <w:ind w:firstLine="211"/>
        <w:rPr>
          <w:rFonts w:hint="eastAsia" w:ascii="宋体" w:hAnsi="宋体" w:cs="仿宋"/>
          <w:color w:val="auto"/>
          <w:sz w:val="24"/>
          <w:szCs w:val="24"/>
        </w:rPr>
      </w:pPr>
    </w:p>
    <w:p w14:paraId="2BFD209F">
      <w:pPr>
        <w:spacing w:line="360" w:lineRule="auto"/>
        <w:ind w:firstLine="211"/>
        <w:rPr>
          <w:rFonts w:ascii="宋体" w:hAnsi="宋体" w:cs="仿宋"/>
          <w:color w:val="auto"/>
          <w:sz w:val="24"/>
          <w:szCs w:val="24"/>
        </w:rPr>
      </w:pPr>
      <w:r>
        <w:rPr>
          <w:rFonts w:hint="eastAsia" w:ascii="宋体" w:hAnsi="宋体" w:cs="仿宋"/>
          <w:color w:val="auto"/>
          <w:sz w:val="24"/>
          <w:szCs w:val="24"/>
        </w:rPr>
        <w:t>投标人名称</w:t>
      </w:r>
      <w:r>
        <w:rPr>
          <w:rFonts w:hint="eastAsia" w:ascii="宋体" w:hAnsi="宋体" w:cs="仿宋"/>
          <w:color w:val="auto"/>
          <w:sz w:val="24"/>
          <w:szCs w:val="24"/>
          <w:lang w:eastAsia="zh-CN"/>
        </w:rPr>
        <w:t>：</w:t>
      </w:r>
      <w:r>
        <w:rPr>
          <w:rFonts w:hint="eastAsia" w:ascii="宋体" w:hAnsi="宋体" w:cs="仿宋"/>
          <w:color w:val="auto"/>
          <w:sz w:val="24"/>
          <w:szCs w:val="24"/>
        </w:rPr>
        <w:t>（盖章）</w:t>
      </w:r>
    </w:p>
    <w:p w14:paraId="190A8FCB">
      <w:pPr>
        <w:spacing w:line="360" w:lineRule="auto"/>
        <w:ind w:firstLine="211"/>
        <w:rPr>
          <w:rFonts w:ascii="宋体" w:hAnsi="宋体"/>
          <w:color w:val="auto"/>
          <w:sz w:val="24"/>
          <w:szCs w:val="24"/>
        </w:rPr>
      </w:pPr>
      <w:r>
        <w:rPr>
          <w:rFonts w:hint="eastAsia" w:ascii="宋体" w:hAnsi="宋体"/>
          <w:color w:val="auto"/>
          <w:sz w:val="24"/>
          <w:szCs w:val="24"/>
        </w:rPr>
        <w:t>法定代表人：（签字或盖章）</w:t>
      </w:r>
    </w:p>
    <w:p w14:paraId="553ADA47">
      <w:pPr>
        <w:spacing w:line="360" w:lineRule="auto"/>
        <w:ind w:firstLine="211"/>
        <w:rPr>
          <w:rFonts w:ascii="宋体" w:hAnsi="宋体"/>
          <w:color w:val="auto"/>
          <w:sz w:val="24"/>
          <w:szCs w:val="24"/>
        </w:rPr>
      </w:pPr>
      <w:r>
        <w:rPr>
          <w:rFonts w:hint="eastAsia" w:ascii="宋体" w:hAnsi="宋体"/>
          <w:color w:val="auto"/>
          <w:sz w:val="24"/>
          <w:szCs w:val="24"/>
        </w:rPr>
        <w:t xml:space="preserve">地    址：                         </w:t>
      </w:r>
    </w:p>
    <w:p w14:paraId="38437749">
      <w:pPr>
        <w:spacing w:line="360" w:lineRule="auto"/>
        <w:ind w:firstLine="211"/>
        <w:rPr>
          <w:rFonts w:ascii="宋体" w:hAnsi="宋体"/>
          <w:color w:val="auto"/>
          <w:sz w:val="24"/>
          <w:szCs w:val="24"/>
        </w:rPr>
      </w:pPr>
      <w:r>
        <w:rPr>
          <w:rFonts w:hint="eastAsia" w:ascii="宋体" w:hAnsi="宋体"/>
          <w:color w:val="auto"/>
          <w:sz w:val="24"/>
          <w:szCs w:val="24"/>
        </w:rPr>
        <w:t xml:space="preserve">开 户 行：                   </w:t>
      </w:r>
    </w:p>
    <w:p w14:paraId="1FCA1055">
      <w:pPr>
        <w:spacing w:line="360" w:lineRule="auto"/>
        <w:ind w:firstLine="211"/>
        <w:rPr>
          <w:rFonts w:ascii="宋体" w:hAnsi="宋体"/>
          <w:color w:val="auto"/>
          <w:sz w:val="24"/>
          <w:szCs w:val="24"/>
        </w:rPr>
      </w:pPr>
      <w:r>
        <w:rPr>
          <w:rFonts w:hint="eastAsia" w:ascii="宋体" w:hAnsi="宋体"/>
          <w:color w:val="auto"/>
          <w:sz w:val="24"/>
          <w:szCs w:val="24"/>
          <w:lang w:eastAsia="zh-CN"/>
        </w:rPr>
        <w:t>账</w:t>
      </w:r>
      <w:r>
        <w:rPr>
          <w:rFonts w:hint="eastAsia" w:ascii="宋体" w:hAnsi="宋体"/>
          <w:color w:val="auto"/>
          <w:sz w:val="24"/>
          <w:szCs w:val="24"/>
        </w:rPr>
        <w:t xml:space="preserve">    号：                         </w:t>
      </w:r>
    </w:p>
    <w:p w14:paraId="033B6213">
      <w:pPr>
        <w:spacing w:line="360" w:lineRule="auto"/>
        <w:ind w:firstLine="211"/>
        <w:rPr>
          <w:rFonts w:ascii="宋体" w:hAnsi="宋体"/>
          <w:color w:val="auto"/>
          <w:sz w:val="24"/>
          <w:szCs w:val="24"/>
        </w:rPr>
      </w:pPr>
      <w:r>
        <w:rPr>
          <w:rFonts w:hint="eastAsia" w:ascii="宋体" w:hAnsi="宋体"/>
          <w:color w:val="auto"/>
          <w:sz w:val="24"/>
          <w:szCs w:val="24"/>
        </w:rPr>
        <w:t xml:space="preserve">电    话：                   传    真：                        </w:t>
      </w:r>
    </w:p>
    <w:p w14:paraId="31A189E2">
      <w:pPr>
        <w:spacing w:line="360" w:lineRule="auto"/>
        <w:ind w:firstLine="211"/>
        <w:rPr>
          <w:rFonts w:ascii="宋体" w:hAnsi="宋体"/>
          <w:color w:val="auto"/>
          <w:sz w:val="24"/>
          <w:szCs w:val="24"/>
        </w:rPr>
      </w:pPr>
      <w:r>
        <w:rPr>
          <w:rFonts w:hint="eastAsia" w:ascii="宋体" w:hAnsi="宋体"/>
          <w:color w:val="auto"/>
          <w:sz w:val="24"/>
          <w:szCs w:val="24"/>
        </w:rPr>
        <w:t>邮    编：</w:t>
      </w:r>
    </w:p>
    <w:p w14:paraId="2E17B503">
      <w:pPr>
        <w:spacing w:line="360" w:lineRule="auto"/>
        <w:ind w:firstLine="211"/>
        <w:rPr>
          <w:rFonts w:ascii="宋体" w:hAnsi="宋体"/>
          <w:color w:val="auto"/>
          <w:sz w:val="24"/>
          <w:szCs w:val="24"/>
        </w:rPr>
      </w:pPr>
      <w:r>
        <w:rPr>
          <w:rFonts w:hint="eastAsia" w:ascii="宋体" w:hAnsi="宋体"/>
          <w:color w:val="auto"/>
          <w:sz w:val="24"/>
          <w:szCs w:val="24"/>
        </w:rPr>
        <w:t>日    期：    年     月     日</w:t>
      </w:r>
    </w:p>
    <w:p w14:paraId="215215F3">
      <w:pPr>
        <w:spacing w:line="360" w:lineRule="auto"/>
        <w:ind w:firstLine="211"/>
        <w:rPr>
          <w:rFonts w:ascii="宋体" w:hAnsi="宋体"/>
          <w:color w:val="auto"/>
          <w:sz w:val="24"/>
          <w:szCs w:val="24"/>
        </w:rPr>
      </w:pPr>
    </w:p>
    <w:p w14:paraId="37237D2C">
      <w:pPr>
        <w:pStyle w:val="3"/>
        <w:jc w:val="center"/>
        <w:rPr>
          <w:color w:val="auto"/>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13" w:name="_Toc528240832"/>
    </w:p>
    <w:bookmarkEnd w:id="110"/>
    <w:bookmarkEnd w:id="113"/>
    <w:p w14:paraId="4E7F4514">
      <w:pPr>
        <w:pStyle w:val="3"/>
        <w:jc w:val="center"/>
      </w:pPr>
      <w:bookmarkStart w:id="114" w:name="_Toc26541335"/>
      <w:bookmarkStart w:id="115" w:name="_Toc23258624"/>
      <w:r>
        <w:rPr>
          <w:rFonts w:hint="eastAsia"/>
        </w:rPr>
        <w:t>二、投标一览表</w:t>
      </w:r>
      <w:bookmarkEnd w:id="114"/>
      <w:bookmarkEnd w:id="115"/>
    </w:p>
    <w:p w14:paraId="477844FE">
      <w:pPr>
        <w:widowControl/>
        <w:wordWrap w:val="0"/>
        <w:spacing w:line="360" w:lineRule="auto"/>
        <w:jc w:val="left"/>
        <w:rPr>
          <w:rFonts w:ascii="宋体" w:hAnsi="宋体" w:cs="宋体"/>
          <w:sz w:val="24"/>
        </w:rPr>
      </w:pPr>
      <w:r>
        <w:rPr>
          <w:rFonts w:hint="eastAsia" w:ascii="宋体" w:hAnsi="宋体" w:cs="宋体"/>
          <w:sz w:val="24"/>
        </w:rPr>
        <w:t xml:space="preserve">项目名称： </w:t>
      </w:r>
    </w:p>
    <w:p w14:paraId="76E6D1F9">
      <w:pPr>
        <w:kinsoku w:val="0"/>
        <w:spacing w:line="360" w:lineRule="auto"/>
        <w:jc w:val="left"/>
        <w:rPr>
          <w:rFonts w:ascii="宋体" w:hAnsi="宋体"/>
          <w:sz w:val="24"/>
          <w:szCs w:val="24"/>
        </w:rPr>
      </w:pPr>
      <w:r>
        <w:rPr>
          <w:rFonts w:hint="eastAsia" w:ascii="宋体" w:hAnsi="宋体" w:cs="宋体"/>
          <w:sz w:val="24"/>
        </w:rPr>
        <w:t xml:space="preserve">项目编号：      </w:t>
      </w:r>
      <w:r>
        <w:rPr>
          <w:rFonts w:hint="eastAsia" w:ascii="宋体" w:hAnsi="宋体" w:cs="宋体"/>
          <w:sz w:val="24"/>
          <w:lang w:val="en-US" w:eastAsia="zh-CN"/>
        </w:rPr>
        <w:t xml:space="preserve">                                             </w:t>
      </w:r>
      <w:r>
        <w:rPr>
          <w:rFonts w:hint="eastAsia" w:ascii="宋体" w:hAnsi="宋体" w:cs="宋体"/>
          <w:sz w:val="24"/>
        </w:rPr>
        <w:t xml:space="preserve">                                                                              </w:t>
      </w:r>
    </w:p>
    <w:tbl>
      <w:tblPr>
        <w:tblStyle w:val="42"/>
        <w:tblpPr w:leftFromText="180" w:rightFromText="180" w:vertAnchor="text" w:horzAnchor="page" w:tblpX="1256" w:tblpY="403"/>
        <w:tblOverlap w:val="never"/>
        <w:tblW w:w="98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19"/>
        <w:gridCol w:w="2693"/>
        <w:gridCol w:w="2028"/>
        <w:gridCol w:w="2038"/>
      </w:tblGrid>
      <w:tr w14:paraId="70CEA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trPr>
        <w:tc>
          <w:tcPr>
            <w:tcW w:w="3119" w:type="dxa"/>
            <w:vAlign w:val="center"/>
          </w:tcPr>
          <w:p w14:paraId="33EA4640">
            <w:pPr>
              <w:keepNext w:val="0"/>
              <w:keepLines w:val="0"/>
              <w:suppressLineNumbers w:val="0"/>
              <w:spacing w:before="0" w:beforeAutospacing="0" w:after="0" w:afterAutospacing="0"/>
              <w:ind w:left="0" w:right="0"/>
              <w:jc w:val="center"/>
              <w:rPr>
                <w:rFonts w:hint="default" w:ascii="宋体" w:hAnsi="宋体" w:cs="宋体"/>
                <w:kern w:val="0"/>
                <w:sz w:val="24"/>
                <w:szCs w:val="24"/>
              </w:rPr>
            </w:pPr>
            <w:r>
              <w:rPr>
                <w:rFonts w:hint="eastAsia" w:ascii="宋体" w:hAnsi="宋体" w:cs="宋体"/>
                <w:kern w:val="0"/>
                <w:sz w:val="24"/>
                <w:szCs w:val="24"/>
              </w:rPr>
              <w:t>投标总报价</w:t>
            </w:r>
          </w:p>
          <w:p w14:paraId="254F2111">
            <w:pPr>
              <w:keepNext w:val="0"/>
              <w:keepLines w:val="0"/>
              <w:suppressLineNumbers w:val="0"/>
              <w:spacing w:before="0" w:beforeAutospacing="0" w:after="0" w:afterAutospacing="0"/>
              <w:ind w:left="0" w:right="0"/>
              <w:jc w:val="center"/>
              <w:rPr>
                <w:rFonts w:hint="default" w:ascii="宋体" w:hAnsi="宋体" w:cs="宋体"/>
                <w:kern w:val="0"/>
                <w:sz w:val="24"/>
                <w:szCs w:val="24"/>
              </w:rPr>
            </w:pPr>
            <w:r>
              <w:rPr>
                <w:rFonts w:hint="eastAsia" w:ascii="宋体" w:hAnsi="宋体" w:cs="宋体"/>
                <w:kern w:val="0"/>
                <w:sz w:val="24"/>
                <w:szCs w:val="24"/>
              </w:rPr>
              <w:t>（元）</w:t>
            </w:r>
          </w:p>
        </w:tc>
        <w:tc>
          <w:tcPr>
            <w:tcW w:w="2693" w:type="dxa"/>
            <w:vAlign w:val="center"/>
          </w:tcPr>
          <w:p w14:paraId="5D674B97">
            <w:pPr>
              <w:keepNext w:val="0"/>
              <w:keepLines w:val="0"/>
              <w:suppressLineNumbers w:val="0"/>
              <w:spacing w:before="0" w:beforeAutospacing="0" w:after="0" w:afterAutospacing="0"/>
              <w:ind w:left="0" w:right="0"/>
              <w:jc w:val="center"/>
              <w:rPr>
                <w:rFonts w:hint="eastAsia" w:ascii="宋体" w:hAnsi="宋体" w:cs="宋体"/>
                <w:color w:val="000000" w:themeColor="text1"/>
                <w:kern w:val="0"/>
                <w:sz w:val="24"/>
                <w:szCs w:val="24"/>
                <w:lang w:val="en-US" w:eastAsia="zh-CN"/>
                <w14:textFill>
                  <w14:solidFill>
                    <w14:schemeClr w14:val="tx1"/>
                  </w14:solidFill>
                </w14:textFill>
              </w:rPr>
            </w:pPr>
            <w:r>
              <w:rPr>
                <w:rFonts w:hint="eastAsia" w:ascii="宋体" w:hAnsi="宋体" w:cs="宋体"/>
                <w:color w:val="000000" w:themeColor="text1"/>
                <w:kern w:val="0"/>
                <w:sz w:val="24"/>
                <w:szCs w:val="24"/>
                <w:lang w:val="en-US" w:eastAsia="zh-CN"/>
                <w14:textFill>
                  <w14:solidFill>
                    <w14:schemeClr w14:val="tx1"/>
                  </w14:solidFill>
                </w14:textFill>
              </w:rPr>
              <w:t>合同履行期</w:t>
            </w:r>
          </w:p>
          <w:p w14:paraId="30DB3CA8">
            <w:pPr>
              <w:keepNext w:val="0"/>
              <w:keepLines w:val="0"/>
              <w:suppressLineNumbers w:val="0"/>
              <w:spacing w:before="0" w:beforeAutospacing="0" w:after="0" w:afterAutospacing="0"/>
              <w:ind w:left="0" w:right="0"/>
              <w:jc w:val="center"/>
              <w:rPr>
                <w:rFonts w:hint="default" w:ascii="宋体" w:hAnsi="宋体" w:cs="宋体"/>
                <w:kern w:val="0"/>
                <w:sz w:val="24"/>
                <w:szCs w:val="24"/>
              </w:rPr>
            </w:pPr>
            <w:r>
              <w:rPr>
                <w:rFonts w:hint="eastAsia" w:ascii="宋体" w:hAnsi="宋体" w:cs="宋体"/>
                <w:color w:val="000000" w:themeColor="text1"/>
                <w:kern w:val="0"/>
                <w:sz w:val="24"/>
                <w:szCs w:val="24"/>
                <w14:textFill>
                  <w14:solidFill>
                    <w14:schemeClr w14:val="tx1"/>
                  </w14:solidFill>
                </w14:textFill>
              </w:rPr>
              <w:t>（</w:t>
            </w:r>
            <w:r>
              <w:rPr>
                <w:rFonts w:hint="eastAsia" w:ascii="宋体" w:hAnsi="宋体" w:cs="宋体"/>
                <w:color w:val="auto"/>
                <w:kern w:val="0"/>
                <w:sz w:val="24"/>
                <w:szCs w:val="24"/>
                <w:lang w:val="en-US" w:eastAsia="zh-CN" w:bidi="ar-SA"/>
              </w:rPr>
              <w:t>日历天</w:t>
            </w:r>
            <w:r>
              <w:rPr>
                <w:rFonts w:hint="eastAsia" w:ascii="宋体" w:hAnsi="宋体" w:cs="宋体"/>
                <w:color w:val="000000" w:themeColor="text1"/>
                <w:kern w:val="0"/>
                <w:sz w:val="24"/>
                <w:szCs w:val="24"/>
                <w14:textFill>
                  <w14:solidFill>
                    <w14:schemeClr w14:val="tx1"/>
                  </w14:solidFill>
                </w14:textFill>
              </w:rPr>
              <w:t>）</w:t>
            </w:r>
          </w:p>
        </w:tc>
        <w:tc>
          <w:tcPr>
            <w:tcW w:w="2028" w:type="dxa"/>
            <w:vAlign w:val="center"/>
          </w:tcPr>
          <w:p w14:paraId="306BF0AA">
            <w:pPr>
              <w:keepNext w:val="0"/>
              <w:keepLines w:val="0"/>
              <w:suppressLineNumbers w:val="0"/>
              <w:spacing w:before="0" w:beforeAutospacing="0" w:after="0" w:afterAutospacing="0"/>
              <w:ind w:left="0" w:right="0"/>
              <w:jc w:val="center"/>
              <w:rPr>
                <w:rFonts w:hint="eastAsia" w:ascii="宋体" w:hAnsi="宋体" w:eastAsia="宋体" w:cs="宋体"/>
                <w:kern w:val="0"/>
                <w:sz w:val="24"/>
                <w:szCs w:val="24"/>
                <w:lang w:eastAsia="zh-CN"/>
              </w:rPr>
            </w:pPr>
            <w:r>
              <w:rPr>
                <w:rFonts w:hint="eastAsia" w:ascii="宋体" w:hAnsi="宋体" w:cs="宋体"/>
                <w:color w:val="000000" w:themeColor="text1"/>
                <w:kern w:val="0"/>
                <w:sz w:val="24"/>
                <w:szCs w:val="24"/>
                <w:lang w:val="en-US" w:eastAsia="zh-CN"/>
                <w14:textFill>
                  <w14:solidFill>
                    <w14:schemeClr w14:val="tx1"/>
                  </w14:solidFill>
                </w14:textFill>
              </w:rPr>
              <w:t>质保期</w:t>
            </w:r>
          </w:p>
        </w:tc>
        <w:tc>
          <w:tcPr>
            <w:tcW w:w="2038" w:type="dxa"/>
            <w:vAlign w:val="center"/>
          </w:tcPr>
          <w:p w14:paraId="3F1589B1">
            <w:pPr>
              <w:keepNext w:val="0"/>
              <w:keepLines w:val="0"/>
              <w:suppressLineNumbers w:val="0"/>
              <w:spacing w:before="0" w:beforeAutospacing="0" w:after="0" w:afterAutospacing="0"/>
              <w:ind w:left="0" w:right="0"/>
              <w:jc w:val="center"/>
              <w:rPr>
                <w:rFonts w:hint="default" w:ascii="宋体" w:hAnsi="宋体" w:eastAsia="宋体" w:cs="宋体"/>
                <w:kern w:val="0"/>
                <w:sz w:val="24"/>
                <w:szCs w:val="24"/>
                <w:lang w:val="en-US" w:eastAsia="zh-CN"/>
              </w:rPr>
            </w:pPr>
            <w:r>
              <w:rPr>
                <w:rFonts w:hint="eastAsia" w:ascii="宋体" w:hAnsi="宋体"/>
                <w:color w:val="000000" w:themeColor="text1"/>
                <w:kern w:val="0"/>
                <w:sz w:val="24"/>
                <w:szCs w:val="24"/>
                <w:highlight w:val="none"/>
                <w:lang w:val="en-US" w:eastAsia="zh-CN"/>
                <w14:textFill>
                  <w14:solidFill>
                    <w14:schemeClr w14:val="tx1"/>
                  </w14:solidFill>
                </w14:textFill>
              </w:rPr>
              <w:t>备注</w:t>
            </w:r>
          </w:p>
        </w:tc>
      </w:tr>
      <w:tr w14:paraId="7CA5E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3119" w:type="dxa"/>
            <w:vAlign w:val="center"/>
          </w:tcPr>
          <w:p w14:paraId="329837E7">
            <w:pPr>
              <w:keepNext w:val="0"/>
              <w:keepLines w:val="0"/>
              <w:suppressLineNumbers w:val="0"/>
              <w:spacing w:before="0" w:beforeAutospacing="0" w:after="0" w:afterAutospacing="0"/>
              <w:ind w:left="0" w:right="0"/>
              <w:jc w:val="center"/>
              <w:rPr>
                <w:rFonts w:hint="default" w:ascii="宋体" w:hAnsi="宋体" w:cs="宋体"/>
                <w:kern w:val="0"/>
                <w:sz w:val="24"/>
                <w:szCs w:val="24"/>
              </w:rPr>
            </w:pPr>
          </w:p>
        </w:tc>
        <w:tc>
          <w:tcPr>
            <w:tcW w:w="2693" w:type="dxa"/>
            <w:vAlign w:val="center"/>
          </w:tcPr>
          <w:p w14:paraId="4E0001D6">
            <w:pPr>
              <w:keepNext w:val="0"/>
              <w:keepLines w:val="0"/>
              <w:suppressLineNumbers w:val="0"/>
              <w:spacing w:before="0" w:beforeAutospacing="0" w:after="0" w:afterAutospacing="0"/>
              <w:ind w:left="0" w:right="0"/>
              <w:jc w:val="center"/>
              <w:rPr>
                <w:rFonts w:hint="default" w:ascii="宋体" w:hAnsi="宋体" w:cs="宋体"/>
                <w:kern w:val="0"/>
                <w:sz w:val="24"/>
                <w:szCs w:val="24"/>
              </w:rPr>
            </w:pPr>
          </w:p>
        </w:tc>
        <w:tc>
          <w:tcPr>
            <w:tcW w:w="2028" w:type="dxa"/>
            <w:vAlign w:val="center"/>
          </w:tcPr>
          <w:p w14:paraId="032C7362">
            <w:pPr>
              <w:keepNext w:val="0"/>
              <w:keepLines w:val="0"/>
              <w:suppressLineNumbers w:val="0"/>
              <w:spacing w:before="0" w:beforeAutospacing="0" w:after="0" w:afterAutospacing="0"/>
              <w:ind w:left="0" w:right="0"/>
              <w:jc w:val="center"/>
              <w:rPr>
                <w:rFonts w:hint="default" w:ascii="宋体" w:hAnsi="宋体" w:cs="宋体"/>
                <w:kern w:val="0"/>
                <w:sz w:val="24"/>
                <w:szCs w:val="24"/>
              </w:rPr>
            </w:pPr>
          </w:p>
        </w:tc>
        <w:tc>
          <w:tcPr>
            <w:tcW w:w="2038" w:type="dxa"/>
          </w:tcPr>
          <w:p w14:paraId="22D8C57B">
            <w:pPr>
              <w:keepNext w:val="0"/>
              <w:keepLines w:val="0"/>
              <w:suppressLineNumbers w:val="0"/>
              <w:spacing w:before="0" w:beforeAutospacing="0" w:after="0" w:afterAutospacing="0"/>
              <w:ind w:left="0" w:right="0"/>
              <w:jc w:val="center"/>
              <w:rPr>
                <w:rFonts w:hint="default" w:ascii="宋体" w:hAnsi="宋体" w:cs="宋体"/>
                <w:kern w:val="0"/>
                <w:sz w:val="24"/>
                <w:szCs w:val="24"/>
              </w:rPr>
            </w:pPr>
          </w:p>
        </w:tc>
      </w:tr>
      <w:tr w14:paraId="1F679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878" w:type="dxa"/>
            <w:gridSpan w:val="4"/>
            <w:vAlign w:val="center"/>
          </w:tcPr>
          <w:p w14:paraId="56B52FE8">
            <w:pPr>
              <w:keepNext w:val="0"/>
              <w:keepLines w:val="0"/>
              <w:suppressLineNumbers w:val="0"/>
              <w:spacing w:before="0" w:beforeAutospacing="0" w:after="0" w:afterAutospacing="0"/>
              <w:ind w:left="0" w:right="0"/>
              <w:jc w:val="both"/>
              <w:rPr>
                <w:rFonts w:hint="default" w:ascii="宋体" w:hAnsi="宋体" w:cs="宋体"/>
                <w:kern w:val="0"/>
                <w:sz w:val="24"/>
                <w:szCs w:val="24"/>
              </w:rPr>
            </w:pPr>
            <w:r>
              <w:rPr>
                <w:rFonts w:hint="eastAsia" w:ascii="宋体" w:hAnsi="宋体" w:cs="宋体"/>
                <w:kern w:val="0"/>
                <w:sz w:val="24"/>
                <w:szCs w:val="24"/>
              </w:rPr>
              <w:t>投标总报价（大写）：                            （小写：￥       ）</w:t>
            </w:r>
          </w:p>
        </w:tc>
      </w:tr>
      <w:tr w14:paraId="6FE53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9878" w:type="dxa"/>
            <w:gridSpan w:val="4"/>
            <w:vAlign w:val="center"/>
          </w:tcPr>
          <w:p w14:paraId="2856B9F7">
            <w:pPr>
              <w:keepNext w:val="0"/>
              <w:keepLines w:val="0"/>
              <w:suppressLineNumbers w:val="0"/>
              <w:spacing w:before="0" w:beforeAutospacing="0" w:after="0" w:afterAutospacing="0"/>
              <w:ind w:left="0" w:right="0"/>
              <w:rPr>
                <w:rFonts w:hint="default" w:ascii="宋体" w:hAnsi="宋体" w:cs="宋体"/>
                <w:kern w:val="0"/>
                <w:sz w:val="24"/>
                <w:szCs w:val="24"/>
              </w:rPr>
            </w:pPr>
            <w:r>
              <w:rPr>
                <w:rFonts w:hint="eastAsia" w:ascii="宋体" w:hAnsi="宋体" w:cs="宋体"/>
                <w:kern w:val="0"/>
                <w:sz w:val="24"/>
                <w:szCs w:val="24"/>
              </w:rPr>
              <w:t>备注：表内总报价保留小数点后两位。</w:t>
            </w:r>
          </w:p>
        </w:tc>
      </w:tr>
    </w:tbl>
    <w:p w14:paraId="1EB3BA89">
      <w:pPr>
        <w:kinsoku w:val="0"/>
        <w:spacing w:line="500" w:lineRule="exact"/>
        <w:rPr>
          <w:rFonts w:ascii="宋体" w:hAnsi="宋体"/>
          <w:sz w:val="24"/>
          <w:szCs w:val="24"/>
        </w:rPr>
      </w:pPr>
      <w:r>
        <w:rPr>
          <w:rFonts w:hint="eastAsia" w:ascii="宋体" w:hAnsi="宋体"/>
          <w:sz w:val="24"/>
          <w:szCs w:val="24"/>
        </w:rPr>
        <w:t xml:space="preserve">                                                               </w:t>
      </w:r>
    </w:p>
    <w:p w14:paraId="548D868B">
      <w:pPr>
        <w:widowControl/>
        <w:rPr>
          <w:rFonts w:ascii="宋体" w:hAnsi="宋体" w:cs="宋体"/>
          <w:bCs/>
          <w:kern w:val="0"/>
          <w:sz w:val="24"/>
        </w:rPr>
      </w:pPr>
      <w:r>
        <w:rPr>
          <w:rFonts w:hint="eastAsia" w:ascii="宋体" w:hAnsi="宋体" w:cs="宋体"/>
          <w:bCs/>
          <w:kern w:val="0"/>
          <w:sz w:val="24"/>
        </w:rPr>
        <w:t>说明：</w:t>
      </w:r>
    </w:p>
    <w:p w14:paraId="6A60E4F5">
      <w:pPr>
        <w:numPr>
          <w:ilvl w:val="0"/>
          <w:numId w:val="9"/>
        </w:numPr>
        <w:autoSpaceDE w:val="0"/>
        <w:autoSpaceDN w:val="0"/>
        <w:adjustRightInd w:val="0"/>
        <w:spacing w:line="360" w:lineRule="exact"/>
        <w:ind w:firstLine="480" w:firstLineChars="200"/>
        <w:rPr>
          <w:rFonts w:ascii="宋体" w:hAnsi="宋体" w:cs="宋体"/>
          <w:sz w:val="24"/>
        </w:rPr>
      </w:pPr>
      <w:r>
        <w:rPr>
          <w:rFonts w:hint="eastAsia" w:ascii="宋体" w:hAnsi="宋体" w:cs="宋体"/>
          <w:sz w:val="24"/>
        </w:rPr>
        <w:t>任何有选择的报价将不予接受（不可修正或者另行备注此报价表），否则按无效文件处理。</w:t>
      </w:r>
    </w:p>
    <w:p w14:paraId="2E4EAC60">
      <w:pPr>
        <w:numPr>
          <w:ilvl w:val="0"/>
          <w:numId w:val="9"/>
        </w:numPr>
        <w:autoSpaceDE w:val="0"/>
        <w:autoSpaceDN w:val="0"/>
        <w:adjustRightInd w:val="0"/>
        <w:spacing w:line="360" w:lineRule="exact"/>
        <w:ind w:firstLine="480" w:firstLineChars="200"/>
        <w:rPr>
          <w:rFonts w:ascii="宋体" w:hAnsi="宋体" w:cs="宋体"/>
          <w:sz w:val="24"/>
        </w:rPr>
      </w:pPr>
      <w:r>
        <w:rPr>
          <w:rFonts w:hint="eastAsia" w:ascii="宋体" w:hAnsi="宋体" w:cs="宋体"/>
          <w:sz w:val="24"/>
        </w:rPr>
        <w:t>投标报价表中标明完成本次招标所要求的货物、服务且验收合格的所有费用，</w:t>
      </w:r>
      <w:r>
        <w:rPr>
          <w:rFonts w:hint="eastAsia" w:ascii="宋体" w:hAnsi="宋体" w:cs="宋体"/>
          <w:sz w:val="24"/>
          <w:lang w:val="en-US" w:eastAsia="zh-CN"/>
        </w:rPr>
        <w:t>以及</w:t>
      </w:r>
      <w:r>
        <w:rPr>
          <w:rFonts w:hint="eastAsia" w:ascii="宋体" w:hAnsi="宋体" w:cs="宋体"/>
          <w:sz w:val="24"/>
        </w:rPr>
        <w:t>履行合同产生的一切相关费用。</w:t>
      </w:r>
    </w:p>
    <w:p w14:paraId="441DFC0E"/>
    <w:p w14:paraId="518B3F84">
      <w:pPr>
        <w:pStyle w:val="38"/>
      </w:pPr>
    </w:p>
    <w:p w14:paraId="12FB28CD">
      <w:pPr>
        <w:spacing w:line="360" w:lineRule="auto"/>
        <w:rPr>
          <w:rFonts w:hint="eastAsia" w:ascii="宋体" w:hAnsi="宋体" w:eastAsia="宋体"/>
          <w:sz w:val="24"/>
          <w:szCs w:val="24"/>
          <w:lang w:eastAsia="zh-CN"/>
        </w:rPr>
      </w:pPr>
      <w:r>
        <w:rPr>
          <w:rFonts w:hint="eastAsia" w:ascii="宋体" w:hAnsi="宋体" w:cs="仿宋"/>
          <w:sz w:val="24"/>
          <w:szCs w:val="24"/>
        </w:rPr>
        <w:t>投标人名称（盖章）</w:t>
      </w:r>
      <w:r>
        <w:rPr>
          <w:rFonts w:hint="eastAsia" w:ascii="宋体" w:hAnsi="宋体" w:cs="仿宋"/>
          <w:sz w:val="24"/>
          <w:szCs w:val="24"/>
          <w:lang w:eastAsia="zh-CN"/>
        </w:rPr>
        <w:t>：</w:t>
      </w:r>
    </w:p>
    <w:p w14:paraId="71184450">
      <w:pPr>
        <w:spacing w:line="360" w:lineRule="auto"/>
        <w:rPr>
          <w:rFonts w:ascii="宋体" w:hAnsi="宋体" w:cs="仿宋"/>
          <w:sz w:val="24"/>
          <w:szCs w:val="24"/>
        </w:rPr>
      </w:pPr>
      <w:r>
        <w:rPr>
          <w:rFonts w:hint="eastAsia" w:ascii="宋体" w:hAnsi="宋体" w:cs="仿宋"/>
          <w:sz w:val="24"/>
          <w:szCs w:val="24"/>
        </w:rPr>
        <w:t>法定代表人或被授权人：</w:t>
      </w:r>
      <w:r>
        <w:rPr>
          <w:rFonts w:hint="eastAsia" w:ascii="宋体" w:hAnsi="宋体" w:cs="仿宋"/>
          <w:sz w:val="24"/>
          <w:szCs w:val="24"/>
          <w:lang w:eastAsia="zh-CN"/>
        </w:rPr>
        <w:t>（</w:t>
      </w:r>
      <w:r>
        <w:rPr>
          <w:rFonts w:hint="eastAsia" w:ascii="宋体" w:hAnsi="宋体" w:cs="仿宋"/>
          <w:sz w:val="24"/>
          <w:szCs w:val="24"/>
        </w:rPr>
        <w:t>签字或盖章</w:t>
      </w:r>
      <w:r>
        <w:rPr>
          <w:rFonts w:hint="eastAsia" w:ascii="宋体" w:hAnsi="宋体" w:cs="仿宋"/>
          <w:sz w:val="24"/>
          <w:szCs w:val="24"/>
          <w:lang w:eastAsia="zh-CN"/>
        </w:rPr>
        <w:t>）</w:t>
      </w:r>
    </w:p>
    <w:p w14:paraId="71DE5492">
      <w:pPr>
        <w:tabs>
          <w:tab w:val="left" w:pos="3045"/>
        </w:tabs>
        <w:spacing w:line="360" w:lineRule="auto"/>
        <w:rPr>
          <w:rFonts w:ascii="宋体" w:hAnsi="宋体"/>
          <w:color w:val="auto"/>
          <w:sz w:val="24"/>
          <w:szCs w:val="24"/>
        </w:rPr>
      </w:pPr>
      <w:r>
        <w:rPr>
          <w:rFonts w:hint="eastAsia" w:ascii="宋体" w:hAnsi="宋体"/>
          <w:sz w:val="24"/>
          <w:szCs w:val="24"/>
        </w:rPr>
        <w:t>日      期：</w:t>
      </w:r>
      <w:r>
        <w:rPr>
          <w:rFonts w:hint="eastAsia" w:ascii="宋体" w:hAnsi="宋体"/>
          <w:color w:val="auto"/>
          <w:sz w:val="24"/>
          <w:szCs w:val="24"/>
        </w:rPr>
        <w:tab/>
      </w:r>
    </w:p>
    <w:p w14:paraId="4F406D4D">
      <w:pPr>
        <w:widowControl/>
        <w:jc w:val="left"/>
        <w:rPr>
          <w:rFonts w:ascii="Calibri Light" w:hAnsi="Calibri Light"/>
          <w:b/>
          <w:bCs/>
          <w:color w:val="auto"/>
          <w:sz w:val="32"/>
          <w:szCs w:val="32"/>
        </w:rPr>
      </w:pPr>
      <w:bookmarkStart w:id="116" w:name="_Toc484890088"/>
      <w:r>
        <w:rPr>
          <w:color w:val="auto"/>
        </w:rPr>
        <w:br w:type="page"/>
      </w:r>
    </w:p>
    <w:bookmarkEnd w:id="116"/>
    <w:p w14:paraId="1D146F5F">
      <w:pPr>
        <w:pStyle w:val="3"/>
        <w:jc w:val="center"/>
        <w:rPr>
          <w:rFonts w:hint="eastAsia"/>
          <w:color w:val="auto"/>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115BC9A0">
      <w:pPr>
        <w:pStyle w:val="3"/>
        <w:jc w:val="center"/>
      </w:pPr>
      <w:bookmarkStart w:id="117" w:name="_Toc26541336"/>
      <w:r>
        <w:rPr>
          <w:rFonts w:hint="eastAsia"/>
        </w:rPr>
        <w:t>投标分项报价表</w:t>
      </w:r>
      <w:bookmarkEnd w:id="117"/>
    </w:p>
    <w:p w14:paraId="4FA93359"/>
    <w:p w14:paraId="586280B5">
      <w:pPr>
        <w:spacing w:line="480" w:lineRule="exact"/>
        <w:rPr>
          <w:rFonts w:hint="eastAsia" w:ascii="宋体" w:hAnsi="宋体" w:eastAsia="宋体"/>
          <w:sz w:val="24"/>
          <w:szCs w:val="24"/>
        </w:rPr>
      </w:pPr>
      <w:r>
        <w:rPr>
          <w:rFonts w:hint="eastAsia" w:ascii="宋体" w:hAnsi="宋体"/>
          <w:sz w:val="24"/>
          <w:szCs w:val="24"/>
        </w:rPr>
        <w:t>项目名称：</w:t>
      </w:r>
      <w:r>
        <w:rPr>
          <w:rFonts w:hint="eastAsia" w:ascii="宋体" w:hAnsi="宋体"/>
          <w:sz w:val="24"/>
          <w:szCs w:val="24"/>
          <w:lang w:val="en-US" w:eastAsia="zh-CN"/>
        </w:rPr>
        <w:t xml:space="preserve">                                           </w:t>
      </w:r>
      <w:r>
        <w:rPr>
          <w:rFonts w:hint="eastAsia" w:ascii="宋体" w:hAnsi="宋体" w:eastAsia="宋体"/>
          <w:sz w:val="24"/>
          <w:szCs w:val="24"/>
        </w:rPr>
        <w:t xml:space="preserve">第 </w:t>
      </w:r>
      <w:r>
        <w:rPr>
          <w:rFonts w:ascii="宋体" w:hAnsi="宋体" w:eastAsia="宋体"/>
          <w:sz w:val="24"/>
          <w:szCs w:val="24"/>
        </w:rPr>
        <w:t xml:space="preserve"> </w:t>
      </w:r>
      <w:r>
        <w:rPr>
          <w:rFonts w:hint="eastAsia" w:ascii="宋体" w:hAnsi="宋体" w:eastAsia="宋体"/>
          <w:sz w:val="24"/>
          <w:szCs w:val="24"/>
        </w:rPr>
        <w:t>页   共</w:t>
      </w:r>
      <w:r>
        <w:rPr>
          <w:rFonts w:hint="eastAsia" w:ascii="宋体" w:hAnsi="宋体"/>
          <w:sz w:val="24"/>
          <w:szCs w:val="24"/>
          <w:lang w:val="en-US" w:eastAsia="zh-CN"/>
        </w:rPr>
        <w:t xml:space="preserve"> </w:t>
      </w:r>
      <w:r>
        <w:rPr>
          <w:rFonts w:hint="eastAsia" w:ascii="宋体" w:hAnsi="宋体" w:eastAsia="宋体"/>
          <w:sz w:val="24"/>
          <w:szCs w:val="24"/>
        </w:rPr>
        <w:t xml:space="preserve"> 页</w:t>
      </w:r>
    </w:p>
    <w:p w14:paraId="4BF69148">
      <w:pPr>
        <w:pStyle w:val="18"/>
        <w:rPr>
          <w:rFonts w:hint="eastAsia" w:eastAsia="宋体"/>
          <w:lang w:val="en-US" w:eastAsia="zh-CN"/>
        </w:rPr>
      </w:pPr>
    </w:p>
    <w:tbl>
      <w:tblPr>
        <w:tblStyle w:val="43"/>
        <w:tblpPr w:leftFromText="180" w:rightFromText="180" w:vertAnchor="text" w:horzAnchor="page" w:tblpXSpec="center" w:tblpY="321"/>
        <w:tblOverlap w:val="never"/>
        <w:tblW w:w="107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621"/>
        <w:gridCol w:w="1123"/>
        <w:gridCol w:w="1123"/>
        <w:gridCol w:w="2273"/>
        <w:gridCol w:w="1017"/>
        <w:gridCol w:w="965"/>
        <w:gridCol w:w="965"/>
        <w:gridCol w:w="8"/>
        <w:gridCol w:w="962"/>
      </w:tblGrid>
      <w:tr w14:paraId="7ABD0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722" w:type="dxa"/>
            <w:vAlign w:val="center"/>
          </w:tcPr>
          <w:p w14:paraId="749210C6">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r>
              <w:rPr>
                <w:rFonts w:hint="eastAsia" w:ascii="宋体" w:hAnsi="宋体" w:cs="宋体"/>
                <w:sz w:val="24"/>
                <w:szCs w:val="24"/>
              </w:rPr>
              <w:t>序号</w:t>
            </w:r>
          </w:p>
        </w:tc>
        <w:tc>
          <w:tcPr>
            <w:tcW w:w="1621" w:type="dxa"/>
            <w:vAlign w:val="center"/>
          </w:tcPr>
          <w:p w14:paraId="1BEA781A">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r>
              <w:rPr>
                <w:rFonts w:hint="eastAsia" w:ascii="宋体" w:hAnsi="宋体" w:cs="宋体"/>
                <w:sz w:val="24"/>
                <w:szCs w:val="24"/>
              </w:rPr>
              <w:t>名称</w:t>
            </w:r>
          </w:p>
        </w:tc>
        <w:tc>
          <w:tcPr>
            <w:tcW w:w="1123" w:type="dxa"/>
            <w:vAlign w:val="center"/>
          </w:tcPr>
          <w:p w14:paraId="64AE85C7">
            <w:pPr>
              <w:keepNext w:val="0"/>
              <w:keepLines w:val="0"/>
              <w:suppressLineNumbers w:val="0"/>
              <w:spacing w:before="0" w:beforeAutospacing="0" w:after="0" w:afterAutospacing="0" w:line="520" w:lineRule="exact"/>
              <w:ind w:left="0" w:right="0"/>
              <w:jc w:val="center"/>
              <w:rPr>
                <w:rFonts w:hint="eastAsia" w:ascii="宋体" w:hAnsi="宋体" w:cs="宋体"/>
                <w:sz w:val="24"/>
                <w:szCs w:val="24"/>
              </w:rPr>
            </w:pPr>
            <w:r>
              <w:rPr>
                <w:rFonts w:hint="eastAsia" w:ascii="宋体" w:hAnsi="宋体" w:cs="宋体"/>
                <w:sz w:val="24"/>
                <w:szCs w:val="24"/>
              </w:rPr>
              <w:t>品牌</w:t>
            </w:r>
          </w:p>
        </w:tc>
        <w:tc>
          <w:tcPr>
            <w:tcW w:w="1123" w:type="dxa"/>
            <w:vAlign w:val="center"/>
          </w:tcPr>
          <w:p w14:paraId="1A75CC2D">
            <w:pPr>
              <w:keepNext w:val="0"/>
              <w:keepLines w:val="0"/>
              <w:suppressLineNumbers w:val="0"/>
              <w:spacing w:before="0" w:beforeAutospacing="0" w:after="0" w:afterAutospacing="0" w:line="520" w:lineRule="exact"/>
              <w:ind w:left="0" w:right="0"/>
              <w:jc w:val="center"/>
              <w:rPr>
                <w:rFonts w:hint="eastAsia" w:ascii="宋体" w:hAnsi="宋体" w:cs="宋体"/>
                <w:sz w:val="24"/>
                <w:szCs w:val="24"/>
                <w:lang w:val="en-US" w:eastAsia="zh-CN"/>
              </w:rPr>
            </w:pPr>
            <w:r>
              <w:rPr>
                <w:rFonts w:hint="eastAsia" w:ascii="宋体" w:hAnsi="宋体" w:cs="宋体"/>
                <w:sz w:val="24"/>
                <w:szCs w:val="24"/>
                <w:lang w:val="en-US" w:eastAsia="zh-CN"/>
              </w:rPr>
              <w:t>规格</w:t>
            </w:r>
          </w:p>
          <w:p w14:paraId="01C08B7D">
            <w:pPr>
              <w:keepNext w:val="0"/>
              <w:keepLines w:val="0"/>
              <w:suppressLineNumbers w:val="0"/>
              <w:spacing w:before="0" w:beforeAutospacing="0" w:after="0" w:afterAutospacing="0" w:line="520" w:lineRule="exact"/>
              <w:ind w:left="0" w:right="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型号</w:t>
            </w:r>
          </w:p>
        </w:tc>
        <w:tc>
          <w:tcPr>
            <w:tcW w:w="2273" w:type="dxa"/>
            <w:vAlign w:val="center"/>
          </w:tcPr>
          <w:p w14:paraId="0B680A2E">
            <w:pPr>
              <w:keepNext w:val="0"/>
              <w:keepLines w:val="0"/>
              <w:suppressLineNumbers w:val="0"/>
              <w:spacing w:before="0" w:beforeAutospacing="0" w:after="0" w:afterAutospacing="0" w:line="300" w:lineRule="exact"/>
              <w:ind w:left="0" w:right="0"/>
              <w:jc w:val="center"/>
              <w:rPr>
                <w:rFonts w:hint="default" w:ascii="宋体" w:hAnsi="宋体" w:cs="宋体"/>
                <w:sz w:val="24"/>
                <w:szCs w:val="24"/>
              </w:rPr>
            </w:pPr>
            <w:r>
              <w:rPr>
                <w:rFonts w:hint="eastAsia" w:ascii="宋体" w:hAnsi="宋体" w:cs="宋体"/>
                <w:kern w:val="0"/>
                <w:sz w:val="24"/>
                <w:szCs w:val="24"/>
              </w:rPr>
              <w:t>生产厂家</w:t>
            </w:r>
          </w:p>
        </w:tc>
        <w:tc>
          <w:tcPr>
            <w:tcW w:w="1017" w:type="dxa"/>
            <w:vAlign w:val="center"/>
          </w:tcPr>
          <w:p w14:paraId="568EDD46">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r>
              <w:rPr>
                <w:rFonts w:hint="eastAsia" w:ascii="宋体" w:hAnsi="宋体" w:cs="宋体"/>
                <w:sz w:val="24"/>
                <w:szCs w:val="24"/>
              </w:rPr>
              <w:t>单位</w:t>
            </w:r>
          </w:p>
        </w:tc>
        <w:tc>
          <w:tcPr>
            <w:tcW w:w="965" w:type="dxa"/>
            <w:vAlign w:val="center"/>
          </w:tcPr>
          <w:p w14:paraId="0D092ED1">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r>
              <w:rPr>
                <w:rFonts w:hint="eastAsia" w:ascii="宋体" w:hAnsi="宋体" w:cs="宋体"/>
                <w:sz w:val="24"/>
                <w:szCs w:val="24"/>
              </w:rPr>
              <w:t>数量</w:t>
            </w:r>
          </w:p>
        </w:tc>
        <w:tc>
          <w:tcPr>
            <w:tcW w:w="965" w:type="dxa"/>
            <w:vAlign w:val="center"/>
          </w:tcPr>
          <w:p w14:paraId="20A22055">
            <w:pPr>
              <w:keepNext w:val="0"/>
              <w:keepLines w:val="0"/>
              <w:suppressLineNumbers w:val="0"/>
              <w:spacing w:before="0" w:beforeAutospacing="0" w:after="0" w:afterAutospacing="0" w:line="300" w:lineRule="exact"/>
              <w:ind w:left="0" w:right="0"/>
              <w:jc w:val="center"/>
              <w:rPr>
                <w:rFonts w:hint="default" w:ascii="宋体" w:hAnsi="宋体" w:cs="宋体"/>
                <w:sz w:val="24"/>
                <w:szCs w:val="24"/>
              </w:rPr>
            </w:pPr>
            <w:r>
              <w:rPr>
                <w:rFonts w:hint="eastAsia" w:ascii="宋体" w:hAnsi="宋体" w:cs="宋体"/>
                <w:sz w:val="24"/>
                <w:szCs w:val="24"/>
              </w:rPr>
              <w:t>单价（元）</w:t>
            </w:r>
          </w:p>
        </w:tc>
        <w:tc>
          <w:tcPr>
            <w:tcW w:w="970" w:type="dxa"/>
            <w:gridSpan w:val="2"/>
            <w:vAlign w:val="center"/>
          </w:tcPr>
          <w:p w14:paraId="0392C987">
            <w:pPr>
              <w:keepNext w:val="0"/>
              <w:keepLines w:val="0"/>
              <w:suppressLineNumbers w:val="0"/>
              <w:spacing w:before="0" w:beforeAutospacing="0" w:after="0" w:afterAutospacing="0" w:line="300" w:lineRule="exact"/>
              <w:ind w:left="0" w:right="0"/>
              <w:jc w:val="center"/>
              <w:rPr>
                <w:rFonts w:hint="default" w:ascii="宋体" w:hAnsi="宋体" w:cs="宋体"/>
                <w:sz w:val="24"/>
                <w:szCs w:val="24"/>
              </w:rPr>
            </w:pPr>
            <w:r>
              <w:rPr>
                <w:rFonts w:hint="eastAsia" w:ascii="宋体" w:hAnsi="宋体" w:cs="宋体"/>
                <w:sz w:val="24"/>
                <w:szCs w:val="24"/>
              </w:rPr>
              <w:t>总价</w:t>
            </w:r>
          </w:p>
          <w:p w14:paraId="4E0670B7">
            <w:pPr>
              <w:keepNext w:val="0"/>
              <w:keepLines w:val="0"/>
              <w:suppressLineNumbers w:val="0"/>
              <w:spacing w:before="0" w:beforeAutospacing="0" w:after="0" w:afterAutospacing="0" w:line="300" w:lineRule="exact"/>
              <w:ind w:left="0" w:right="0"/>
              <w:jc w:val="center"/>
              <w:rPr>
                <w:rFonts w:hint="default" w:ascii="宋体" w:hAnsi="宋体" w:cs="宋体"/>
                <w:sz w:val="24"/>
                <w:szCs w:val="24"/>
              </w:rPr>
            </w:pPr>
            <w:r>
              <w:rPr>
                <w:rFonts w:hint="eastAsia" w:ascii="宋体" w:hAnsi="宋体" w:cs="宋体"/>
                <w:sz w:val="24"/>
                <w:szCs w:val="24"/>
              </w:rPr>
              <w:t>（元）</w:t>
            </w:r>
          </w:p>
        </w:tc>
      </w:tr>
      <w:tr w14:paraId="59B9C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2" w:type="dxa"/>
          </w:tcPr>
          <w:p w14:paraId="04303749">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621" w:type="dxa"/>
          </w:tcPr>
          <w:p w14:paraId="334571E4">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123" w:type="dxa"/>
          </w:tcPr>
          <w:p w14:paraId="7667A650">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123" w:type="dxa"/>
          </w:tcPr>
          <w:p w14:paraId="0972E294">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2273" w:type="dxa"/>
          </w:tcPr>
          <w:p w14:paraId="6D63F818">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017" w:type="dxa"/>
          </w:tcPr>
          <w:p w14:paraId="34DB6C20">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65" w:type="dxa"/>
          </w:tcPr>
          <w:p w14:paraId="2F7AB06E">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65" w:type="dxa"/>
          </w:tcPr>
          <w:p w14:paraId="2D6AAE1E">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70" w:type="dxa"/>
            <w:gridSpan w:val="2"/>
          </w:tcPr>
          <w:p w14:paraId="74D035BE">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r>
      <w:tr w14:paraId="36792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2" w:type="dxa"/>
          </w:tcPr>
          <w:p w14:paraId="2BC2DC31">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621" w:type="dxa"/>
          </w:tcPr>
          <w:p w14:paraId="20F34DAD">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123" w:type="dxa"/>
          </w:tcPr>
          <w:p w14:paraId="52D54C1E">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123" w:type="dxa"/>
          </w:tcPr>
          <w:p w14:paraId="66FFA9CF">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2273" w:type="dxa"/>
          </w:tcPr>
          <w:p w14:paraId="5FC661C2">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017" w:type="dxa"/>
          </w:tcPr>
          <w:p w14:paraId="1C922AA1">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65" w:type="dxa"/>
          </w:tcPr>
          <w:p w14:paraId="1BACEAA7">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65" w:type="dxa"/>
          </w:tcPr>
          <w:p w14:paraId="23ACC015">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70" w:type="dxa"/>
            <w:gridSpan w:val="2"/>
          </w:tcPr>
          <w:p w14:paraId="108F4C3A">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r>
      <w:tr w14:paraId="3846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jc w:val="center"/>
        </w:trPr>
        <w:tc>
          <w:tcPr>
            <w:tcW w:w="722" w:type="dxa"/>
          </w:tcPr>
          <w:p w14:paraId="34363035">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621" w:type="dxa"/>
          </w:tcPr>
          <w:p w14:paraId="40C36F1C">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123" w:type="dxa"/>
          </w:tcPr>
          <w:p w14:paraId="0DC5A989">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123" w:type="dxa"/>
          </w:tcPr>
          <w:p w14:paraId="084A1406">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2273" w:type="dxa"/>
          </w:tcPr>
          <w:p w14:paraId="7AA93673">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1017" w:type="dxa"/>
          </w:tcPr>
          <w:p w14:paraId="793ACFC2">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65" w:type="dxa"/>
          </w:tcPr>
          <w:p w14:paraId="2A9A5668">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65" w:type="dxa"/>
          </w:tcPr>
          <w:p w14:paraId="4B44F1EA">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c>
          <w:tcPr>
            <w:tcW w:w="970" w:type="dxa"/>
            <w:gridSpan w:val="2"/>
          </w:tcPr>
          <w:p w14:paraId="79865A7E">
            <w:pPr>
              <w:keepNext w:val="0"/>
              <w:keepLines w:val="0"/>
              <w:suppressLineNumbers w:val="0"/>
              <w:spacing w:before="0" w:beforeAutospacing="0" w:after="0" w:afterAutospacing="0" w:line="520" w:lineRule="exact"/>
              <w:ind w:left="0" w:right="0"/>
              <w:jc w:val="center"/>
              <w:rPr>
                <w:rFonts w:hint="default" w:ascii="宋体" w:hAnsi="宋体" w:cs="宋体"/>
                <w:sz w:val="24"/>
                <w:szCs w:val="24"/>
              </w:rPr>
            </w:pPr>
          </w:p>
        </w:tc>
      </w:tr>
      <w:tr w14:paraId="056F9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0" w:hRule="atLeast"/>
          <w:jc w:val="center"/>
        </w:trPr>
        <w:tc>
          <w:tcPr>
            <w:tcW w:w="9817" w:type="dxa"/>
            <w:gridSpan w:val="9"/>
          </w:tcPr>
          <w:p w14:paraId="5B72CD84">
            <w:pPr>
              <w:keepNext w:val="0"/>
              <w:keepLines w:val="0"/>
              <w:suppressLineNumbers w:val="0"/>
              <w:spacing w:before="0" w:beforeAutospacing="0" w:after="0" w:afterAutospacing="0" w:line="520" w:lineRule="exact"/>
              <w:ind w:left="0" w:right="0"/>
              <w:jc w:val="left"/>
              <w:rPr>
                <w:rFonts w:hint="default" w:ascii="宋体" w:hAnsi="宋体" w:cs="宋体"/>
                <w:sz w:val="24"/>
                <w:szCs w:val="24"/>
              </w:rPr>
            </w:pPr>
            <w:r>
              <w:rPr>
                <w:rFonts w:hint="eastAsia" w:ascii="宋体" w:hAnsi="宋体" w:cs="宋体"/>
                <w:kern w:val="0"/>
                <w:sz w:val="24"/>
                <w:szCs w:val="24"/>
              </w:rPr>
              <w:t>投标总报价（大写）：                            （小写：￥       ）</w:t>
            </w:r>
          </w:p>
        </w:tc>
        <w:tc>
          <w:tcPr>
            <w:tcW w:w="962" w:type="dxa"/>
          </w:tcPr>
          <w:p w14:paraId="0E2CC428">
            <w:pPr>
              <w:keepNext w:val="0"/>
              <w:keepLines w:val="0"/>
              <w:suppressLineNumbers w:val="0"/>
              <w:spacing w:before="0" w:beforeAutospacing="0" w:after="0" w:afterAutospacing="0" w:line="520" w:lineRule="exact"/>
              <w:ind w:left="0" w:right="0"/>
              <w:jc w:val="left"/>
              <w:rPr>
                <w:rFonts w:hint="eastAsia" w:ascii="宋体" w:hAnsi="宋体" w:cs="宋体"/>
                <w:kern w:val="0"/>
                <w:sz w:val="24"/>
                <w:szCs w:val="24"/>
              </w:rPr>
            </w:pPr>
          </w:p>
        </w:tc>
      </w:tr>
    </w:tbl>
    <w:p w14:paraId="4194F0D2">
      <w:pPr>
        <w:jc w:val="both"/>
        <w:rPr>
          <w:rFonts w:hint="eastAsia" w:ascii="宋体" w:hAnsi="宋体"/>
          <w:sz w:val="24"/>
          <w:szCs w:val="24"/>
        </w:rPr>
      </w:pPr>
      <w:r>
        <w:rPr>
          <w:rFonts w:hint="eastAsia" w:ascii="宋体" w:hAnsi="宋体"/>
          <w:sz w:val="24"/>
          <w:szCs w:val="24"/>
          <w:lang w:val="en-US" w:eastAsia="zh-CN"/>
        </w:rPr>
        <w:t xml:space="preserve">                                                     </w:t>
      </w:r>
      <w:r>
        <w:rPr>
          <w:rFonts w:ascii="宋体" w:hAnsi="宋体" w:eastAsia="宋体"/>
          <w:sz w:val="24"/>
          <w:szCs w:val="24"/>
        </w:rPr>
        <w:t xml:space="preserve"> </w:t>
      </w:r>
      <w:r>
        <w:rPr>
          <w:rFonts w:hint="eastAsia" w:ascii="宋体" w:hAnsi="宋体"/>
          <w:sz w:val="24"/>
          <w:szCs w:val="24"/>
        </w:rPr>
        <w:t xml:space="preserve">  </w:t>
      </w:r>
    </w:p>
    <w:p w14:paraId="69DD4F52">
      <w:pPr>
        <w:rPr>
          <w:rFonts w:hint="eastAsia"/>
          <w:lang w:val="en-US" w:eastAsia="zh-CN"/>
        </w:rPr>
      </w:pPr>
    </w:p>
    <w:p w14:paraId="7A1B4C43">
      <w:pPr>
        <w:pStyle w:val="153"/>
      </w:pPr>
    </w:p>
    <w:p w14:paraId="503DE13D">
      <w:pPr>
        <w:spacing w:line="360" w:lineRule="auto"/>
        <w:rPr>
          <w:rFonts w:ascii="宋体" w:hAnsi="宋体" w:cs="仿宋"/>
          <w:sz w:val="24"/>
          <w:szCs w:val="24"/>
        </w:rPr>
      </w:pPr>
      <w:r>
        <w:rPr>
          <w:rFonts w:hint="eastAsia" w:ascii="宋体" w:hAnsi="宋体" w:cs="仿宋"/>
          <w:sz w:val="24"/>
          <w:szCs w:val="24"/>
        </w:rPr>
        <w:t>注：1.投标人可根据实际情况自行扩展表格细项。</w:t>
      </w:r>
    </w:p>
    <w:p w14:paraId="56BDC729">
      <w:pPr>
        <w:spacing w:line="360" w:lineRule="auto"/>
        <w:ind w:firstLine="480" w:firstLineChars="200"/>
        <w:rPr>
          <w:rFonts w:ascii="宋体" w:hAnsi="宋体" w:cs="仿宋"/>
          <w:sz w:val="24"/>
          <w:szCs w:val="24"/>
        </w:rPr>
      </w:pPr>
      <w:r>
        <w:rPr>
          <w:rFonts w:hint="eastAsia" w:ascii="宋体" w:hAnsi="宋体" w:cs="仿宋"/>
          <w:sz w:val="24"/>
          <w:szCs w:val="24"/>
        </w:rPr>
        <w:t>2.如果分项报价合计与投标总报价不一致，以分项报价合计为准进行结算。</w:t>
      </w:r>
    </w:p>
    <w:p w14:paraId="72486EBB">
      <w:pPr>
        <w:spacing w:line="360" w:lineRule="auto"/>
        <w:ind w:firstLine="480" w:firstLineChars="200"/>
        <w:rPr>
          <w:rFonts w:ascii="宋体" w:hAnsi="宋体" w:cs="仿宋"/>
          <w:sz w:val="24"/>
          <w:szCs w:val="24"/>
        </w:rPr>
      </w:pPr>
      <w:r>
        <w:rPr>
          <w:rFonts w:ascii="宋体" w:hAnsi="宋体" w:cs="仿宋"/>
          <w:sz w:val="24"/>
          <w:szCs w:val="24"/>
        </w:rPr>
        <w:t>3.</w:t>
      </w:r>
      <w:r>
        <w:rPr>
          <w:rFonts w:hint="eastAsia" w:ascii="宋体" w:hAnsi="宋体" w:cs="仿宋"/>
          <w:sz w:val="24"/>
          <w:szCs w:val="24"/>
        </w:rPr>
        <w:t>如果不提供详细分项报价将视为没有实质性响应招标文件。</w:t>
      </w:r>
    </w:p>
    <w:p w14:paraId="13942D20">
      <w:pPr>
        <w:spacing w:line="360" w:lineRule="auto"/>
        <w:ind w:firstLine="480" w:firstLineChars="200"/>
        <w:rPr>
          <w:rFonts w:ascii="宋体" w:hAnsi="宋体" w:cs="仿宋"/>
          <w:sz w:val="24"/>
          <w:szCs w:val="24"/>
        </w:rPr>
      </w:pPr>
    </w:p>
    <w:p w14:paraId="2C57DB5B">
      <w:pPr>
        <w:spacing w:line="360" w:lineRule="auto"/>
        <w:ind w:firstLine="480" w:firstLineChars="200"/>
        <w:rPr>
          <w:rFonts w:ascii="宋体" w:hAnsi="宋体" w:cs="仿宋"/>
          <w:sz w:val="24"/>
          <w:szCs w:val="24"/>
        </w:rPr>
      </w:pPr>
    </w:p>
    <w:p w14:paraId="3F7F54DC">
      <w:pPr>
        <w:spacing w:line="360" w:lineRule="auto"/>
        <w:rPr>
          <w:rFonts w:hint="eastAsia" w:ascii="宋体" w:hAnsi="宋体" w:eastAsia="宋体"/>
          <w:sz w:val="24"/>
          <w:szCs w:val="24"/>
          <w:lang w:eastAsia="zh-CN"/>
        </w:rPr>
      </w:pPr>
      <w:r>
        <w:rPr>
          <w:rFonts w:hint="eastAsia" w:ascii="宋体" w:hAnsi="宋体" w:cs="仿宋"/>
          <w:sz w:val="24"/>
          <w:szCs w:val="24"/>
        </w:rPr>
        <w:t>投标人名称（盖章）</w:t>
      </w:r>
      <w:r>
        <w:rPr>
          <w:rFonts w:hint="eastAsia" w:ascii="宋体" w:hAnsi="宋体" w:cs="仿宋"/>
          <w:sz w:val="24"/>
          <w:szCs w:val="24"/>
          <w:lang w:eastAsia="zh-CN"/>
        </w:rPr>
        <w:t>：</w:t>
      </w:r>
    </w:p>
    <w:p w14:paraId="069019E3">
      <w:pPr>
        <w:spacing w:line="360" w:lineRule="auto"/>
        <w:rPr>
          <w:rFonts w:ascii="宋体" w:hAnsi="宋体" w:cs="仿宋"/>
          <w:sz w:val="24"/>
          <w:szCs w:val="24"/>
        </w:rPr>
      </w:pPr>
      <w:r>
        <w:rPr>
          <w:rFonts w:hint="eastAsia" w:ascii="宋体" w:hAnsi="宋体" w:cs="仿宋"/>
          <w:sz w:val="24"/>
          <w:szCs w:val="24"/>
        </w:rPr>
        <w:t>法定代表人或被授权人：</w:t>
      </w:r>
      <w:r>
        <w:rPr>
          <w:rFonts w:hint="eastAsia" w:ascii="宋体" w:hAnsi="宋体" w:cs="仿宋"/>
          <w:sz w:val="24"/>
          <w:szCs w:val="24"/>
          <w:lang w:eastAsia="zh-CN"/>
        </w:rPr>
        <w:t>（</w:t>
      </w:r>
      <w:r>
        <w:rPr>
          <w:rFonts w:hint="eastAsia" w:ascii="宋体" w:hAnsi="宋体" w:cs="仿宋"/>
          <w:sz w:val="24"/>
          <w:szCs w:val="24"/>
        </w:rPr>
        <w:t>签字或盖章</w:t>
      </w:r>
      <w:r>
        <w:rPr>
          <w:rFonts w:hint="eastAsia" w:ascii="宋体" w:hAnsi="宋体" w:cs="仿宋"/>
          <w:sz w:val="24"/>
          <w:szCs w:val="24"/>
          <w:lang w:eastAsia="zh-CN"/>
        </w:rPr>
        <w:t>）</w:t>
      </w:r>
    </w:p>
    <w:p w14:paraId="74429242">
      <w:pPr>
        <w:pStyle w:val="3"/>
        <w:keepNext/>
        <w:keepLines/>
        <w:pageBreakBefore w:val="0"/>
        <w:widowControl w:val="0"/>
        <w:kinsoku/>
        <w:wordWrap/>
        <w:overflowPunct/>
        <w:topLinePunct w:val="0"/>
        <w:autoSpaceDE/>
        <w:autoSpaceDN/>
        <w:bidi w:val="0"/>
        <w:adjustRightInd/>
        <w:snapToGrid/>
        <w:spacing w:before="0" w:after="0" w:line="416" w:lineRule="auto"/>
        <w:jc w:val="both"/>
        <w:textAlignment w:val="auto"/>
        <w:rPr>
          <w:rFonts w:hint="eastAsia" w:ascii="宋体" w:hAnsi="宋体" w:eastAsia="宋体" w:cs="仿宋"/>
          <w:b w:val="0"/>
          <w:bCs w:val="0"/>
          <w:color w:val="auto"/>
          <w:kern w:val="2"/>
          <w:sz w:val="24"/>
          <w:szCs w:val="24"/>
          <w:lang w:val="en-US" w:eastAsia="zh-CN" w:bidi="ar-SA"/>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eastAsia="宋体" w:cs="仿宋"/>
          <w:b w:val="0"/>
          <w:bCs w:val="0"/>
          <w:kern w:val="2"/>
          <w:sz w:val="24"/>
          <w:szCs w:val="24"/>
          <w:lang w:val="en-US" w:eastAsia="zh-CN" w:bidi="ar-SA"/>
        </w:rPr>
        <w:t>日      期：</w:t>
      </w:r>
    </w:p>
    <w:p w14:paraId="65602F52">
      <w:pPr>
        <w:pStyle w:val="3"/>
        <w:jc w:val="center"/>
        <w:rPr>
          <w:color w:val="auto"/>
        </w:rPr>
      </w:pPr>
      <w:r>
        <w:rPr>
          <w:rFonts w:hint="eastAsia"/>
          <w:color w:val="auto"/>
        </w:rPr>
        <w:t>三 、资格证明文件</w:t>
      </w:r>
    </w:p>
    <w:p w14:paraId="210B352D">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1</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具有独立承担民事责任能力的法人、非法人组织或自然人，提供合法有效的营业执照/事业单位法人证书/专业服务机构执业许可证/民办非企业单位登记证书等相关证明，</w:t>
      </w:r>
      <w:r>
        <w:rPr>
          <w:rFonts w:hint="eastAsia" w:ascii="宋体" w:hAnsi="宋体" w:cs="宋体"/>
          <w:color w:val="auto"/>
          <w:kern w:val="0"/>
          <w:sz w:val="24"/>
          <w:szCs w:val="24"/>
          <w:lang w:val="en-US" w:eastAsia="zh-CN"/>
        </w:rPr>
        <w:t>自然人参与的提供其身份证明</w:t>
      </w:r>
      <w:r>
        <w:rPr>
          <w:rFonts w:hint="eastAsia" w:ascii="宋体" w:hAnsi="宋体" w:eastAsia="宋体" w:cs="宋体"/>
          <w:color w:val="auto"/>
          <w:kern w:val="0"/>
          <w:sz w:val="24"/>
          <w:szCs w:val="24"/>
          <w:lang w:val="en-US" w:eastAsia="zh-CN"/>
        </w:rPr>
        <w:t>。</w:t>
      </w:r>
    </w:p>
    <w:p w14:paraId="72519237">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lang w:val="en-US" w:eastAsia="zh-CN"/>
        </w:rPr>
        <w:t>2</w:t>
      </w:r>
      <w:r>
        <w:rPr>
          <w:rFonts w:hint="eastAsia" w:ascii="宋体" w:hAnsi="宋体" w:eastAsia="宋体" w:cs="宋体"/>
          <w:color w:val="auto"/>
          <w:kern w:val="0"/>
          <w:sz w:val="24"/>
          <w:szCs w:val="24"/>
          <w:lang w:eastAsia="zh-CN"/>
        </w:rPr>
        <w:t>）法定代表人授权书及被授权人身份证</w:t>
      </w:r>
      <w:r>
        <w:rPr>
          <w:rFonts w:hint="eastAsia" w:ascii="宋体" w:hAnsi="宋体" w:eastAsia="宋体" w:cs="宋体"/>
          <w:color w:val="auto"/>
          <w:kern w:val="0"/>
          <w:sz w:val="24"/>
          <w:szCs w:val="24"/>
          <w:lang w:val="en-US" w:eastAsia="zh-CN"/>
        </w:rPr>
        <w:t>复印件</w:t>
      </w:r>
      <w:r>
        <w:rPr>
          <w:rFonts w:hint="eastAsia" w:ascii="宋体" w:hAnsi="宋体" w:eastAsia="宋体" w:cs="宋体"/>
          <w:color w:val="auto"/>
          <w:kern w:val="0"/>
          <w:sz w:val="24"/>
          <w:szCs w:val="24"/>
          <w:lang w:eastAsia="zh-CN"/>
        </w:rPr>
        <w:t>（法定代表人直接投标只需提交其身份证明资料）。</w:t>
      </w:r>
    </w:p>
    <w:p w14:paraId="30FD0C9B">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3</w:t>
      </w:r>
      <w:r>
        <w:rPr>
          <w:rFonts w:hint="eastAsia" w:ascii="宋体" w:hAnsi="宋体" w:cs="宋体"/>
          <w:color w:val="auto"/>
          <w:kern w:val="0"/>
          <w:sz w:val="24"/>
          <w:szCs w:val="24"/>
          <w:lang w:eastAsia="zh-CN"/>
        </w:rPr>
        <w:t>）信用记录：投标人通过“信用中国”网站（www.creditchina.gov.cn）、中国政府采购网（www.ccgp.gov.cn）等渠道查询相关主体无失信记录。对列入失信被执行人、重大税收违法案件当事人名单、政府采购严重违法失信行为记录名单的投标人，将拒绝其参与政府采购活动；以“信用中国”网站（www.creditchina.gov.cn）或中国政府采购网（www.ccgp.gov.cn）查询结果为准。</w:t>
      </w:r>
    </w:p>
    <w:p w14:paraId="499F64AE">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4</w:t>
      </w:r>
      <w:r>
        <w:rPr>
          <w:rFonts w:hint="eastAsia" w:ascii="宋体" w:hAnsi="宋体" w:cs="宋体"/>
          <w:color w:val="auto"/>
          <w:kern w:val="0"/>
          <w:sz w:val="24"/>
          <w:szCs w:val="24"/>
          <w:lang w:eastAsia="zh-CN"/>
        </w:rPr>
        <w:t>）书面声明：投标人必须提供参加政府采购活动前3年内在经营活动中没有重大违法记录的书面声明。 </w:t>
      </w:r>
    </w:p>
    <w:p w14:paraId="79C73999">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5</w:t>
      </w:r>
      <w:r>
        <w:rPr>
          <w:rFonts w:hint="eastAsia" w:ascii="宋体" w:hAnsi="宋体" w:cs="宋体"/>
          <w:color w:val="auto"/>
          <w:kern w:val="0"/>
          <w:sz w:val="24"/>
          <w:szCs w:val="24"/>
          <w:lang w:eastAsia="zh-CN"/>
        </w:rPr>
        <w:t>）财务状况报告：提供2024年度或2025年度经审计的财务审计报告或投标截止时间前六个月内基本开户银行出具的资信证明（成立时间至提交投标文件截止时间不足一年的可提供成立后任意时段的资产负债表）。</w:t>
      </w:r>
    </w:p>
    <w:p w14:paraId="2523B12E">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6</w:t>
      </w:r>
      <w:r>
        <w:rPr>
          <w:rFonts w:hint="eastAsia" w:ascii="宋体" w:hAnsi="宋体" w:cs="宋体"/>
          <w:color w:val="auto"/>
          <w:kern w:val="0"/>
          <w:sz w:val="24"/>
          <w:szCs w:val="24"/>
          <w:lang w:eastAsia="zh-CN"/>
        </w:rPr>
        <w:t>）税收缴纳证明：提供投标截止时间前半年内任意一个月缴纳的纳税证明或完税证明，依法免税或缓缴的单位应提供相关证明材料，纳税证明或完税证明上应有代收机构或税务机关的公章或业务专用章（成立时间至提交投标文件截止时间不足三个月的可不提供）。</w:t>
      </w:r>
    </w:p>
    <w:p w14:paraId="7699DD25">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7</w:t>
      </w:r>
      <w:r>
        <w:rPr>
          <w:rFonts w:hint="eastAsia" w:ascii="宋体" w:hAnsi="宋体" w:cs="宋体"/>
          <w:color w:val="auto"/>
          <w:kern w:val="0"/>
          <w:sz w:val="24"/>
          <w:szCs w:val="24"/>
          <w:lang w:eastAsia="zh-CN"/>
        </w:rPr>
        <w:t>）社会保障资金缴纳证明：提供投标截止时间前半年内任意一个月社会保障资金缴存单据或社保机构开具的社会保险参保缴费情况证明，依法不需要缴纳社会保障资金的单位应提供相关证明材料，单据或证明上应有社保机构或代收机构的印章（成立时间至提交投标文件截止时间不足三个月的可不提供）。</w:t>
      </w:r>
    </w:p>
    <w:p w14:paraId="476EF01F">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8</w:t>
      </w:r>
      <w:r>
        <w:rPr>
          <w:rFonts w:hint="eastAsia" w:ascii="宋体" w:hAnsi="宋体" w:cs="宋体"/>
          <w:color w:val="auto"/>
          <w:kern w:val="0"/>
          <w:sz w:val="24"/>
          <w:szCs w:val="24"/>
          <w:lang w:eastAsia="zh-CN"/>
        </w:rPr>
        <w:t>）提供具有履行合同所必需的设备和专业技术能力的承诺书（格式自拟）。</w:t>
      </w:r>
    </w:p>
    <w:p w14:paraId="6FFB0ADB">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eastAsia" w:ascii="宋体" w:hAnsi="宋体" w:cs="宋体"/>
          <w:color w:val="auto"/>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9</w:t>
      </w:r>
      <w:r>
        <w:rPr>
          <w:rFonts w:hint="eastAsia" w:ascii="宋体" w:hAnsi="宋体" w:cs="宋体"/>
          <w:color w:val="auto"/>
          <w:kern w:val="0"/>
          <w:sz w:val="24"/>
          <w:szCs w:val="24"/>
          <w:lang w:eastAsia="zh-CN"/>
        </w:rPr>
        <w:t>）本项目不接受联合体投标。</w:t>
      </w:r>
    </w:p>
    <w:p w14:paraId="7E08BFAD">
      <w:pPr>
        <w:pStyle w:val="73"/>
        <w:keepNext w:val="0"/>
        <w:keepLines w:val="0"/>
        <w:pageBreakBefore w:val="0"/>
        <w:widowControl w:val="0"/>
        <w:numPr>
          <w:ilvl w:val="0"/>
          <w:numId w:val="0"/>
        </w:numPr>
        <w:kinsoku/>
        <w:wordWrap/>
        <w:overflowPunct/>
        <w:topLinePunct w:val="0"/>
        <w:autoSpaceDE/>
        <w:autoSpaceDN/>
        <w:bidi w:val="0"/>
        <w:adjustRightInd/>
        <w:snapToGrid/>
        <w:spacing w:line="480" w:lineRule="exact"/>
        <w:ind w:leftChars="200"/>
        <w:textAlignment w:val="auto"/>
        <w:rPr>
          <w:rFonts w:hint="eastAsia" w:ascii="宋体" w:hAnsi="宋体" w:cs="宋体"/>
          <w:color w:val="FF0000"/>
          <w:kern w:val="0"/>
          <w:sz w:val="24"/>
          <w:szCs w:val="24"/>
          <w:lang w:eastAsia="zh-CN"/>
        </w:rPr>
      </w:pPr>
      <w:r>
        <w:rPr>
          <w:rFonts w:hint="eastAsia" w:ascii="宋体" w:hAnsi="宋体" w:cs="宋体"/>
          <w:color w:val="auto"/>
          <w:kern w:val="0"/>
          <w:sz w:val="24"/>
          <w:szCs w:val="24"/>
          <w:lang w:eastAsia="zh-CN"/>
        </w:rPr>
        <w:t>（</w:t>
      </w:r>
      <w:r>
        <w:rPr>
          <w:rFonts w:hint="eastAsia" w:ascii="宋体" w:hAnsi="宋体" w:cs="宋体"/>
          <w:color w:val="auto"/>
          <w:kern w:val="0"/>
          <w:sz w:val="24"/>
          <w:szCs w:val="24"/>
          <w:lang w:val="en-US" w:eastAsia="zh-CN"/>
        </w:rPr>
        <w:t>10</w:t>
      </w:r>
      <w:r>
        <w:rPr>
          <w:rFonts w:hint="eastAsia" w:ascii="宋体" w:hAnsi="宋体" w:cs="宋体"/>
          <w:color w:val="auto"/>
          <w:kern w:val="0"/>
          <w:sz w:val="24"/>
          <w:szCs w:val="24"/>
          <w:lang w:eastAsia="zh-CN"/>
        </w:rPr>
        <w:t>）</w:t>
      </w:r>
      <w:r>
        <w:rPr>
          <w:rFonts w:hint="eastAsia" w:ascii="宋体" w:hAnsi="宋体" w:eastAsia="宋体" w:cs="宋体"/>
          <w:color w:val="auto"/>
          <w:kern w:val="0"/>
          <w:sz w:val="24"/>
          <w:szCs w:val="24"/>
          <w:lang w:val="en-US" w:eastAsia="zh-CN" w:bidi="ar-SA"/>
        </w:rPr>
        <w:t>本项目专门面向中小企业采购，投标人须提供《中小企业声明函》。</w:t>
      </w:r>
    </w:p>
    <w:p w14:paraId="578CB8C5">
      <w:pPr>
        <w:keepNext w:val="0"/>
        <w:keepLines w:val="0"/>
        <w:pageBreakBefore w:val="0"/>
        <w:widowControl w:val="0"/>
        <w:kinsoku/>
        <w:wordWrap/>
        <w:overflowPunct/>
        <w:topLinePunct w:val="0"/>
        <w:autoSpaceDE/>
        <w:autoSpaceDN/>
        <w:bidi w:val="0"/>
        <w:adjustRightInd/>
        <w:snapToGrid/>
        <w:spacing w:line="460" w:lineRule="exact"/>
        <w:ind w:leftChars="0" w:firstLine="480" w:firstLineChars="200"/>
        <w:textAlignment w:val="auto"/>
        <w:rPr>
          <w:rFonts w:hint="eastAsia" w:ascii="宋体" w:hAnsi="宋体" w:cs="宋体"/>
          <w:color w:val="auto"/>
          <w:sz w:val="24"/>
          <w:szCs w:val="24"/>
          <w:lang w:val="en-US" w:eastAsia="zh-CN"/>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A11E3B0">
      <w:pPr>
        <w:keepNext w:val="0"/>
        <w:keepLines w:val="0"/>
        <w:pageBreakBefore w:val="0"/>
        <w:widowControl w:val="0"/>
        <w:kinsoku/>
        <w:wordWrap/>
        <w:overflowPunct/>
        <w:topLinePunct w:val="0"/>
        <w:autoSpaceDE/>
        <w:autoSpaceDN/>
        <w:bidi w:val="0"/>
        <w:adjustRightInd/>
        <w:snapToGrid/>
        <w:spacing w:line="500" w:lineRule="exact"/>
        <w:ind w:firstLine="562" w:firstLineChars="200"/>
        <w:jc w:val="center"/>
        <w:textAlignment w:val="auto"/>
        <w:rPr>
          <w:rFonts w:ascii="Calibri Light" w:hAnsi="Calibri Light"/>
          <w:b/>
          <w:bCs/>
          <w:color w:val="auto"/>
          <w:sz w:val="28"/>
          <w:szCs w:val="28"/>
        </w:rPr>
      </w:pPr>
      <w:r>
        <w:rPr>
          <w:rFonts w:hint="eastAsia" w:ascii="宋体" w:hAnsi="宋体" w:cs="Arial"/>
          <w:b/>
          <w:color w:val="auto"/>
          <w:kern w:val="0"/>
          <w:sz w:val="28"/>
          <w:szCs w:val="28"/>
        </w:rPr>
        <w:t>法定代表人证明书</w:t>
      </w:r>
    </w:p>
    <w:p w14:paraId="032677AD">
      <w:pPr>
        <w:tabs>
          <w:tab w:val="left" w:pos="210"/>
        </w:tabs>
        <w:spacing w:line="320" w:lineRule="exact"/>
        <w:jc w:val="center"/>
        <w:rPr>
          <w:rFonts w:ascii="宋体" w:hAnsi="宋体" w:cs="Arial"/>
          <w:b/>
          <w:color w:val="auto"/>
          <w:kern w:val="0"/>
          <w:sz w:val="32"/>
          <w:szCs w:val="32"/>
        </w:rPr>
      </w:pPr>
    </w:p>
    <w:tbl>
      <w:tblPr>
        <w:tblStyle w:val="42"/>
        <w:tblW w:w="960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3"/>
        <w:gridCol w:w="2223"/>
        <w:gridCol w:w="2218"/>
        <w:gridCol w:w="190"/>
        <w:gridCol w:w="2218"/>
        <w:gridCol w:w="2171"/>
      </w:tblGrid>
      <w:tr w14:paraId="3CC1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9603" w:type="dxa"/>
            <w:gridSpan w:val="6"/>
            <w:vAlign w:val="center"/>
          </w:tcPr>
          <w:p w14:paraId="02F6251B">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r>
              <w:rPr>
                <w:rFonts w:hint="eastAsia" w:ascii="宋体" w:hAnsi="宋体" w:cs="Arial"/>
                <w:color w:val="auto"/>
                <w:kern w:val="0"/>
                <w:sz w:val="24"/>
                <w:szCs w:val="24"/>
              </w:rPr>
              <w:t>致：安康尚昊招标代理有限公司</w:t>
            </w:r>
          </w:p>
        </w:tc>
      </w:tr>
      <w:tr w14:paraId="7D11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restart"/>
            <w:vAlign w:val="center"/>
          </w:tcPr>
          <w:p w14:paraId="0FDD0CC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w:t>
            </w:r>
          </w:p>
          <w:p w14:paraId="2055DE4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02C850F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业</w:t>
            </w:r>
          </w:p>
          <w:p w14:paraId="5EBEFE3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427765B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w:t>
            </w:r>
          </w:p>
          <w:p w14:paraId="09358C2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5EE9F1C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人</w:t>
            </w:r>
          </w:p>
        </w:tc>
        <w:tc>
          <w:tcPr>
            <w:tcW w:w="2223" w:type="dxa"/>
            <w:vAlign w:val="center"/>
          </w:tcPr>
          <w:p w14:paraId="4843780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企业名称</w:t>
            </w:r>
          </w:p>
        </w:tc>
        <w:tc>
          <w:tcPr>
            <w:tcW w:w="6797" w:type="dxa"/>
            <w:gridSpan w:val="4"/>
            <w:vAlign w:val="center"/>
          </w:tcPr>
          <w:p w14:paraId="059E64FE">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39FC0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7D4D350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C60D7A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法定地址</w:t>
            </w:r>
          </w:p>
        </w:tc>
        <w:tc>
          <w:tcPr>
            <w:tcW w:w="6797" w:type="dxa"/>
            <w:gridSpan w:val="4"/>
            <w:vAlign w:val="center"/>
          </w:tcPr>
          <w:p w14:paraId="4B7F0A4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01E0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692A84D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666104E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邮政编码</w:t>
            </w:r>
          </w:p>
        </w:tc>
        <w:tc>
          <w:tcPr>
            <w:tcW w:w="6797" w:type="dxa"/>
            <w:gridSpan w:val="4"/>
            <w:vAlign w:val="center"/>
          </w:tcPr>
          <w:p w14:paraId="5CD5EFC3">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7C8A8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665E2AB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3B2A88B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工商登记机关</w:t>
            </w:r>
          </w:p>
        </w:tc>
        <w:tc>
          <w:tcPr>
            <w:tcW w:w="6797" w:type="dxa"/>
            <w:gridSpan w:val="4"/>
            <w:vAlign w:val="center"/>
          </w:tcPr>
          <w:p w14:paraId="37021E0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B073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3" w:hRule="atLeast"/>
        </w:trPr>
        <w:tc>
          <w:tcPr>
            <w:tcW w:w="583" w:type="dxa"/>
            <w:vMerge w:val="continue"/>
            <w:vAlign w:val="center"/>
          </w:tcPr>
          <w:p w14:paraId="5494250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0E21C85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税务登记机关</w:t>
            </w:r>
          </w:p>
        </w:tc>
        <w:tc>
          <w:tcPr>
            <w:tcW w:w="6797" w:type="dxa"/>
            <w:gridSpan w:val="4"/>
            <w:vAlign w:val="center"/>
          </w:tcPr>
          <w:p w14:paraId="43F765EA">
            <w:pPr>
              <w:keepNext w:val="0"/>
              <w:keepLines w:val="0"/>
              <w:suppressLineNumbers w:val="0"/>
              <w:tabs>
                <w:tab w:val="left" w:pos="210"/>
              </w:tabs>
              <w:spacing w:before="0" w:beforeAutospacing="0" w:after="0" w:afterAutospacing="0" w:line="320" w:lineRule="exact"/>
              <w:ind w:left="0" w:right="0"/>
              <w:rPr>
                <w:rFonts w:hint="default" w:ascii="宋体" w:hAnsi="宋体" w:cs="Arial"/>
                <w:color w:val="auto"/>
                <w:kern w:val="0"/>
                <w:sz w:val="24"/>
                <w:szCs w:val="24"/>
              </w:rPr>
            </w:pPr>
          </w:p>
        </w:tc>
      </w:tr>
      <w:tr w14:paraId="31AE5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2FE8786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707430E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机构代码证号</w:t>
            </w:r>
          </w:p>
        </w:tc>
        <w:tc>
          <w:tcPr>
            <w:tcW w:w="6797" w:type="dxa"/>
            <w:gridSpan w:val="4"/>
            <w:vAlign w:val="center"/>
          </w:tcPr>
          <w:p w14:paraId="1590A8B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4DE47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restart"/>
            <w:vAlign w:val="center"/>
          </w:tcPr>
          <w:p w14:paraId="019D428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w:t>
            </w:r>
          </w:p>
        </w:tc>
        <w:tc>
          <w:tcPr>
            <w:tcW w:w="2223" w:type="dxa"/>
            <w:vAlign w:val="center"/>
          </w:tcPr>
          <w:p w14:paraId="4EE7DC1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姓名</w:t>
            </w:r>
          </w:p>
        </w:tc>
        <w:tc>
          <w:tcPr>
            <w:tcW w:w="2408" w:type="dxa"/>
            <w:gridSpan w:val="2"/>
            <w:vAlign w:val="center"/>
          </w:tcPr>
          <w:p w14:paraId="0CFAEBAC">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3A43BBA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性别</w:t>
            </w:r>
          </w:p>
        </w:tc>
        <w:tc>
          <w:tcPr>
            <w:tcW w:w="2171" w:type="dxa"/>
            <w:vAlign w:val="center"/>
          </w:tcPr>
          <w:p w14:paraId="77B6345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51107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583" w:type="dxa"/>
            <w:vMerge w:val="continue"/>
            <w:vAlign w:val="center"/>
          </w:tcPr>
          <w:p w14:paraId="0383172D">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2A83B0FF">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职务</w:t>
            </w:r>
          </w:p>
        </w:tc>
        <w:tc>
          <w:tcPr>
            <w:tcW w:w="2408" w:type="dxa"/>
            <w:gridSpan w:val="2"/>
            <w:vAlign w:val="center"/>
          </w:tcPr>
          <w:p w14:paraId="49C0753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18" w:type="dxa"/>
            <w:vAlign w:val="center"/>
          </w:tcPr>
          <w:p w14:paraId="765B47F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联系电话</w:t>
            </w:r>
          </w:p>
        </w:tc>
        <w:tc>
          <w:tcPr>
            <w:tcW w:w="2171" w:type="dxa"/>
            <w:vAlign w:val="center"/>
          </w:tcPr>
          <w:p w14:paraId="0C5CFAEA">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2302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rPr>
        <w:tc>
          <w:tcPr>
            <w:tcW w:w="583" w:type="dxa"/>
            <w:vMerge w:val="continue"/>
            <w:vAlign w:val="center"/>
          </w:tcPr>
          <w:p w14:paraId="21E898F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2223" w:type="dxa"/>
            <w:vAlign w:val="center"/>
          </w:tcPr>
          <w:p w14:paraId="4A6284D0">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传真</w:t>
            </w:r>
          </w:p>
        </w:tc>
        <w:tc>
          <w:tcPr>
            <w:tcW w:w="6797" w:type="dxa"/>
            <w:gridSpan w:val="4"/>
            <w:vAlign w:val="center"/>
          </w:tcPr>
          <w:p w14:paraId="01630718">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r>
      <w:tr w14:paraId="6B4C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0" w:hRule="atLeast"/>
        </w:trPr>
        <w:tc>
          <w:tcPr>
            <w:tcW w:w="583" w:type="dxa"/>
            <w:vMerge w:val="restart"/>
            <w:vAlign w:val="center"/>
          </w:tcPr>
          <w:p w14:paraId="23A8C364">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法定代表人身份证复印件</w:t>
            </w:r>
          </w:p>
        </w:tc>
        <w:tc>
          <w:tcPr>
            <w:tcW w:w="4441" w:type="dxa"/>
            <w:gridSpan w:val="2"/>
            <w:vMerge w:val="restart"/>
            <w:vAlign w:val="center"/>
          </w:tcPr>
          <w:p w14:paraId="5A98FB97">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（粘贴处）</w:t>
            </w:r>
          </w:p>
        </w:tc>
        <w:tc>
          <w:tcPr>
            <w:tcW w:w="4579" w:type="dxa"/>
            <w:gridSpan w:val="3"/>
            <w:vAlign w:val="center"/>
          </w:tcPr>
          <w:p w14:paraId="2C010C9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法定代表人签字或盖章</w:t>
            </w:r>
          </w:p>
        </w:tc>
      </w:tr>
      <w:tr w14:paraId="4A4A2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8" w:hRule="atLeast"/>
        </w:trPr>
        <w:tc>
          <w:tcPr>
            <w:tcW w:w="583" w:type="dxa"/>
            <w:vMerge w:val="continue"/>
            <w:vAlign w:val="center"/>
          </w:tcPr>
          <w:p w14:paraId="0C78216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441" w:type="dxa"/>
            <w:gridSpan w:val="2"/>
            <w:vMerge w:val="continue"/>
            <w:vAlign w:val="center"/>
          </w:tcPr>
          <w:p w14:paraId="241DCAC1">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tc>
        <w:tc>
          <w:tcPr>
            <w:tcW w:w="4579" w:type="dxa"/>
            <w:gridSpan w:val="3"/>
            <w:vAlign w:val="bottom"/>
          </w:tcPr>
          <w:p w14:paraId="59115C1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r>
              <w:rPr>
                <w:rFonts w:hint="eastAsia" w:ascii="宋体" w:hAnsi="宋体" w:cs="Arial"/>
                <w:color w:val="auto"/>
                <w:kern w:val="0"/>
                <w:sz w:val="24"/>
                <w:szCs w:val="24"/>
              </w:rPr>
              <w:t>（公章）</w:t>
            </w:r>
          </w:p>
          <w:p w14:paraId="50D5445B">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6AD47822">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71BA6C36">
            <w:pPr>
              <w:keepNext w:val="0"/>
              <w:keepLines w:val="0"/>
              <w:suppressLineNumbers w:val="0"/>
              <w:tabs>
                <w:tab w:val="left" w:pos="210"/>
              </w:tabs>
              <w:spacing w:before="0" w:beforeAutospacing="0" w:after="0" w:afterAutospacing="0" w:line="320" w:lineRule="exact"/>
              <w:ind w:left="0" w:right="0"/>
              <w:jc w:val="center"/>
              <w:rPr>
                <w:rFonts w:hint="default" w:ascii="宋体" w:hAnsi="宋体" w:cs="Arial"/>
                <w:color w:val="auto"/>
                <w:kern w:val="0"/>
                <w:sz w:val="24"/>
                <w:szCs w:val="24"/>
              </w:rPr>
            </w:pPr>
          </w:p>
          <w:p w14:paraId="4AEAB760">
            <w:pPr>
              <w:keepNext w:val="0"/>
              <w:keepLines w:val="0"/>
              <w:suppressLineNumbers w:val="0"/>
              <w:tabs>
                <w:tab w:val="left" w:pos="210"/>
              </w:tabs>
              <w:spacing w:before="0" w:beforeAutospacing="0" w:after="0" w:afterAutospacing="0" w:line="320" w:lineRule="exact"/>
              <w:ind w:left="0" w:right="0"/>
              <w:jc w:val="right"/>
              <w:rPr>
                <w:rFonts w:hint="default" w:ascii="宋体" w:hAnsi="宋体" w:cs="Arial"/>
                <w:color w:val="auto"/>
                <w:kern w:val="0"/>
                <w:sz w:val="24"/>
                <w:szCs w:val="24"/>
              </w:rPr>
            </w:pPr>
            <w:r>
              <w:rPr>
                <w:rFonts w:hint="eastAsia" w:ascii="宋体" w:hAnsi="宋体" w:cs="Arial"/>
                <w:color w:val="auto"/>
                <w:kern w:val="0"/>
                <w:sz w:val="24"/>
                <w:szCs w:val="24"/>
              </w:rPr>
              <w:t xml:space="preserve">年  月  日 </w:t>
            </w:r>
          </w:p>
        </w:tc>
      </w:tr>
    </w:tbl>
    <w:p w14:paraId="60C7E8B2">
      <w:pPr>
        <w:widowControl/>
        <w:jc w:val="left"/>
        <w:rPr>
          <w:rFonts w:ascii="Calibri Light" w:hAnsi="Calibri Light"/>
          <w:b/>
          <w:bCs/>
          <w:color w:val="auto"/>
          <w:sz w:val="32"/>
          <w:szCs w:val="32"/>
        </w:rPr>
      </w:pPr>
    </w:p>
    <w:p w14:paraId="6A128EF6">
      <w:pPr>
        <w:pStyle w:val="3"/>
        <w:jc w:val="center"/>
        <w:rPr>
          <w:color w:val="auto"/>
          <w:sz w:val="28"/>
          <w:szCs w:val="28"/>
        </w:rPr>
      </w:pPr>
      <w:bookmarkStart w:id="118" w:name="_Toc23258627"/>
      <w:bookmarkStart w:id="119" w:name="_Toc22911714"/>
      <w:bookmarkStart w:id="120" w:name="_Toc22911935"/>
      <w:bookmarkStart w:id="121" w:name="_Toc26541338"/>
      <w:bookmarkStart w:id="122" w:name="_Toc22910776"/>
      <w:r>
        <w:rPr>
          <w:rFonts w:hint="eastAsia"/>
          <w:color w:val="auto"/>
          <w:sz w:val="28"/>
          <w:szCs w:val="28"/>
        </w:rPr>
        <w:t>法人授权委托书</w:t>
      </w:r>
      <w:bookmarkEnd w:id="118"/>
      <w:bookmarkEnd w:id="119"/>
      <w:bookmarkEnd w:id="120"/>
      <w:bookmarkEnd w:id="121"/>
      <w:bookmarkEnd w:id="122"/>
    </w:p>
    <w:p w14:paraId="086E7960">
      <w:pPr>
        <w:spacing w:line="360" w:lineRule="auto"/>
        <w:rPr>
          <w:rFonts w:ascii="宋体" w:hAnsi="宋体"/>
          <w:color w:val="auto"/>
          <w:sz w:val="24"/>
          <w:szCs w:val="24"/>
        </w:rPr>
      </w:pPr>
      <w:r>
        <w:rPr>
          <w:rFonts w:hint="eastAsia" w:ascii="宋体" w:hAnsi="宋体"/>
          <w:color w:val="auto"/>
          <w:sz w:val="24"/>
          <w:szCs w:val="24"/>
        </w:rPr>
        <w:t>致：安康尚昊</w:t>
      </w:r>
      <w:r>
        <w:rPr>
          <w:rFonts w:ascii="宋体" w:hAnsi="宋体"/>
          <w:color w:val="auto"/>
          <w:sz w:val="24"/>
          <w:szCs w:val="24"/>
        </w:rPr>
        <w:t>招标代理有限公司</w:t>
      </w:r>
    </w:p>
    <w:p w14:paraId="46ED499F">
      <w:pPr>
        <w:spacing w:line="500" w:lineRule="exact"/>
        <w:ind w:left="-120" w:leftChars="-57" w:firstLine="600" w:firstLineChars="250"/>
        <w:rPr>
          <w:rFonts w:ascii="宋体" w:hAnsi="宋体" w:cs="Courier New"/>
          <w:color w:val="auto"/>
          <w:sz w:val="24"/>
          <w:szCs w:val="24"/>
        </w:rPr>
      </w:pPr>
      <w:r>
        <w:rPr>
          <w:rFonts w:hint="eastAsia" w:ascii="宋体" w:hAnsi="宋体" w:cs="Courier New"/>
          <w:color w:val="auto"/>
          <w:sz w:val="24"/>
          <w:szCs w:val="24"/>
        </w:rPr>
        <w:t>本授权书声明：注册于（</w:t>
      </w:r>
      <w:r>
        <w:rPr>
          <w:rFonts w:hint="eastAsia" w:ascii="宋体" w:hAnsi="宋体" w:cs="Courier New"/>
          <w:color w:val="auto"/>
          <w:sz w:val="24"/>
          <w:szCs w:val="24"/>
          <w:u w:val="single"/>
        </w:rPr>
        <w:t xml:space="preserve"> 工商行政管理局名称）之（委托单位全称） </w:t>
      </w:r>
      <w:r>
        <w:rPr>
          <w:rFonts w:hint="eastAsia" w:ascii="宋体" w:hAnsi="宋体" w:cs="Courier New"/>
          <w:color w:val="auto"/>
          <w:sz w:val="24"/>
          <w:szCs w:val="24"/>
        </w:rPr>
        <w:t>的法定代表人</w:t>
      </w:r>
      <w:r>
        <w:rPr>
          <w:rFonts w:hint="eastAsia" w:ascii="宋体" w:hAnsi="宋体" w:cs="Courier New"/>
          <w:color w:val="auto"/>
          <w:sz w:val="24"/>
          <w:szCs w:val="24"/>
          <w:u w:val="single"/>
        </w:rPr>
        <w:t>（姓名、性别）</w:t>
      </w:r>
      <w:r>
        <w:rPr>
          <w:rFonts w:hint="eastAsia" w:ascii="宋体" w:hAnsi="宋体" w:cs="Courier New"/>
          <w:color w:val="auto"/>
          <w:sz w:val="24"/>
          <w:szCs w:val="24"/>
        </w:rPr>
        <w:t>授权</w:t>
      </w:r>
      <w:r>
        <w:rPr>
          <w:rFonts w:hint="eastAsia" w:ascii="宋体" w:hAnsi="宋体" w:cs="Courier New"/>
          <w:color w:val="auto"/>
          <w:sz w:val="24"/>
          <w:szCs w:val="21"/>
        </w:rPr>
        <w:t>本公司的</w:t>
      </w:r>
      <w:r>
        <w:rPr>
          <w:rFonts w:hint="eastAsia" w:ascii="宋体" w:hAnsi="宋体" w:cs="Courier New"/>
          <w:color w:val="auto"/>
          <w:sz w:val="24"/>
          <w:szCs w:val="24"/>
          <w:u w:val="single"/>
        </w:rPr>
        <w:t>（被授权人姓名、性别、职务）</w:t>
      </w:r>
      <w:r>
        <w:rPr>
          <w:rFonts w:hint="eastAsia" w:ascii="宋体" w:hAnsi="宋体" w:cs="Courier New"/>
          <w:color w:val="auto"/>
          <w:sz w:val="24"/>
          <w:szCs w:val="24"/>
        </w:rPr>
        <w:t>为合法代理人，就贵方组织的有关</w:t>
      </w:r>
      <w:r>
        <w:rPr>
          <w:rFonts w:hint="eastAsia" w:ascii="宋体" w:hAnsi="宋体" w:cs="Courier New"/>
          <w:color w:val="auto"/>
          <w:sz w:val="24"/>
          <w:szCs w:val="24"/>
          <w:u w:val="single"/>
        </w:rPr>
        <w:t>（招标项目名称</w:t>
      </w:r>
      <w:r>
        <w:rPr>
          <w:rFonts w:hint="eastAsia" w:ascii="宋体" w:hAnsi="宋体" w:cs="Courier New"/>
          <w:color w:val="auto"/>
          <w:sz w:val="24"/>
          <w:szCs w:val="24"/>
          <w:u w:val="single"/>
          <w:lang w:val="en-US" w:eastAsia="zh-CN"/>
        </w:rPr>
        <w:t xml:space="preserve"> </w:t>
      </w:r>
      <w:r>
        <w:rPr>
          <w:rFonts w:hint="eastAsia" w:ascii="宋体" w:hAnsi="宋体" w:cs="Courier New"/>
          <w:color w:val="auto"/>
          <w:sz w:val="24"/>
          <w:szCs w:val="24"/>
          <w:u w:val="single"/>
        </w:rPr>
        <w:t>）</w:t>
      </w:r>
      <w:r>
        <w:rPr>
          <w:rFonts w:hint="eastAsia" w:ascii="宋体" w:hAnsi="宋体" w:cs="Courier New"/>
          <w:color w:val="auto"/>
          <w:sz w:val="24"/>
          <w:szCs w:val="24"/>
        </w:rPr>
        <w:t>（项目编号：</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）的投标、洽谈、执行等具体事务，签署全部有关投标文件、文书、协议、合同，本公司对被授权人在本项目中的签名承担全部法律责任。本授权书自开标大会之日起计算有效期为</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天。</w:t>
      </w:r>
    </w:p>
    <w:p w14:paraId="3CF470CF">
      <w:pPr>
        <w:spacing w:line="500" w:lineRule="exact"/>
        <w:ind w:firstLine="480" w:firstLineChars="200"/>
        <w:rPr>
          <w:rFonts w:ascii="宋体" w:hAnsi="宋体" w:cs="Courier New"/>
          <w:color w:val="auto"/>
          <w:sz w:val="24"/>
          <w:szCs w:val="24"/>
        </w:rPr>
      </w:pPr>
      <w:r>
        <w:rPr>
          <w:rFonts w:hint="eastAsia" w:ascii="宋体" w:hAnsi="宋体" w:cs="Courier New"/>
          <w:color w:val="auto"/>
          <w:sz w:val="24"/>
          <w:szCs w:val="24"/>
        </w:rPr>
        <w:t>委托单位：    （公章）                  法定代表人（签字或盖章）：</w:t>
      </w:r>
    </w:p>
    <w:p w14:paraId="1945AC76">
      <w:pPr>
        <w:spacing w:line="500" w:lineRule="exact"/>
        <w:ind w:firstLine="480" w:firstLineChars="200"/>
        <w:rPr>
          <w:rFonts w:ascii="宋体" w:hAnsi="宋体" w:cs="Courier New"/>
          <w:color w:val="auto"/>
          <w:sz w:val="24"/>
          <w:szCs w:val="24"/>
        </w:rPr>
      </w:pPr>
      <w:r>
        <w:rPr>
          <w:rFonts w:hint="eastAsia" w:ascii="宋体" w:hAnsi="宋体" w:cs="Courier New"/>
          <w:color w:val="auto"/>
          <w:sz w:val="24"/>
          <w:szCs w:val="24"/>
        </w:rPr>
        <w:t>签发日期：</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年</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月</w:t>
      </w:r>
      <w:r>
        <w:rPr>
          <w:rFonts w:hint="eastAsia" w:ascii="宋体" w:hAnsi="宋体" w:cs="Courier New"/>
          <w:color w:val="auto"/>
          <w:sz w:val="24"/>
          <w:szCs w:val="24"/>
          <w:u w:val="single"/>
        </w:rPr>
        <w:t xml:space="preserve">    </w:t>
      </w:r>
      <w:r>
        <w:rPr>
          <w:rFonts w:hint="eastAsia" w:ascii="宋体" w:hAnsi="宋体" w:cs="Courier New"/>
          <w:color w:val="auto"/>
          <w:sz w:val="24"/>
          <w:szCs w:val="24"/>
        </w:rPr>
        <w:t>日</w:t>
      </w:r>
    </w:p>
    <w:p w14:paraId="3795B2F9">
      <w:pPr>
        <w:spacing w:line="500" w:lineRule="exact"/>
        <w:ind w:firstLine="480" w:firstLineChars="200"/>
        <w:rPr>
          <w:rFonts w:ascii="宋体" w:hAnsi="宋体" w:cs="Courier New"/>
          <w:color w:val="auto"/>
          <w:sz w:val="24"/>
          <w:szCs w:val="24"/>
          <w:u w:val="single"/>
        </w:rPr>
      </w:pPr>
      <w:r>
        <w:rPr>
          <w:rFonts w:hint="eastAsia" w:ascii="宋体" w:hAnsi="宋体" w:cs="Courier New"/>
          <w:color w:val="auto"/>
          <w:sz w:val="24"/>
          <w:szCs w:val="24"/>
        </w:rPr>
        <w:t>附：被授权人</w:t>
      </w:r>
      <w:r>
        <w:rPr>
          <w:rFonts w:hint="eastAsia" w:ascii="宋体" w:hAnsi="宋体" w:cs="Courier New"/>
          <w:color w:val="auto"/>
          <w:sz w:val="24"/>
          <w:szCs w:val="24"/>
          <w:lang w:eastAsia="zh-CN"/>
        </w:rPr>
        <w:t>（</w:t>
      </w:r>
      <w:r>
        <w:rPr>
          <w:rFonts w:hint="eastAsia" w:ascii="宋体" w:hAnsi="宋体" w:cs="Courier New"/>
          <w:color w:val="auto"/>
          <w:sz w:val="24"/>
          <w:szCs w:val="24"/>
          <w:lang w:val="en-US" w:eastAsia="zh-CN"/>
        </w:rPr>
        <w:t>签字或盖章</w:t>
      </w:r>
      <w:r>
        <w:rPr>
          <w:rFonts w:hint="eastAsia" w:ascii="宋体" w:hAnsi="宋体" w:cs="Courier New"/>
          <w:color w:val="auto"/>
          <w:sz w:val="24"/>
          <w:szCs w:val="24"/>
          <w:lang w:eastAsia="zh-CN"/>
        </w:rPr>
        <w:t>）</w:t>
      </w:r>
      <w:r>
        <w:rPr>
          <w:rFonts w:hint="eastAsia" w:ascii="宋体" w:hAnsi="宋体" w:cs="Courier New"/>
          <w:color w:val="auto"/>
          <w:sz w:val="24"/>
          <w:szCs w:val="24"/>
        </w:rPr>
        <w:t>：</w:t>
      </w:r>
      <w:r>
        <w:rPr>
          <w:rFonts w:ascii="宋体" w:hAnsi="宋体" w:cs="Courier New"/>
          <w:color w:val="auto"/>
          <w:sz w:val="24"/>
          <w:szCs w:val="24"/>
          <w:u w:val="single"/>
        </w:rPr>
        <w:t xml:space="preserve">             </w:t>
      </w:r>
      <w:r>
        <w:rPr>
          <w:rFonts w:ascii="宋体" w:hAnsi="宋体" w:cs="Courier New"/>
          <w:color w:val="auto"/>
          <w:sz w:val="24"/>
          <w:szCs w:val="24"/>
        </w:rPr>
        <w:t xml:space="preserve"> </w:t>
      </w:r>
      <w:r>
        <w:rPr>
          <w:rFonts w:hint="eastAsia" w:ascii="宋体" w:hAnsi="宋体" w:cs="Courier New"/>
          <w:color w:val="auto"/>
          <w:sz w:val="24"/>
          <w:szCs w:val="24"/>
          <w:u w:val="single"/>
        </w:rPr>
        <w:t xml:space="preserve">          </w:t>
      </w:r>
    </w:p>
    <w:p w14:paraId="5A42B9E0">
      <w:pPr>
        <w:spacing w:line="500" w:lineRule="exact"/>
        <w:ind w:firstLine="480" w:firstLineChars="200"/>
        <w:rPr>
          <w:rFonts w:hint="eastAsia" w:ascii="宋体" w:hAnsi="宋体" w:cs="Courier New"/>
          <w:color w:val="auto"/>
          <w:sz w:val="24"/>
          <w:szCs w:val="24"/>
          <w:u w:val="none"/>
          <w:lang w:val="en-US" w:eastAsia="zh-CN"/>
        </w:rPr>
      </w:pPr>
      <w:r>
        <w:rPr>
          <w:rFonts w:hint="eastAsia" w:ascii="宋体" w:hAnsi="宋体" w:cs="Courier New"/>
          <w:color w:val="auto"/>
          <w:sz w:val="24"/>
          <w:szCs w:val="24"/>
        </w:rPr>
        <w:t>联系地址：</w:t>
      </w:r>
      <w:r>
        <w:rPr>
          <w:rFonts w:hint="eastAsia" w:ascii="宋体" w:hAnsi="宋体" w:cs="Courier New"/>
          <w:color w:val="auto"/>
          <w:sz w:val="24"/>
          <w:szCs w:val="24"/>
          <w:u w:val="none"/>
          <w:lang w:val="en-US" w:eastAsia="zh-CN"/>
        </w:rPr>
        <w:t xml:space="preserve">                </w:t>
      </w:r>
    </w:p>
    <w:p w14:paraId="6B2C863C">
      <w:pPr>
        <w:spacing w:line="500" w:lineRule="exact"/>
        <w:ind w:firstLine="480" w:firstLineChars="200"/>
        <w:rPr>
          <w:rFonts w:hint="eastAsia" w:ascii="宋体" w:hAnsi="宋体" w:cs="Courier New"/>
          <w:color w:val="auto"/>
          <w:sz w:val="24"/>
          <w:szCs w:val="24"/>
          <w:lang w:val="en-US" w:eastAsia="zh-CN"/>
        </w:rPr>
      </w:pPr>
      <w:r>
        <w:rPr>
          <w:rFonts w:hint="eastAsia" w:ascii="宋体" w:hAnsi="宋体" w:cs="Courier New"/>
          <w:color w:val="auto"/>
          <w:sz w:val="24"/>
          <w:szCs w:val="24"/>
        </w:rPr>
        <w:t>联系电话：</w:t>
      </w:r>
      <w:r>
        <w:rPr>
          <w:rFonts w:hint="eastAsia" w:ascii="宋体" w:hAnsi="宋体" w:cs="Courier New"/>
          <w:color w:val="auto"/>
          <w:sz w:val="24"/>
          <w:szCs w:val="24"/>
          <w:lang w:val="en-US" w:eastAsia="zh-CN"/>
        </w:rPr>
        <w:t xml:space="preserve">                   </w:t>
      </w:r>
    </w:p>
    <w:p w14:paraId="5047F547">
      <w:pPr>
        <w:spacing w:line="500" w:lineRule="exact"/>
        <w:ind w:firstLine="480" w:firstLineChars="200"/>
        <w:rPr>
          <w:rFonts w:ascii="宋体" w:hAnsi="宋体" w:cs="Courier New"/>
          <w:color w:val="auto"/>
          <w:sz w:val="24"/>
          <w:szCs w:val="24"/>
          <w:u w:val="thick"/>
        </w:rPr>
      </w:pPr>
      <w:r>
        <w:rPr>
          <w:rFonts w:hint="eastAsia" w:ascii="宋体" w:hAnsi="宋体" w:cs="Courier New"/>
          <w:color w:val="auto"/>
          <w:sz w:val="24"/>
          <w:szCs w:val="24"/>
        </w:rPr>
        <w:t>传真：</w:t>
      </w:r>
      <w:r>
        <w:rPr>
          <w:rFonts w:hint="eastAsia" w:ascii="宋体" w:hAnsi="宋体" w:cs="Courier New"/>
          <w:color w:val="auto"/>
          <w:sz w:val="24"/>
          <w:szCs w:val="24"/>
          <w:u w:val="thick"/>
        </w:rPr>
        <w:t xml:space="preserve"> </w:t>
      </w:r>
      <w:r>
        <w:rPr>
          <w:rFonts w:ascii="宋体" w:hAnsi="宋体" w:cs="Courier New"/>
          <w:color w:val="auto"/>
          <w:sz w:val="24"/>
          <w:szCs w:val="24"/>
          <w:u w:val="thick"/>
        </w:rPr>
        <w:t xml:space="preserve">   </w:t>
      </w:r>
    </w:p>
    <w:p w14:paraId="22BA1CFF">
      <w:pPr>
        <w:spacing w:line="500" w:lineRule="exact"/>
        <w:ind w:firstLine="2760" w:firstLineChars="1150"/>
        <w:rPr>
          <w:rFonts w:ascii="宋体" w:hAnsi="宋体" w:cs="Courier New"/>
          <w:color w:val="auto"/>
          <w:sz w:val="24"/>
          <w:szCs w:val="24"/>
        </w:rPr>
      </w:pPr>
      <w:r>
        <w:rPr>
          <w:rFonts w:hint="eastAsia" w:ascii="宋体" w:hAnsi="宋体" w:cs="Courier New"/>
          <w:color w:val="auto"/>
          <w:sz w:val="24"/>
          <w:szCs w:val="24"/>
        </w:rPr>
        <w:t>法定代表人/被授权人身份证复印件</w:t>
      </w:r>
    </w:p>
    <w:tbl>
      <w:tblPr>
        <w:tblStyle w:val="42"/>
        <w:tblW w:w="940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700"/>
        <w:gridCol w:w="4700"/>
      </w:tblGrid>
      <w:tr w14:paraId="59203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08" w:hRule="atLeast"/>
        </w:trPr>
        <w:tc>
          <w:tcPr>
            <w:tcW w:w="4700" w:type="dxa"/>
            <w:shd w:val="clear" w:color="auto" w:fill="E0E0E0"/>
            <w:vAlign w:val="center"/>
          </w:tcPr>
          <w:p w14:paraId="181E977D">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auto"/>
                <w:sz w:val="24"/>
                <w:szCs w:val="24"/>
                <w:shd w:val="pct10" w:color="auto" w:fill="FFFFFF"/>
              </w:rPr>
            </w:pPr>
            <w:r>
              <w:rPr>
                <w:rFonts w:hint="eastAsia" w:ascii="宋体" w:hAnsi="宋体" w:cs="Courier New"/>
                <w:color w:val="auto"/>
                <w:sz w:val="24"/>
                <w:szCs w:val="24"/>
                <w:shd w:val="pct10" w:color="auto" w:fill="FFFFFF"/>
              </w:rPr>
              <w:t>法定代表人身份证复印件（正面）</w:t>
            </w:r>
          </w:p>
        </w:tc>
        <w:tc>
          <w:tcPr>
            <w:tcW w:w="4700" w:type="dxa"/>
            <w:shd w:val="clear" w:color="auto" w:fill="E0E0E0"/>
            <w:vAlign w:val="center"/>
          </w:tcPr>
          <w:p w14:paraId="045A73B8">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auto"/>
                <w:sz w:val="24"/>
                <w:szCs w:val="24"/>
                <w:shd w:val="pct10" w:color="auto" w:fill="FFFFFF"/>
              </w:rPr>
            </w:pPr>
            <w:r>
              <w:rPr>
                <w:rFonts w:hint="eastAsia" w:ascii="宋体" w:hAnsi="宋体" w:cs="Courier New"/>
                <w:color w:val="auto"/>
                <w:sz w:val="24"/>
                <w:szCs w:val="24"/>
                <w:shd w:val="pct10" w:color="auto" w:fill="FFFFFF"/>
              </w:rPr>
              <w:t>被授权人身份证复印件（正面）</w:t>
            </w:r>
          </w:p>
        </w:tc>
      </w:tr>
      <w:tr w14:paraId="79944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64" w:hRule="atLeast"/>
        </w:trPr>
        <w:tc>
          <w:tcPr>
            <w:tcW w:w="4700" w:type="dxa"/>
            <w:shd w:val="clear" w:color="auto" w:fill="E0E0E0"/>
            <w:vAlign w:val="center"/>
          </w:tcPr>
          <w:p w14:paraId="79B7BF7C">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auto"/>
                <w:sz w:val="24"/>
                <w:szCs w:val="24"/>
                <w:shd w:val="pct10" w:color="auto" w:fill="FFFFFF"/>
              </w:rPr>
            </w:pPr>
            <w:r>
              <w:rPr>
                <w:rFonts w:hint="eastAsia" w:ascii="宋体" w:hAnsi="宋体" w:cs="Courier New"/>
                <w:color w:val="auto"/>
                <w:sz w:val="24"/>
                <w:szCs w:val="24"/>
                <w:shd w:val="pct10" w:color="auto" w:fill="FFFFFF"/>
              </w:rPr>
              <w:t>法定代表人身份证复印件（反面）</w:t>
            </w:r>
          </w:p>
        </w:tc>
        <w:tc>
          <w:tcPr>
            <w:tcW w:w="4700" w:type="dxa"/>
            <w:shd w:val="clear" w:color="auto" w:fill="E0E0E0"/>
            <w:vAlign w:val="center"/>
          </w:tcPr>
          <w:p w14:paraId="236A1B16">
            <w:pPr>
              <w:keepNext w:val="0"/>
              <w:keepLines w:val="0"/>
              <w:suppressLineNumbers w:val="0"/>
              <w:snapToGrid w:val="0"/>
              <w:spacing w:before="0" w:beforeAutospacing="0" w:after="0" w:afterAutospacing="0" w:line="500" w:lineRule="exact"/>
              <w:ind w:left="0" w:right="0"/>
              <w:jc w:val="center"/>
              <w:rPr>
                <w:rFonts w:hint="default" w:ascii="宋体" w:hAnsi="宋体" w:cs="Courier New"/>
                <w:color w:val="auto"/>
                <w:sz w:val="24"/>
                <w:szCs w:val="24"/>
                <w:shd w:val="pct10" w:color="auto" w:fill="FFFFFF"/>
              </w:rPr>
            </w:pPr>
            <w:r>
              <w:rPr>
                <w:rFonts w:hint="eastAsia" w:ascii="宋体" w:hAnsi="宋体" w:cs="Courier New"/>
                <w:color w:val="auto"/>
                <w:sz w:val="24"/>
                <w:szCs w:val="24"/>
                <w:shd w:val="pct10" w:color="auto" w:fill="FFFFFF"/>
              </w:rPr>
              <w:t>被授权人身份证复印件（反面）</w:t>
            </w:r>
          </w:p>
        </w:tc>
      </w:tr>
    </w:tbl>
    <w:p w14:paraId="4907255D">
      <w:pPr>
        <w:spacing w:line="500" w:lineRule="exact"/>
        <w:rPr>
          <w:rFonts w:ascii="宋体" w:hAnsi="宋体" w:cs="Courier New"/>
          <w:color w:val="auto"/>
          <w:sz w:val="24"/>
          <w:szCs w:val="24"/>
        </w:rPr>
      </w:pPr>
      <w:r>
        <w:rPr>
          <w:rFonts w:hint="eastAsia" w:ascii="宋体" w:hAnsi="宋体" w:cs="Courier New"/>
          <w:color w:val="auto"/>
          <w:sz w:val="24"/>
          <w:szCs w:val="24"/>
        </w:rPr>
        <w:t>说明：</w:t>
      </w:r>
    </w:p>
    <w:p w14:paraId="70A80855">
      <w:pPr>
        <w:spacing w:line="460" w:lineRule="exact"/>
        <w:ind w:firstLine="480" w:firstLineChars="200"/>
        <w:rPr>
          <w:rFonts w:ascii="宋体" w:hAnsi="宋体" w:cs="Courier New"/>
          <w:color w:val="auto"/>
          <w:sz w:val="24"/>
          <w:szCs w:val="24"/>
        </w:rPr>
      </w:pPr>
      <w:r>
        <w:rPr>
          <w:rFonts w:hint="eastAsia" w:ascii="宋体" w:hAnsi="宋体" w:cs="Courier New"/>
          <w:color w:val="auto"/>
          <w:sz w:val="24"/>
          <w:szCs w:val="24"/>
        </w:rPr>
        <w:t>1．本授权书有效期自开标大会之日计算不得少于九十天。</w:t>
      </w:r>
    </w:p>
    <w:p w14:paraId="260F00CF">
      <w:pPr>
        <w:spacing w:line="460" w:lineRule="exact"/>
        <w:ind w:firstLine="480" w:firstLineChars="200"/>
        <w:rPr>
          <w:rFonts w:ascii="宋体" w:hAnsi="宋体" w:cs="Courier New"/>
          <w:color w:val="auto"/>
          <w:sz w:val="24"/>
          <w:szCs w:val="24"/>
        </w:rPr>
      </w:pPr>
      <w:r>
        <w:rPr>
          <w:rFonts w:hint="eastAsia" w:ascii="宋体" w:hAnsi="宋体" w:cs="Courier New"/>
          <w:color w:val="auto"/>
          <w:sz w:val="24"/>
          <w:szCs w:val="24"/>
        </w:rPr>
        <w:t>2．授权书内容填写要明确，文字要工整清楚，涂改无效。</w:t>
      </w:r>
    </w:p>
    <w:p w14:paraId="73BDCBC9">
      <w:pPr>
        <w:pStyle w:val="3"/>
        <w:jc w:val="center"/>
        <w:rPr>
          <w:rFonts w:ascii="宋体" w:hAnsi="宋体" w:cs="宋体"/>
          <w:color w:val="auto"/>
          <w:sz w:val="28"/>
          <w:szCs w:val="28"/>
        </w:rPr>
      </w:pPr>
      <w:bookmarkStart w:id="123" w:name="_Toc24284"/>
      <w:r>
        <w:rPr>
          <w:rFonts w:hint="eastAsia" w:ascii="宋体" w:hAnsi="宋体" w:cs="宋体"/>
          <w:color w:val="auto"/>
          <w:sz w:val="28"/>
          <w:szCs w:val="28"/>
        </w:rPr>
        <w:t>无重大违法记录声明</w:t>
      </w:r>
      <w:bookmarkEnd w:id="123"/>
    </w:p>
    <w:p w14:paraId="216C380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24"/>
        </w:rPr>
        <w:t>我单位参与安康尚昊招标代理有限公司组织的</w:t>
      </w:r>
      <w:r>
        <w:rPr>
          <w:rFonts w:hint="eastAsia" w:ascii="宋体" w:hAnsi="宋体" w:eastAsia="宋体" w:cs="宋体"/>
          <w:color w:val="auto"/>
          <w:sz w:val="24"/>
          <w:szCs w:val="24"/>
          <w:u w:val="single"/>
        </w:rPr>
        <w:t xml:space="preserve">     （项目名称）（项目编号）    </w:t>
      </w:r>
      <w:r>
        <w:rPr>
          <w:rFonts w:hint="eastAsia" w:ascii="宋体" w:hAnsi="宋体" w:eastAsia="宋体" w:cs="宋体"/>
          <w:color w:val="auto"/>
          <w:sz w:val="24"/>
          <w:szCs w:val="24"/>
          <w:lang w:val="en-US" w:eastAsia="zh-CN"/>
        </w:rPr>
        <w:t>公开招标</w:t>
      </w:r>
      <w:r>
        <w:rPr>
          <w:rFonts w:hint="eastAsia" w:ascii="宋体" w:hAnsi="宋体" w:cs="宋体"/>
          <w:color w:val="auto"/>
          <w:sz w:val="24"/>
          <w:szCs w:val="24"/>
          <w:lang w:val="en-US" w:eastAsia="zh-CN"/>
        </w:rPr>
        <w:t>采购活动</w:t>
      </w:r>
      <w:r>
        <w:rPr>
          <w:rFonts w:hint="eastAsia" w:ascii="宋体" w:hAnsi="宋体" w:eastAsia="宋体" w:cs="宋体"/>
          <w:color w:val="auto"/>
          <w:sz w:val="24"/>
          <w:szCs w:val="24"/>
        </w:rPr>
        <w:t>，我单位郑重声明：我方参加本项目招标工作前三年内无重大违法活动记录，符合《中华人民共和国政府采购法》规定的供应商资格条件，我方对此声明负全部法律责任。</w:t>
      </w:r>
    </w:p>
    <w:p w14:paraId="6445F516">
      <w:pPr>
        <w:spacing w:line="360" w:lineRule="auto"/>
        <w:rPr>
          <w:rFonts w:hint="eastAsia" w:ascii="宋体" w:hAnsi="宋体" w:eastAsia="宋体" w:cs="宋体"/>
          <w:color w:val="auto"/>
          <w:sz w:val="24"/>
          <w:szCs w:val="24"/>
        </w:rPr>
      </w:pPr>
    </w:p>
    <w:p w14:paraId="129527DF">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4337EB69">
      <w:pPr>
        <w:spacing w:line="360" w:lineRule="auto"/>
        <w:rPr>
          <w:rFonts w:hint="eastAsia" w:ascii="宋体" w:hAnsi="宋体" w:eastAsia="宋体" w:cs="宋体"/>
          <w:color w:val="auto"/>
          <w:sz w:val="24"/>
          <w:szCs w:val="24"/>
        </w:rPr>
      </w:pPr>
    </w:p>
    <w:p w14:paraId="6392E13C">
      <w:pPr>
        <w:spacing w:line="360" w:lineRule="auto"/>
        <w:rPr>
          <w:rFonts w:hint="eastAsia" w:ascii="宋体" w:hAnsi="宋体" w:eastAsia="宋体" w:cs="宋体"/>
          <w:color w:val="auto"/>
          <w:sz w:val="24"/>
          <w:szCs w:val="24"/>
        </w:rPr>
      </w:pPr>
    </w:p>
    <w:p w14:paraId="5EFEC173">
      <w:pPr>
        <w:spacing w:line="360" w:lineRule="auto"/>
        <w:rPr>
          <w:rFonts w:hint="eastAsia" w:ascii="宋体" w:hAnsi="宋体" w:eastAsia="宋体" w:cs="宋体"/>
          <w:color w:val="auto"/>
          <w:sz w:val="24"/>
          <w:szCs w:val="24"/>
          <w:lang w:eastAsia="zh-CN"/>
        </w:rPr>
      </w:pPr>
    </w:p>
    <w:p w14:paraId="27D52B89">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rPr>
      </w:pPr>
      <w:r>
        <w:rPr>
          <w:rFonts w:hint="eastAsia" w:ascii="宋体" w:hAnsi="宋体" w:cs="宋体"/>
          <w:color w:val="auto"/>
          <w:sz w:val="24"/>
          <w:szCs w:val="24"/>
          <w:u w:val="single"/>
          <w:lang w:val="en-US" w:eastAsia="zh-CN"/>
        </w:rPr>
        <w:t xml:space="preserve">                 </w:t>
      </w:r>
    </w:p>
    <w:p w14:paraId="6EE6C09D">
      <w:pPr>
        <w:adjustRightInd w:val="0"/>
        <w:snapToGrid w:val="0"/>
        <w:spacing w:line="408" w:lineRule="auto"/>
        <w:rPr>
          <w:rFonts w:ascii="宋体" w:hAnsi="宋体" w:cs="宋体"/>
          <w:b/>
          <w:bCs/>
          <w:color w:val="auto"/>
          <w:sz w:val="24"/>
          <w:szCs w:val="24"/>
        </w:rPr>
      </w:pPr>
    </w:p>
    <w:p w14:paraId="69FC9B0B">
      <w:pPr>
        <w:adjustRightInd w:val="0"/>
        <w:snapToGrid w:val="0"/>
        <w:spacing w:line="408" w:lineRule="auto"/>
        <w:rPr>
          <w:rFonts w:ascii="宋体" w:hAnsi="宋体" w:cs="宋体"/>
          <w:bCs/>
          <w:color w:val="auto"/>
          <w:sz w:val="24"/>
          <w:szCs w:val="24"/>
        </w:rPr>
      </w:pPr>
    </w:p>
    <w:p w14:paraId="6089B7DD">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7A40680D">
      <w:pPr>
        <w:spacing w:line="360" w:lineRule="auto"/>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046AAF76">
      <w:pPr>
        <w:spacing w:line="360" w:lineRule="auto"/>
        <w:rPr>
          <w:rFonts w:ascii="宋体" w:hAnsi="宋体" w:cs="仿宋"/>
          <w:color w:val="auto"/>
          <w:sz w:val="24"/>
          <w:szCs w:val="24"/>
        </w:rPr>
      </w:pPr>
      <w:r>
        <w:rPr>
          <w:rFonts w:hint="eastAsia" w:ascii="宋体" w:hAnsi="宋体"/>
          <w:color w:val="auto"/>
          <w:sz w:val="24"/>
          <w:szCs w:val="24"/>
        </w:rPr>
        <w:t>日      期：</w:t>
      </w:r>
      <w:r>
        <w:rPr>
          <w:rFonts w:hint="eastAsia" w:ascii="宋体" w:hAnsi="宋体" w:cs="仿宋"/>
          <w:color w:val="auto"/>
          <w:sz w:val="24"/>
          <w:szCs w:val="24"/>
        </w:rPr>
        <w:t xml:space="preserve"> </w:t>
      </w:r>
    </w:p>
    <w:p w14:paraId="78E369A2">
      <w:pPr>
        <w:rPr>
          <w:rFonts w:ascii="宋体" w:hAnsi="宋体" w:cs="宋体"/>
          <w:color w:val="auto"/>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ascii="宋体" w:hAnsi="宋体" w:cs="宋体"/>
          <w:color w:val="auto"/>
        </w:rPr>
        <w:br w:type="page"/>
      </w:r>
    </w:p>
    <w:p w14:paraId="54DEAC60">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投标人非联合体投标声明</w:t>
      </w:r>
    </w:p>
    <w:p w14:paraId="4CFB6473">
      <w:pPr>
        <w:adjustRightInd w:val="0"/>
        <w:snapToGrid w:val="0"/>
        <w:spacing w:line="360" w:lineRule="auto"/>
        <w:rPr>
          <w:rFonts w:ascii="仿宋" w:hAnsi="仿宋" w:eastAsia="仿宋" w:cs="黑体"/>
          <w:bCs/>
          <w:color w:val="auto"/>
          <w:sz w:val="28"/>
          <w:szCs w:val="28"/>
        </w:rPr>
      </w:pPr>
    </w:p>
    <w:p w14:paraId="2F817921">
      <w:pPr>
        <w:adjustRightInd w:val="0"/>
        <w:snapToGrid w:val="0"/>
        <w:spacing w:line="408" w:lineRule="auto"/>
        <w:rPr>
          <w:rFonts w:ascii="宋体" w:hAnsi="宋体" w:cs="宋体"/>
          <w:bCs/>
          <w:color w:val="auto"/>
          <w:sz w:val="24"/>
          <w:szCs w:val="24"/>
        </w:rPr>
      </w:pPr>
      <w:r>
        <w:rPr>
          <w:rFonts w:hint="eastAsia" w:ascii="宋体" w:hAnsi="宋体" w:cs="宋体"/>
          <w:color w:val="auto"/>
          <w:sz w:val="24"/>
          <w:szCs w:val="24"/>
        </w:rPr>
        <w:t>安康尚昊招标代理有限公司</w:t>
      </w:r>
      <w:r>
        <w:rPr>
          <w:rFonts w:hint="eastAsia" w:ascii="宋体" w:hAnsi="宋体" w:cs="宋体"/>
          <w:bCs/>
          <w:color w:val="auto"/>
          <w:sz w:val="24"/>
          <w:szCs w:val="24"/>
        </w:rPr>
        <w:t>：</w:t>
      </w:r>
    </w:p>
    <w:p w14:paraId="77E6931E">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我方愿响应贵方</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年</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月</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日发布的</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项目（项目编号：</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）招标内容，参与投标，提供采购人需求中规定的全部内容。本公司就参加投标工作，作出郑重声明：</w:t>
      </w:r>
    </w:p>
    <w:p w14:paraId="7F997A6A">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1.本公司保证在本项目投标中不与其他单位围标、串标，不出让投标资格，不向采购人、采购代理机构和评标委员会成员行贿。</w:t>
      </w:r>
    </w:p>
    <w:p w14:paraId="3A74ADB2">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2.本公司保证本项目并非联合体投标，本项目服务由本公司独立承担。</w:t>
      </w:r>
    </w:p>
    <w:p w14:paraId="2EEB19EB">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本公司违反上述保证，或本声明陈述与事实不符，经查实，我方自行承担一切后果及法律责任</w:t>
      </w:r>
      <w:r>
        <w:rPr>
          <w:rFonts w:hint="eastAsia" w:ascii="宋体" w:hAnsi="宋体" w:cs="宋体"/>
          <w:bCs/>
          <w:color w:val="auto"/>
          <w:sz w:val="24"/>
          <w:szCs w:val="24"/>
          <w:lang w:eastAsia="zh-CN"/>
        </w:rPr>
        <w:t>。</w:t>
      </w:r>
    </w:p>
    <w:p w14:paraId="73CC8792">
      <w:pPr>
        <w:adjustRightInd w:val="0"/>
        <w:snapToGrid w:val="0"/>
        <w:spacing w:line="408" w:lineRule="auto"/>
        <w:rPr>
          <w:rFonts w:ascii="宋体" w:hAnsi="宋体" w:cs="宋体"/>
          <w:bCs/>
          <w:color w:val="auto"/>
          <w:sz w:val="24"/>
          <w:szCs w:val="24"/>
        </w:rPr>
      </w:pPr>
      <w:r>
        <w:rPr>
          <w:rFonts w:hint="eastAsia" w:ascii="宋体" w:hAnsi="宋体" w:cs="宋体"/>
          <w:bCs/>
          <w:color w:val="auto"/>
          <w:sz w:val="24"/>
          <w:szCs w:val="24"/>
        </w:rPr>
        <w:t xml:space="preserve">    特此声明。</w:t>
      </w:r>
    </w:p>
    <w:p w14:paraId="449EAB62">
      <w:pPr>
        <w:snapToGrid w:val="0"/>
        <w:spacing w:line="408" w:lineRule="auto"/>
        <w:rPr>
          <w:rFonts w:ascii="宋体" w:hAnsi="宋体" w:cs="宋体"/>
          <w:bCs/>
          <w:color w:val="auto"/>
          <w:sz w:val="24"/>
          <w:szCs w:val="24"/>
        </w:rPr>
      </w:pPr>
    </w:p>
    <w:p w14:paraId="08C3BF84">
      <w:pPr>
        <w:snapToGrid w:val="0"/>
        <w:spacing w:line="408" w:lineRule="auto"/>
        <w:rPr>
          <w:rFonts w:ascii="宋体" w:hAnsi="宋体" w:cs="宋体"/>
          <w:bCs/>
          <w:color w:val="auto"/>
          <w:sz w:val="24"/>
          <w:szCs w:val="24"/>
        </w:rPr>
      </w:pPr>
    </w:p>
    <w:p w14:paraId="2D238FA0">
      <w:pPr>
        <w:snapToGrid w:val="0"/>
        <w:spacing w:line="408" w:lineRule="auto"/>
        <w:rPr>
          <w:rFonts w:ascii="宋体" w:hAnsi="宋体" w:cs="宋体"/>
          <w:bCs/>
          <w:color w:val="auto"/>
          <w:sz w:val="24"/>
          <w:szCs w:val="24"/>
        </w:rPr>
      </w:pPr>
    </w:p>
    <w:p w14:paraId="6C126CD7">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 xml:space="preserve"> </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6AC4A1AB">
      <w:pPr>
        <w:spacing w:line="360" w:lineRule="auto"/>
        <w:ind w:firstLine="240" w:firstLineChars="100"/>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17BC524A">
      <w:pPr>
        <w:spacing w:line="408" w:lineRule="auto"/>
        <w:ind w:firstLine="240" w:firstLineChars="100"/>
        <w:rPr>
          <w:rFonts w:hint="eastAsia" w:ascii="宋体" w:hAnsi="宋体"/>
          <w:color w:val="auto"/>
          <w:sz w:val="24"/>
          <w:szCs w:val="24"/>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ascii="宋体" w:hAnsi="宋体"/>
          <w:color w:val="auto"/>
          <w:sz w:val="24"/>
          <w:szCs w:val="24"/>
        </w:rPr>
        <w:t>日      期：</w:t>
      </w:r>
    </w:p>
    <w:p w14:paraId="08109110">
      <w:pPr>
        <w:adjustRightInd w:val="0"/>
        <w:snapToGrid w:val="0"/>
        <w:spacing w:line="360" w:lineRule="auto"/>
        <w:jc w:val="center"/>
        <w:rPr>
          <w:rFonts w:ascii="宋体" w:hAnsi="宋体" w:cs="宋体"/>
          <w:b/>
          <w:bCs/>
          <w:color w:val="auto"/>
          <w:sz w:val="28"/>
          <w:szCs w:val="28"/>
        </w:rPr>
      </w:pPr>
      <w:r>
        <w:rPr>
          <w:rFonts w:hint="eastAsia" w:ascii="宋体" w:hAnsi="宋体" w:cs="宋体"/>
          <w:b/>
          <w:bCs/>
          <w:color w:val="auto"/>
          <w:sz w:val="28"/>
          <w:szCs w:val="28"/>
        </w:rPr>
        <w:t>中小企业声明函（</w:t>
      </w:r>
      <w:r>
        <w:rPr>
          <w:rFonts w:hint="eastAsia" w:ascii="宋体" w:hAnsi="宋体" w:cs="宋体"/>
          <w:b/>
          <w:bCs/>
          <w:color w:val="auto"/>
          <w:sz w:val="28"/>
          <w:szCs w:val="28"/>
          <w:lang w:val="en-US" w:eastAsia="zh-CN"/>
        </w:rPr>
        <w:t>货物</w:t>
      </w:r>
      <w:r>
        <w:rPr>
          <w:rFonts w:hint="eastAsia" w:ascii="宋体" w:hAnsi="宋体" w:cs="宋体"/>
          <w:b/>
          <w:bCs/>
          <w:color w:val="auto"/>
          <w:sz w:val="28"/>
          <w:szCs w:val="28"/>
        </w:rPr>
        <w:t>）</w:t>
      </w:r>
    </w:p>
    <w:p w14:paraId="7C50C49B">
      <w:pPr>
        <w:adjustRightInd w:val="0"/>
        <w:snapToGrid w:val="0"/>
        <w:spacing w:line="360" w:lineRule="auto"/>
        <w:jc w:val="center"/>
        <w:rPr>
          <w:rFonts w:ascii="仿宋" w:hAnsi="仿宋" w:eastAsia="仿宋" w:cs="黑体"/>
          <w:bCs/>
          <w:color w:val="auto"/>
          <w:sz w:val="28"/>
          <w:szCs w:val="28"/>
        </w:rPr>
      </w:pPr>
    </w:p>
    <w:p w14:paraId="7DB1B0DD">
      <w:pPr>
        <w:wordWrap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本公司郑重声明，根据《政府采购促进中小企业发展管理办法》（财库[2020]46 号）的规定，本公司参加</w:t>
      </w:r>
      <w:r>
        <w:rPr>
          <w:rFonts w:hint="eastAsia" w:ascii="宋体" w:hAnsi="宋体" w:cs="宋体"/>
          <w:bCs/>
          <w:color w:val="auto"/>
          <w:sz w:val="24"/>
          <w:szCs w:val="24"/>
          <w:u w:val="single"/>
        </w:rPr>
        <w:t>（单位名称）</w:t>
      </w:r>
      <w:r>
        <w:rPr>
          <w:rFonts w:hint="eastAsia" w:ascii="宋体" w:hAnsi="宋体" w:cs="宋体"/>
          <w:bCs/>
          <w:color w:val="auto"/>
          <w:sz w:val="24"/>
          <w:szCs w:val="24"/>
        </w:rPr>
        <w:t>的</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u w:val="single"/>
        </w:rPr>
        <w:t>项目名称：（项目编号：）</w:t>
      </w:r>
      <w:r>
        <w:rPr>
          <w:rFonts w:hint="eastAsia" w:ascii="宋体" w:hAnsi="宋体" w:cs="宋体"/>
          <w:bCs/>
          <w:color w:val="auto"/>
          <w:sz w:val="24"/>
          <w:szCs w:val="24"/>
          <w:u w:val="single"/>
          <w:lang w:val="en-US" w:eastAsia="zh-CN"/>
        </w:rPr>
        <w:t xml:space="preserve"> </w:t>
      </w:r>
      <w:r>
        <w:rPr>
          <w:rFonts w:hint="eastAsia" w:ascii="宋体" w:hAnsi="宋体" w:cs="宋体"/>
          <w:bCs/>
          <w:color w:val="auto"/>
          <w:sz w:val="24"/>
          <w:szCs w:val="24"/>
        </w:rPr>
        <w:t>采购活动，提供的货物全部由符合政策要求的中小企业制造。相关企业的具体情况如下：</w:t>
      </w:r>
    </w:p>
    <w:p w14:paraId="36A0B207">
      <w:pPr>
        <w:wordWrap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1.</w:t>
      </w:r>
      <w:r>
        <w:rPr>
          <w:rFonts w:hint="eastAsia" w:ascii="宋体" w:hAnsi="宋体" w:cs="宋体"/>
          <w:bCs/>
          <w:color w:val="auto"/>
          <w:sz w:val="24"/>
          <w:szCs w:val="24"/>
          <w:u w:val="single"/>
        </w:rPr>
        <w:t>（标的名称）</w:t>
      </w:r>
      <w:r>
        <w:rPr>
          <w:rFonts w:hint="eastAsia" w:ascii="宋体" w:hAnsi="宋体" w:cs="宋体"/>
          <w:bCs/>
          <w:color w:val="auto"/>
          <w:sz w:val="24"/>
          <w:szCs w:val="24"/>
        </w:rPr>
        <w:t>，属于</w:t>
      </w:r>
      <w:r>
        <w:rPr>
          <w:rFonts w:hint="eastAsia" w:ascii="宋体" w:hAnsi="宋体" w:cs="宋体"/>
          <w:bCs/>
          <w:color w:val="auto"/>
          <w:sz w:val="24"/>
          <w:szCs w:val="24"/>
          <w:u w:val="single"/>
        </w:rPr>
        <w:t>（采购文件中明确的所属行业）行业</w:t>
      </w:r>
      <w:r>
        <w:rPr>
          <w:rFonts w:hint="eastAsia" w:ascii="宋体" w:hAnsi="宋体" w:cs="宋体"/>
          <w:bCs/>
          <w:color w:val="auto"/>
          <w:sz w:val="24"/>
          <w:szCs w:val="24"/>
        </w:rPr>
        <w:t>；制造商为</w:t>
      </w:r>
      <w:r>
        <w:rPr>
          <w:rFonts w:hint="eastAsia" w:ascii="宋体" w:hAnsi="宋体" w:cs="宋体"/>
          <w:bCs/>
          <w:color w:val="auto"/>
          <w:sz w:val="24"/>
          <w:szCs w:val="24"/>
          <w:u w:val="single"/>
        </w:rPr>
        <w:t>（企业名称）</w:t>
      </w:r>
      <w:r>
        <w:rPr>
          <w:rFonts w:hint="eastAsia" w:ascii="宋体" w:hAnsi="宋体" w:cs="宋体"/>
          <w:bCs/>
          <w:color w:val="auto"/>
          <w:sz w:val="24"/>
          <w:szCs w:val="24"/>
        </w:rPr>
        <w:t>，从业人员</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人，营业收入为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万元，资产总额为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万元，属于</w:t>
      </w:r>
      <w:r>
        <w:rPr>
          <w:rFonts w:hint="eastAsia" w:ascii="宋体" w:hAnsi="宋体" w:cs="宋体"/>
          <w:bCs/>
          <w:color w:val="auto"/>
          <w:sz w:val="24"/>
          <w:szCs w:val="24"/>
          <w:u w:val="single"/>
        </w:rPr>
        <w:t>（中型企业、小型企业、微型企业）</w:t>
      </w:r>
      <w:r>
        <w:rPr>
          <w:rFonts w:hint="eastAsia" w:ascii="宋体" w:hAnsi="宋体" w:cs="宋体"/>
          <w:bCs/>
          <w:color w:val="auto"/>
          <w:sz w:val="24"/>
          <w:szCs w:val="24"/>
        </w:rPr>
        <w:t>；</w:t>
      </w:r>
    </w:p>
    <w:p w14:paraId="67B931E8">
      <w:pPr>
        <w:wordWrap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2.</w:t>
      </w:r>
      <w:r>
        <w:rPr>
          <w:rFonts w:hint="eastAsia" w:ascii="宋体" w:hAnsi="宋体" w:cs="宋体"/>
          <w:bCs/>
          <w:color w:val="auto"/>
          <w:sz w:val="24"/>
          <w:szCs w:val="24"/>
          <w:u w:val="single"/>
        </w:rPr>
        <w:t>（标的名称）</w:t>
      </w:r>
      <w:r>
        <w:rPr>
          <w:rFonts w:hint="eastAsia" w:ascii="宋体" w:hAnsi="宋体" w:cs="宋体"/>
          <w:bCs/>
          <w:color w:val="auto"/>
          <w:sz w:val="24"/>
          <w:szCs w:val="24"/>
        </w:rPr>
        <w:t>，属于</w:t>
      </w:r>
      <w:r>
        <w:rPr>
          <w:rFonts w:hint="eastAsia" w:ascii="宋体" w:hAnsi="宋体" w:cs="宋体"/>
          <w:bCs/>
          <w:color w:val="auto"/>
          <w:sz w:val="24"/>
          <w:szCs w:val="24"/>
          <w:u w:val="single"/>
        </w:rPr>
        <w:t>（采购文件中明确的所属行业）行业</w:t>
      </w:r>
      <w:r>
        <w:rPr>
          <w:rFonts w:hint="eastAsia" w:ascii="宋体" w:hAnsi="宋体" w:cs="宋体"/>
          <w:bCs/>
          <w:color w:val="auto"/>
          <w:sz w:val="24"/>
          <w:szCs w:val="24"/>
        </w:rPr>
        <w:t>；制造商为</w:t>
      </w:r>
      <w:r>
        <w:rPr>
          <w:rFonts w:hint="eastAsia" w:ascii="宋体" w:hAnsi="宋体" w:cs="宋体"/>
          <w:bCs/>
          <w:color w:val="auto"/>
          <w:sz w:val="24"/>
          <w:szCs w:val="24"/>
          <w:u w:val="single"/>
        </w:rPr>
        <w:t>（企业名称）</w:t>
      </w:r>
      <w:r>
        <w:rPr>
          <w:rFonts w:hint="eastAsia" w:ascii="宋体" w:hAnsi="宋体" w:cs="宋体"/>
          <w:bCs/>
          <w:color w:val="auto"/>
          <w:sz w:val="24"/>
          <w:szCs w:val="24"/>
        </w:rPr>
        <w:t>，从业人员</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人，营业收入为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万元，资产总额为</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万元，属于</w:t>
      </w:r>
      <w:r>
        <w:rPr>
          <w:rFonts w:hint="eastAsia" w:ascii="宋体" w:hAnsi="宋体" w:cs="宋体"/>
          <w:bCs/>
          <w:color w:val="auto"/>
          <w:sz w:val="24"/>
          <w:szCs w:val="24"/>
          <w:u w:val="single"/>
        </w:rPr>
        <w:t>（中型企业、小型企业、微型企业）</w:t>
      </w:r>
      <w:r>
        <w:rPr>
          <w:rFonts w:hint="eastAsia" w:ascii="宋体" w:hAnsi="宋体" w:cs="宋体"/>
          <w:bCs/>
          <w:color w:val="auto"/>
          <w:sz w:val="24"/>
          <w:szCs w:val="24"/>
        </w:rPr>
        <w:t>；</w:t>
      </w:r>
    </w:p>
    <w:p w14:paraId="10AC0FF2">
      <w:pPr>
        <w:wordWrap w:val="0"/>
        <w:snapToGrid w:val="0"/>
        <w:spacing w:line="360" w:lineRule="auto"/>
        <w:ind w:firstLine="480" w:firstLineChars="200"/>
        <w:rPr>
          <w:rFonts w:ascii="宋体" w:hAnsi="宋体" w:cs="宋体"/>
          <w:bCs/>
          <w:color w:val="auto"/>
          <w:sz w:val="24"/>
          <w:szCs w:val="24"/>
        </w:rPr>
      </w:pPr>
      <w:r>
        <w:rPr>
          <w:rFonts w:hint="eastAsia" w:ascii="宋体" w:hAnsi="宋体" w:cs="宋体"/>
          <w:bCs/>
          <w:color w:val="auto"/>
          <w:sz w:val="24"/>
          <w:szCs w:val="24"/>
        </w:rPr>
        <w:t>……</w:t>
      </w:r>
    </w:p>
    <w:p w14:paraId="6ED18EE9">
      <w:pPr>
        <w:wordWrap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以上企业，不属于大企业的分支机构，不存在控股股东为大企业的情形，也不存在与大企业的负责人为同一人的情形。</w:t>
      </w:r>
    </w:p>
    <w:p w14:paraId="1091C5B3">
      <w:pPr>
        <w:wordWrap w:val="0"/>
        <w:snapToGrid w:val="0"/>
        <w:spacing w:line="360" w:lineRule="auto"/>
        <w:ind w:firstLine="480" w:firstLineChars="200"/>
        <w:rPr>
          <w:rFonts w:hint="eastAsia" w:ascii="宋体" w:hAnsi="宋体" w:eastAsia="宋体" w:cs="宋体"/>
          <w:bCs/>
          <w:color w:val="auto"/>
          <w:sz w:val="24"/>
          <w:szCs w:val="24"/>
        </w:rPr>
      </w:pPr>
      <w:r>
        <w:rPr>
          <w:rFonts w:hint="eastAsia" w:ascii="宋体" w:hAnsi="宋体" w:eastAsia="宋体" w:cs="宋体"/>
          <w:bCs/>
          <w:color w:val="auto"/>
          <w:sz w:val="24"/>
          <w:szCs w:val="24"/>
        </w:rPr>
        <w:t>本企业对上述声明内容的真实性负责。如有虚假，将依法承担相应责任。</w:t>
      </w:r>
    </w:p>
    <w:p w14:paraId="7AE95E83">
      <w:pPr>
        <w:wordWrap w:val="0"/>
        <w:snapToGrid w:val="0"/>
        <w:spacing w:line="360" w:lineRule="auto"/>
        <w:ind w:firstLine="480" w:firstLineChars="200"/>
        <w:rPr>
          <w:rFonts w:hint="eastAsia" w:ascii="宋体" w:hAnsi="宋体" w:eastAsia="宋体" w:cs="宋体"/>
          <w:bCs/>
          <w:color w:val="auto"/>
          <w:sz w:val="24"/>
          <w:szCs w:val="24"/>
        </w:rPr>
      </w:pPr>
    </w:p>
    <w:p w14:paraId="37903E1F">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企业名称（盖章）： </w:t>
      </w:r>
    </w:p>
    <w:p w14:paraId="44B10EBD">
      <w:pPr>
        <w:spacing w:after="190" w:afterLines="50" w:line="480" w:lineRule="exact"/>
        <w:ind w:firstLine="5760" w:firstLineChars="2400"/>
        <w:jc w:val="both"/>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日 期： </w:t>
      </w:r>
    </w:p>
    <w:p w14:paraId="7AC6222B">
      <w:pPr>
        <w:pStyle w:val="150"/>
        <w:rPr>
          <w:rFonts w:hint="eastAsia"/>
          <w:color w:val="auto"/>
          <w:lang w:val="en-US" w:eastAsia="zh-CN"/>
        </w:rPr>
      </w:pPr>
    </w:p>
    <w:p w14:paraId="37FAD018">
      <w:pPr>
        <w:pStyle w:val="40"/>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注：¹从业人员、营业收入、资产总额填报上一年度数据，无上一年度数据的新成立企业可不填报。</w:t>
      </w:r>
    </w:p>
    <w:p w14:paraId="69760FE5">
      <w:pPr>
        <w:spacing w:line="408" w:lineRule="auto"/>
        <w:ind w:firstLine="240" w:firstLineChars="100"/>
        <w:rPr>
          <w:rFonts w:hint="eastAsia" w:ascii="宋体" w:hAnsi="宋体"/>
          <w:color w:val="auto"/>
          <w:sz w:val="24"/>
          <w:szCs w:val="24"/>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765079C3">
      <w:pPr>
        <w:spacing w:line="360" w:lineRule="auto"/>
        <w:jc w:val="center"/>
        <w:outlineLvl w:val="1"/>
        <w:rPr>
          <w:rFonts w:hAnsi="宋体" w:cs="宋体"/>
          <w:b/>
          <w:color w:val="auto"/>
          <w:sz w:val="28"/>
          <w:szCs w:val="28"/>
        </w:rPr>
      </w:pPr>
      <w:r>
        <w:rPr>
          <w:rFonts w:hint="eastAsia" w:hAnsi="宋体" w:cs="宋体"/>
          <w:b/>
          <w:color w:val="auto"/>
          <w:sz w:val="28"/>
          <w:szCs w:val="28"/>
        </w:rPr>
        <w:t>投标产品属节能、环境标志产品列表（如有）</w:t>
      </w:r>
    </w:p>
    <w:p w14:paraId="1324ACB6">
      <w:pPr>
        <w:spacing w:line="360" w:lineRule="auto"/>
        <w:outlineLvl w:val="1"/>
        <w:rPr>
          <w:rFonts w:hAnsi="宋体" w:cs="宋体"/>
          <w:color w:val="auto"/>
          <w:sz w:val="24"/>
          <w:szCs w:val="24"/>
        </w:rPr>
      </w:pPr>
      <w:r>
        <w:rPr>
          <w:rFonts w:hint="eastAsia" w:hAnsi="宋体" w:cs="宋体"/>
          <w:color w:val="auto"/>
          <w:sz w:val="24"/>
          <w:szCs w:val="24"/>
        </w:rPr>
        <w:t>项目名称：</w:t>
      </w:r>
    </w:p>
    <w:p w14:paraId="102C8A26">
      <w:pPr>
        <w:spacing w:line="360" w:lineRule="auto"/>
        <w:jc w:val="left"/>
        <w:outlineLvl w:val="1"/>
        <w:rPr>
          <w:rFonts w:hAnsi="宋体" w:cs="宋体"/>
          <w:color w:val="auto"/>
          <w:sz w:val="24"/>
          <w:szCs w:val="24"/>
        </w:rPr>
      </w:pPr>
      <w:r>
        <w:rPr>
          <w:rFonts w:hint="eastAsia" w:hAnsi="宋体" w:cs="宋体"/>
          <w:color w:val="auto"/>
          <w:sz w:val="24"/>
          <w:szCs w:val="24"/>
        </w:rPr>
        <w:t xml:space="preserve">项目编号： </w:t>
      </w:r>
    </w:p>
    <w:p w14:paraId="6D9CDED3">
      <w:pPr>
        <w:adjustRightInd w:val="0"/>
        <w:snapToGrid w:val="0"/>
        <w:spacing w:line="360" w:lineRule="auto"/>
        <w:outlineLvl w:val="1"/>
        <w:rPr>
          <w:rFonts w:hAnsi="宋体" w:cs="宋体"/>
          <w:color w:val="auto"/>
          <w:sz w:val="24"/>
          <w:szCs w:val="24"/>
        </w:rPr>
      </w:pPr>
    </w:p>
    <w:tbl>
      <w:tblPr>
        <w:tblStyle w:val="42"/>
        <w:tblW w:w="8928" w:type="dxa"/>
        <w:tblInd w:w="0" w:type="dxa"/>
        <w:tblLayout w:type="fixed"/>
        <w:tblCellMar>
          <w:top w:w="0" w:type="dxa"/>
          <w:left w:w="28" w:type="dxa"/>
          <w:bottom w:w="0" w:type="dxa"/>
          <w:right w:w="28" w:type="dxa"/>
        </w:tblCellMar>
      </w:tblPr>
      <w:tblGrid>
        <w:gridCol w:w="886"/>
        <w:gridCol w:w="1862"/>
        <w:gridCol w:w="2250"/>
        <w:gridCol w:w="1311"/>
        <w:gridCol w:w="1307"/>
        <w:gridCol w:w="1312"/>
      </w:tblGrid>
      <w:tr w14:paraId="073CB9AC">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3FE31D17">
            <w:pPr>
              <w:keepNext w:val="0"/>
              <w:keepLines w:val="0"/>
              <w:suppressLineNumbers w:val="0"/>
              <w:spacing w:before="0" w:beforeAutospacing="0" w:after="12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序号</w:t>
            </w:r>
          </w:p>
        </w:tc>
        <w:tc>
          <w:tcPr>
            <w:tcW w:w="1862" w:type="dxa"/>
            <w:tcBorders>
              <w:top w:val="single" w:color="auto" w:sz="6" w:space="0"/>
              <w:left w:val="single" w:color="auto" w:sz="6" w:space="0"/>
              <w:bottom w:val="single" w:color="auto" w:sz="6" w:space="0"/>
              <w:right w:val="single" w:color="auto" w:sz="6" w:space="0"/>
            </w:tcBorders>
            <w:vAlign w:val="center"/>
          </w:tcPr>
          <w:p w14:paraId="4700ACEB">
            <w:pPr>
              <w:keepNext w:val="0"/>
              <w:keepLines w:val="0"/>
              <w:suppressLineNumbers w:val="0"/>
              <w:spacing w:before="0" w:beforeAutospacing="0" w:after="12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5F7A065">
            <w:pPr>
              <w:keepNext w:val="0"/>
              <w:keepLines w:val="0"/>
              <w:suppressLineNumbers w:val="0"/>
              <w:spacing w:before="163" w:beforeLines="50" w:beforeAutospacing="0" w:after="12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6DDF5D0F">
            <w:pPr>
              <w:keepNext w:val="0"/>
              <w:keepLines w:val="0"/>
              <w:suppressLineNumbers w:val="0"/>
              <w:spacing w:before="0" w:beforeAutospacing="0" w:after="12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0B48B341">
            <w:pPr>
              <w:keepNext w:val="0"/>
              <w:keepLines w:val="0"/>
              <w:suppressLineNumbers w:val="0"/>
              <w:spacing w:before="0" w:beforeAutospacing="0" w:after="12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单价</w:t>
            </w:r>
          </w:p>
          <w:p w14:paraId="428CD39B">
            <w:pPr>
              <w:keepNext w:val="0"/>
              <w:keepLines w:val="0"/>
              <w:suppressLineNumbers w:val="0"/>
              <w:spacing w:before="0" w:beforeAutospacing="0" w:after="120" w:afterAutospacing="0" w:line="360" w:lineRule="auto"/>
              <w:ind w:left="0" w:right="0"/>
              <w:jc w:val="center"/>
              <w:outlineLvl w:val="1"/>
              <w:rPr>
                <w:rFonts w:hint="default" w:hAnsi="宋体" w:cs="宋体"/>
                <w:bCs/>
                <w:color w:val="auto"/>
                <w:sz w:val="24"/>
                <w:szCs w:val="24"/>
              </w:rPr>
            </w:pPr>
            <w:r>
              <w:rPr>
                <w:rFonts w:hint="eastAsia" w:hAnsi="宋体" w:cs="宋体"/>
                <w:color w:val="auto"/>
                <w:sz w:val="24"/>
                <w:szCs w:val="24"/>
              </w:rPr>
              <w:t>（元）</w:t>
            </w:r>
          </w:p>
        </w:tc>
        <w:tc>
          <w:tcPr>
            <w:tcW w:w="1312" w:type="dxa"/>
            <w:tcBorders>
              <w:top w:val="single" w:color="auto" w:sz="6" w:space="0"/>
              <w:left w:val="single" w:color="auto" w:sz="6" w:space="0"/>
              <w:bottom w:val="single" w:color="auto" w:sz="6" w:space="0"/>
              <w:right w:val="single" w:color="auto" w:sz="6" w:space="0"/>
            </w:tcBorders>
            <w:vAlign w:val="center"/>
          </w:tcPr>
          <w:p w14:paraId="65698A61">
            <w:pPr>
              <w:keepNext w:val="0"/>
              <w:keepLines w:val="0"/>
              <w:suppressLineNumbers w:val="0"/>
              <w:spacing w:before="0" w:beforeAutospacing="0" w:after="120" w:afterAutospacing="0" w:line="360" w:lineRule="auto"/>
              <w:ind w:left="0" w:right="0"/>
              <w:jc w:val="center"/>
              <w:outlineLvl w:val="1"/>
              <w:rPr>
                <w:rFonts w:hint="default" w:hAnsi="宋体" w:cs="宋体"/>
                <w:bCs/>
                <w:color w:val="auto"/>
                <w:sz w:val="24"/>
                <w:szCs w:val="24"/>
              </w:rPr>
            </w:pPr>
            <w:r>
              <w:rPr>
                <w:rFonts w:hint="eastAsia" w:hAnsi="宋体" w:cs="宋体"/>
                <w:bCs/>
                <w:color w:val="auto"/>
                <w:sz w:val="24"/>
                <w:szCs w:val="24"/>
              </w:rPr>
              <w:t>总价</w:t>
            </w:r>
          </w:p>
          <w:p w14:paraId="46AF0C65">
            <w:pPr>
              <w:keepNext w:val="0"/>
              <w:keepLines w:val="0"/>
              <w:suppressLineNumbers w:val="0"/>
              <w:spacing w:before="0" w:beforeAutospacing="0" w:after="120" w:afterAutospacing="0" w:line="360" w:lineRule="auto"/>
              <w:ind w:left="0" w:right="0"/>
              <w:jc w:val="center"/>
              <w:outlineLvl w:val="1"/>
              <w:rPr>
                <w:rFonts w:hint="default" w:hAnsi="宋体" w:cs="宋体"/>
                <w:bCs/>
                <w:color w:val="auto"/>
                <w:sz w:val="24"/>
                <w:szCs w:val="24"/>
              </w:rPr>
            </w:pPr>
            <w:r>
              <w:rPr>
                <w:rFonts w:hint="eastAsia" w:hAnsi="宋体" w:cs="宋体"/>
                <w:bCs/>
                <w:color w:val="auto"/>
                <w:sz w:val="24"/>
                <w:szCs w:val="24"/>
              </w:rPr>
              <w:t>（元）</w:t>
            </w:r>
          </w:p>
        </w:tc>
      </w:tr>
      <w:tr w14:paraId="3780C5F3">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5359FE24">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1</w:t>
            </w:r>
          </w:p>
        </w:tc>
        <w:tc>
          <w:tcPr>
            <w:tcW w:w="1862" w:type="dxa"/>
            <w:tcBorders>
              <w:top w:val="single" w:color="auto" w:sz="6" w:space="0"/>
              <w:left w:val="single" w:color="auto" w:sz="6" w:space="0"/>
              <w:bottom w:val="single" w:color="auto" w:sz="4" w:space="0"/>
              <w:right w:val="single" w:color="auto" w:sz="6" w:space="0"/>
            </w:tcBorders>
            <w:vAlign w:val="center"/>
          </w:tcPr>
          <w:p w14:paraId="1EA4BC15">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2250" w:type="dxa"/>
            <w:tcBorders>
              <w:top w:val="single" w:color="auto" w:sz="6" w:space="0"/>
              <w:left w:val="single" w:color="auto" w:sz="6" w:space="0"/>
              <w:bottom w:val="single" w:color="auto" w:sz="4" w:space="0"/>
              <w:right w:val="single" w:color="auto" w:sz="6" w:space="0"/>
            </w:tcBorders>
            <w:vAlign w:val="center"/>
          </w:tcPr>
          <w:p w14:paraId="72F3D117">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1" w:type="dxa"/>
            <w:tcBorders>
              <w:top w:val="single" w:color="auto" w:sz="6" w:space="0"/>
              <w:left w:val="single" w:color="auto" w:sz="6" w:space="0"/>
              <w:bottom w:val="single" w:color="auto" w:sz="4" w:space="0"/>
              <w:right w:val="single" w:color="auto" w:sz="6" w:space="0"/>
            </w:tcBorders>
            <w:vAlign w:val="center"/>
          </w:tcPr>
          <w:p w14:paraId="40C5DD1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07" w:type="dxa"/>
            <w:tcBorders>
              <w:top w:val="single" w:color="auto" w:sz="6" w:space="0"/>
              <w:left w:val="single" w:color="auto" w:sz="6" w:space="0"/>
              <w:bottom w:val="single" w:color="auto" w:sz="4" w:space="0"/>
              <w:right w:val="single" w:color="auto" w:sz="6" w:space="0"/>
            </w:tcBorders>
            <w:vAlign w:val="center"/>
          </w:tcPr>
          <w:p w14:paraId="2DFAFF6E">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2" w:type="dxa"/>
            <w:tcBorders>
              <w:top w:val="single" w:color="auto" w:sz="6" w:space="0"/>
              <w:left w:val="single" w:color="auto" w:sz="6" w:space="0"/>
              <w:bottom w:val="single" w:color="auto" w:sz="4" w:space="0"/>
              <w:right w:val="single" w:color="auto" w:sz="6" w:space="0"/>
            </w:tcBorders>
            <w:vAlign w:val="center"/>
          </w:tcPr>
          <w:p w14:paraId="684FCAF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r>
      <w:tr w14:paraId="241EDE4A">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09163850">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2</w:t>
            </w:r>
          </w:p>
        </w:tc>
        <w:tc>
          <w:tcPr>
            <w:tcW w:w="1862" w:type="dxa"/>
            <w:tcBorders>
              <w:top w:val="single" w:color="auto" w:sz="4" w:space="0"/>
              <w:left w:val="single" w:color="auto" w:sz="6" w:space="0"/>
              <w:bottom w:val="single" w:color="auto" w:sz="6" w:space="0"/>
              <w:right w:val="single" w:color="auto" w:sz="6" w:space="0"/>
            </w:tcBorders>
            <w:vAlign w:val="center"/>
          </w:tcPr>
          <w:p w14:paraId="425D3803">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auto"/>
                <w:sz w:val="24"/>
                <w:szCs w:val="24"/>
              </w:rPr>
            </w:pPr>
          </w:p>
        </w:tc>
        <w:tc>
          <w:tcPr>
            <w:tcW w:w="2250" w:type="dxa"/>
            <w:tcBorders>
              <w:top w:val="single" w:color="auto" w:sz="4" w:space="0"/>
              <w:left w:val="single" w:color="auto" w:sz="6" w:space="0"/>
              <w:bottom w:val="single" w:color="auto" w:sz="6" w:space="0"/>
              <w:right w:val="single" w:color="auto" w:sz="6" w:space="0"/>
            </w:tcBorders>
            <w:vAlign w:val="center"/>
          </w:tcPr>
          <w:p w14:paraId="2F3BD8EF">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1" w:type="dxa"/>
            <w:tcBorders>
              <w:top w:val="single" w:color="auto" w:sz="4" w:space="0"/>
              <w:left w:val="single" w:color="auto" w:sz="6" w:space="0"/>
              <w:bottom w:val="single" w:color="auto" w:sz="6" w:space="0"/>
              <w:right w:val="single" w:color="auto" w:sz="6" w:space="0"/>
            </w:tcBorders>
            <w:vAlign w:val="center"/>
          </w:tcPr>
          <w:p w14:paraId="5BECF2BA">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07" w:type="dxa"/>
            <w:tcBorders>
              <w:top w:val="single" w:color="auto" w:sz="4" w:space="0"/>
              <w:left w:val="single" w:color="auto" w:sz="6" w:space="0"/>
              <w:bottom w:val="single" w:color="auto" w:sz="6" w:space="0"/>
              <w:right w:val="single" w:color="auto" w:sz="6" w:space="0"/>
            </w:tcBorders>
            <w:vAlign w:val="center"/>
          </w:tcPr>
          <w:p w14:paraId="063429B3">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2" w:type="dxa"/>
            <w:tcBorders>
              <w:top w:val="single" w:color="auto" w:sz="4" w:space="0"/>
              <w:left w:val="single" w:color="auto" w:sz="6" w:space="0"/>
              <w:bottom w:val="single" w:color="auto" w:sz="6" w:space="0"/>
              <w:right w:val="single" w:color="auto" w:sz="6" w:space="0"/>
            </w:tcBorders>
            <w:vAlign w:val="center"/>
          </w:tcPr>
          <w:p w14:paraId="56437908">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r>
      <w:tr w14:paraId="31F3336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52390C28">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3</w:t>
            </w:r>
          </w:p>
        </w:tc>
        <w:tc>
          <w:tcPr>
            <w:tcW w:w="1862" w:type="dxa"/>
            <w:tcBorders>
              <w:top w:val="single" w:color="auto" w:sz="4" w:space="0"/>
              <w:left w:val="single" w:color="auto" w:sz="6" w:space="0"/>
              <w:bottom w:val="single" w:color="auto" w:sz="6" w:space="0"/>
              <w:right w:val="single" w:color="auto" w:sz="6" w:space="0"/>
            </w:tcBorders>
            <w:vAlign w:val="center"/>
          </w:tcPr>
          <w:p w14:paraId="0A3BF9C0">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auto"/>
                <w:sz w:val="24"/>
                <w:szCs w:val="24"/>
              </w:rPr>
            </w:pPr>
          </w:p>
        </w:tc>
        <w:tc>
          <w:tcPr>
            <w:tcW w:w="2250" w:type="dxa"/>
            <w:tcBorders>
              <w:top w:val="single" w:color="auto" w:sz="4" w:space="0"/>
              <w:left w:val="single" w:color="auto" w:sz="6" w:space="0"/>
              <w:bottom w:val="single" w:color="auto" w:sz="6" w:space="0"/>
              <w:right w:val="single" w:color="auto" w:sz="6" w:space="0"/>
            </w:tcBorders>
            <w:vAlign w:val="center"/>
          </w:tcPr>
          <w:p w14:paraId="536540B6">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1" w:type="dxa"/>
            <w:tcBorders>
              <w:top w:val="single" w:color="auto" w:sz="4" w:space="0"/>
              <w:left w:val="single" w:color="auto" w:sz="6" w:space="0"/>
              <w:bottom w:val="single" w:color="auto" w:sz="6" w:space="0"/>
              <w:right w:val="single" w:color="auto" w:sz="6" w:space="0"/>
            </w:tcBorders>
            <w:vAlign w:val="center"/>
          </w:tcPr>
          <w:p w14:paraId="02C8EA72">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07" w:type="dxa"/>
            <w:tcBorders>
              <w:top w:val="single" w:color="auto" w:sz="4" w:space="0"/>
              <w:left w:val="single" w:color="auto" w:sz="6" w:space="0"/>
              <w:bottom w:val="single" w:color="auto" w:sz="6" w:space="0"/>
              <w:right w:val="single" w:color="auto" w:sz="6" w:space="0"/>
            </w:tcBorders>
            <w:vAlign w:val="center"/>
          </w:tcPr>
          <w:p w14:paraId="505D3B32">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2" w:type="dxa"/>
            <w:tcBorders>
              <w:top w:val="single" w:color="auto" w:sz="4" w:space="0"/>
              <w:left w:val="single" w:color="auto" w:sz="6" w:space="0"/>
              <w:bottom w:val="single" w:color="auto" w:sz="6" w:space="0"/>
              <w:right w:val="single" w:color="auto" w:sz="6" w:space="0"/>
            </w:tcBorders>
            <w:vAlign w:val="center"/>
          </w:tcPr>
          <w:p w14:paraId="6C99F799">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r>
      <w:tr w14:paraId="11A85E6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7A55BE5E">
            <w:pPr>
              <w:keepNext w:val="0"/>
              <w:keepLines w:val="0"/>
              <w:suppressLineNumbers w:val="0"/>
              <w:spacing w:before="326" w:beforeLines="10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w:t>
            </w:r>
          </w:p>
        </w:tc>
        <w:tc>
          <w:tcPr>
            <w:tcW w:w="1862" w:type="dxa"/>
            <w:tcBorders>
              <w:top w:val="single" w:color="auto" w:sz="4" w:space="0"/>
              <w:left w:val="single" w:color="auto" w:sz="6" w:space="0"/>
              <w:bottom w:val="single" w:color="auto" w:sz="6" w:space="0"/>
              <w:right w:val="single" w:color="auto" w:sz="6" w:space="0"/>
            </w:tcBorders>
            <w:vAlign w:val="center"/>
          </w:tcPr>
          <w:p w14:paraId="2BCA8156">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2250" w:type="dxa"/>
            <w:tcBorders>
              <w:top w:val="single" w:color="auto" w:sz="4" w:space="0"/>
              <w:left w:val="single" w:color="auto" w:sz="6" w:space="0"/>
              <w:bottom w:val="single" w:color="auto" w:sz="6" w:space="0"/>
              <w:right w:val="single" w:color="auto" w:sz="6" w:space="0"/>
            </w:tcBorders>
            <w:vAlign w:val="center"/>
          </w:tcPr>
          <w:p w14:paraId="595A5EC3">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1" w:type="dxa"/>
            <w:tcBorders>
              <w:top w:val="single" w:color="auto" w:sz="4" w:space="0"/>
              <w:left w:val="single" w:color="auto" w:sz="6" w:space="0"/>
              <w:bottom w:val="single" w:color="auto" w:sz="6" w:space="0"/>
              <w:right w:val="single" w:color="auto" w:sz="6" w:space="0"/>
            </w:tcBorders>
            <w:vAlign w:val="center"/>
          </w:tcPr>
          <w:p w14:paraId="3702CE65">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07" w:type="dxa"/>
            <w:tcBorders>
              <w:top w:val="single" w:color="auto" w:sz="4" w:space="0"/>
              <w:left w:val="single" w:color="auto" w:sz="6" w:space="0"/>
              <w:bottom w:val="single" w:color="auto" w:sz="6" w:space="0"/>
              <w:right w:val="single" w:color="auto" w:sz="6" w:space="0"/>
            </w:tcBorders>
            <w:vAlign w:val="center"/>
          </w:tcPr>
          <w:p w14:paraId="397C4B0F">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2" w:type="dxa"/>
            <w:tcBorders>
              <w:top w:val="single" w:color="auto" w:sz="4" w:space="0"/>
              <w:left w:val="single" w:color="auto" w:sz="6" w:space="0"/>
              <w:bottom w:val="single" w:color="auto" w:sz="6" w:space="0"/>
              <w:right w:val="single" w:color="auto" w:sz="6" w:space="0"/>
            </w:tcBorders>
            <w:vAlign w:val="center"/>
          </w:tcPr>
          <w:p w14:paraId="3C5D58A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r>
      <w:tr w14:paraId="05440F72">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7285AE43">
            <w:pPr>
              <w:keepNext w:val="0"/>
              <w:keepLines w:val="0"/>
              <w:suppressLineNumbers w:val="0"/>
              <w:spacing w:before="326" w:beforeLines="100" w:beforeAutospacing="0" w:after="0" w:afterAutospacing="0" w:line="360" w:lineRule="auto"/>
              <w:ind w:left="0" w:right="0"/>
              <w:jc w:val="center"/>
              <w:outlineLvl w:val="1"/>
              <w:rPr>
                <w:rFonts w:hint="default" w:hAnsi="宋体" w:cs="宋体"/>
                <w:b/>
                <w:color w:val="auto"/>
                <w:sz w:val="24"/>
                <w:szCs w:val="24"/>
              </w:rPr>
            </w:pPr>
            <w:r>
              <w:rPr>
                <w:rFonts w:hint="eastAsia" w:hAnsi="宋体" w:cs="宋体"/>
                <w:color w:val="auto"/>
                <w:sz w:val="24"/>
                <w:szCs w:val="24"/>
              </w:rPr>
              <w:t>……</w:t>
            </w:r>
          </w:p>
        </w:tc>
        <w:tc>
          <w:tcPr>
            <w:tcW w:w="1862" w:type="dxa"/>
            <w:tcBorders>
              <w:top w:val="single" w:color="auto" w:sz="4" w:space="0"/>
              <w:left w:val="single" w:color="auto" w:sz="6" w:space="0"/>
              <w:bottom w:val="single" w:color="auto" w:sz="6" w:space="0"/>
              <w:right w:val="single" w:color="auto" w:sz="6" w:space="0"/>
            </w:tcBorders>
            <w:vAlign w:val="center"/>
          </w:tcPr>
          <w:p w14:paraId="62421910">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2250" w:type="dxa"/>
            <w:tcBorders>
              <w:top w:val="single" w:color="auto" w:sz="4" w:space="0"/>
              <w:left w:val="single" w:color="auto" w:sz="6" w:space="0"/>
              <w:bottom w:val="single" w:color="auto" w:sz="6" w:space="0"/>
              <w:right w:val="single" w:color="auto" w:sz="6" w:space="0"/>
            </w:tcBorders>
            <w:vAlign w:val="center"/>
          </w:tcPr>
          <w:p w14:paraId="2579372C">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1" w:type="dxa"/>
            <w:tcBorders>
              <w:top w:val="single" w:color="auto" w:sz="4" w:space="0"/>
              <w:left w:val="single" w:color="auto" w:sz="6" w:space="0"/>
              <w:bottom w:val="single" w:color="auto" w:sz="6" w:space="0"/>
              <w:right w:val="single" w:color="auto" w:sz="6" w:space="0"/>
            </w:tcBorders>
            <w:vAlign w:val="center"/>
          </w:tcPr>
          <w:p w14:paraId="02757B98">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07" w:type="dxa"/>
            <w:tcBorders>
              <w:top w:val="single" w:color="auto" w:sz="4" w:space="0"/>
              <w:left w:val="single" w:color="auto" w:sz="6" w:space="0"/>
              <w:bottom w:val="single" w:color="auto" w:sz="6" w:space="0"/>
              <w:right w:val="single" w:color="auto" w:sz="6" w:space="0"/>
            </w:tcBorders>
            <w:vAlign w:val="center"/>
          </w:tcPr>
          <w:p w14:paraId="44A9B23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c>
          <w:tcPr>
            <w:tcW w:w="1312" w:type="dxa"/>
            <w:tcBorders>
              <w:top w:val="single" w:color="auto" w:sz="4" w:space="0"/>
              <w:left w:val="single" w:color="auto" w:sz="6" w:space="0"/>
              <w:bottom w:val="single" w:color="auto" w:sz="6" w:space="0"/>
              <w:right w:val="single" w:color="auto" w:sz="6" w:space="0"/>
            </w:tcBorders>
            <w:vAlign w:val="center"/>
          </w:tcPr>
          <w:p w14:paraId="54B4637B">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p>
        </w:tc>
      </w:tr>
      <w:tr w14:paraId="3E5FB48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70ABEF00">
            <w:pPr>
              <w:keepNext w:val="0"/>
              <w:keepLines w:val="0"/>
              <w:suppressLineNumbers w:val="0"/>
              <w:spacing w:before="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合计：</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2E353F79">
            <w:pPr>
              <w:keepNext w:val="0"/>
              <w:keepLines w:val="0"/>
              <w:suppressLineNumbers w:val="0"/>
              <w:spacing w:before="163" w:beforeLines="50" w:beforeAutospacing="0" w:after="0" w:afterAutospacing="0" w:line="360" w:lineRule="auto"/>
              <w:ind w:left="0" w:right="0"/>
              <w:jc w:val="left"/>
              <w:outlineLvl w:val="1"/>
              <w:rPr>
                <w:rFonts w:hint="default" w:hAnsi="宋体" w:cs="宋体"/>
                <w:color w:val="auto"/>
                <w:sz w:val="24"/>
                <w:szCs w:val="24"/>
              </w:rPr>
            </w:pPr>
            <w:r>
              <w:rPr>
                <w:rFonts w:hint="eastAsia" w:hAnsi="宋体" w:cs="宋体"/>
                <w:color w:val="auto"/>
                <w:sz w:val="24"/>
                <w:szCs w:val="24"/>
              </w:rPr>
              <w:t>大写：                                小写：</w:t>
            </w:r>
          </w:p>
        </w:tc>
      </w:tr>
      <w:tr w14:paraId="5BCC681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0BBD1FA6">
            <w:pPr>
              <w:keepNext w:val="0"/>
              <w:keepLines w:val="0"/>
              <w:suppressLineNumbers w:val="0"/>
              <w:spacing w:before="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z w:val="24"/>
                <w:szCs w:val="24"/>
              </w:rPr>
              <w:t>备注</w:t>
            </w:r>
          </w:p>
        </w:tc>
        <w:tc>
          <w:tcPr>
            <w:tcW w:w="8042" w:type="dxa"/>
            <w:gridSpan w:val="5"/>
            <w:tcBorders>
              <w:top w:val="single" w:color="auto" w:sz="4" w:space="0"/>
              <w:left w:val="single" w:color="auto" w:sz="6" w:space="0"/>
              <w:bottom w:val="single" w:color="auto" w:sz="6" w:space="0"/>
              <w:right w:val="single" w:color="auto" w:sz="6" w:space="0"/>
            </w:tcBorders>
            <w:vAlign w:val="center"/>
          </w:tcPr>
          <w:p w14:paraId="365E5DA4">
            <w:pPr>
              <w:keepNext w:val="0"/>
              <w:keepLines w:val="0"/>
              <w:suppressLineNumbers w:val="0"/>
              <w:spacing w:before="163" w:beforeLines="50" w:beforeAutospacing="0" w:after="0" w:afterAutospacing="0" w:line="360" w:lineRule="auto"/>
              <w:ind w:left="0" w:right="0"/>
              <w:jc w:val="center"/>
              <w:outlineLvl w:val="1"/>
              <w:rPr>
                <w:rFonts w:hint="default" w:hAnsi="宋体" w:cs="宋体"/>
                <w:color w:val="auto"/>
                <w:sz w:val="24"/>
                <w:szCs w:val="24"/>
              </w:rPr>
            </w:pPr>
            <w:r>
              <w:rPr>
                <w:rFonts w:hint="eastAsia" w:hAnsi="宋体" w:cs="宋体"/>
                <w:color w:val="auto"/>
                <w:spacing w:val="-6"/>
                <w:sz w:val="24"/>
                <w:szCs w:val="24"/>
              </w:rPr>
              <w:t>保留小数点后两位。</w:t>
            </w:r>
          </w:p>
        </w:tc>
      </w:tr>
    </w:tbl>
    <w:p w14:paraId="5B8F269A">
      <w:pPr>
        <w:adjustRightInd w:val="0"/>
        <w:snapToGrid w:val="0"/>
        <w:spacing w:line="360" w:lineRule="auto"/>
        <w:outlineLvl w:val="1"/>
        <w:rPr>
          <w:rFonts w:hAnsi="宋体" w:cs="宋体"/>
          <w:color w:val="auto"/>
          <w:sz w:val="24"/>
          <w:szCs w:val="24"/>
        </w:rPr>
      </w:pPr>
    </w:p>
    <w:p w14:paraId="0079E643">
      <w:pPr>
        <w:adjustRightInd w:val="0"/>
        <w:snapToGrid w:val="0"/>
        <w:spacing w:line="360" w:lineRule="auto"/>
        <w:outlineLvl w:val="1"/>
        <w:rPr>
          <w:rFonts w:hAnsi="宋体" w:cs="宋体"/>
          <w:color w:val="auto"/>
          <w:sz w:val="24"/>
          <w:szCs w:val="24"/>
        </w:rPr>
      </w:pPr>
    </w:p>
    <w:p w14:paraId="5A91714D">
      <w:pPr>
        <w:adjustRightInd w:val="0"/>
        <w:snapToGrid w:val="0"/>
        <w:spacing w:line="360" w:lineRule="auto"/>
        <w:outlineLvl w:val="1"/>
        <w:rPr>
          <w:rFonts w:hAnsi="宋体" w:cs="宋体"/>
          <w:bCs/>
          <w:color w:val="auto"/>
          <w:sz w:val="24"/>
          <w:szCs w:val="24"/>
        </w:rPr>
      </w:pPr>
      <w:r>
        <w:rPr>
          <w:rFonts w:hint="eastAsia" w:hAnsi="宋体" w:cs="宋体"/>
          <w:color w:val="auto"/>
          <w:sz w:val="24"/>
          <w:szCs w:val="24"/>
        </w:rPr>
        <w:t>说明：</w:t>
      </w:r>
      <w:r>
        <w:rPr>
          <w:rFonts w:hint="eastAsia" w:hAnsi="宋体" w:cs="宋体"/>
          <w:bCs/>
          <w:color w:val="auto"/>
          <w:sz w:val="24"/>
          <w:szCs w:val="24"/>
          <w:lang w:eastAsia="zh-CN"/>
        </w:rPr>
        <w:t>1.</w:t>
      </w:r>
      <w:r>
        <w:rPr>
          <w:rFonts w:hint="eastAsia" w:hAnsi="宋体" w:cs="宋体"/>
          <w:color w:val="auto"/>
          <w:sz w:val="24"/>
          <w:szCs w:val="24"/>
        </w:rPr>
        <w:t>供应商提供的产品</w:t>
      </w:r>
      <w:r>
        <w:rPr>
          <w:rFonts w:hint="eastAsia" w:hAnsi="宋体" w:cs="宋体"/>
          <w:bCs/>
          <w:color w:val="auto"/>
          <w:sz w:val="24"/>
          <w:szCs w:val="24"/>
        </w:rPr>
        <w:t>属于《节能产品政府采购清单》中节能产品，《环境标志产品政府采购清单》中环境标志产品，应按招标文件要求</w:t>
      </w:r>
      <w:r>
        <w:rPr>
          <w:rFonts w:hint="eastAsia" w:hAnsi="宋体" w:cs="宋体"/>
          <w:color w:val="auto"/>
          <w:sz w:val="24"/>
          <w:szCs w:val="24"/>
        </w:rPr>
        <w:t>提供相关证明材料。</w:t>
      </w:r>
    </w:p>
    <w:p w14:paraId="61E6AB68">
      <w:pPr>
        <w:pStyle w:val="152"/>
        <w:spacing w:line="360" w:lineRule="auto"/>
        <w:ind w:left="420" w:leftChars="200" w:firstLine="240" w:firstLineChars="100"/>
        <w:outlineLvl w:val="1"/>
        <w:rPr>
          <w:rFonts w:hAnsi="宋体" w:cs="宋体"/>
          <w:color w:val="auto"/>
          <w:sz w:val="24"/>
        </w:rPr>
      </w:pPr>
      <w:r>
        <w:rPr>
          <w:rFonts w:hint="eastAsia" w:hAnsi="宋体" w:cs="宋体"/>
          <w:bCs/>
          <w:color w:val="auto"/>
          <w:sz w:val="24"/>
          <w:lang w:eastAsia="zh-CN"/>
        </w:rPr>
        <w:t>2.</w:t>
      </w:r>
      <w:r>
        <w:rPr>
          <w:rFonts w:hint="eastAsia" w:hAnsi="宋体" w:cs="宋体"/>
          <w:bCs/>
          <w:color w:val="auto"/>
          <w:sz w:val="24"/>
        </w:rPr>
        <w:t>未按上述要求提供、</w:t>
      </w:r>
      <w:r>
        <w:rPr>
          <w:rFonts w:hint="eastAsia" w:hAnsi="宋体" w:cs="宋体"/>
          <w:color w:val="auto"/>
          <w:sz w:val="24"/>
        </w:rPr>
        <w:t>填写</w:t>
      </w:r>
      <w:r>
        <w:rPr>
          <w:rFonts w:hint="eastAsia" w:hAnsi="宋体" w:cs="宋体"/>
          <w:bCs/>
          <w:color w:val="auto"/>
          <w:sz w:val="24"/>
        </w:rPr>
        <w:t>的，评标时不予以考虑。</w:t>
      </w:r>
    </w:p>
    <w:p w14:paraId="3C542CDD">
      <w:pPr>
        <w:pStyle w:val="28"/>
        <w:rPr>
          <w:rFonts w:ascii="Calibri Light" w:hAnsi="Calibri Light"/>
          <w:b/>
          <w:bCs/>
          <w:color w:val="auto"/>
          <w:sz w:val="24"/>
          <w:szCs w:val="24"/>
        </w:rPr>
      </w:pPr>
    </w:p>
    <w:p w14:paraId="414FB368">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hint="eastAsia" w:ascii="宋体" w:hAnsi="宋体" w:eastAsia="宋体"/>
          <w:color w:val="auto"/>
          <w:sz w:val="24"/>
          <w:szCs w:val="24"/>
          <w:lang w:eastAsia="zh-CN"/>
        </w:rPr>
      </w:pPr>
      <w:bookmarkStart w:id="124" w:name="_Toc10669"/>
      <w:r>
        <w:rPr>
          <w:rFonts w:hint="eastAsia" w:ascii="宋体" w:hAnsi="宋体"/>
          <w:color w:val="auto"/>
          <w:sz w:val="24"/>
          <w:szCs w:val="24"/>
          <w:lang w:val="en-US" w:eastAsia="zh-CN"/>
        </w:rPr>
        <w:t>投标人</w:t>
      </w:r>
      <w:r>
        <w:rPr>
          <w:rFonts w:hint="eastAsia" w:ascii="宋体" w:hAnsi="宋体"/>
          <w:color w:val="auto"/>
          <w:sz w:val="24"/>
          <w:szCs w:val="24"/>
        </w:rPr>
        <w:t>名称（公章）</w:t>
      </w:r>
      <w:r>
        <w:rPr>
          <w:rFonts w:hint="eastAsia" w:ascii="宋体" w:hAnsi="宋体"/>
          <w:color w:val="auto"/>
          <w:sz w:val="24"/>
          <w:szCs w:val="24"/>
          <w:lang w:eastAsia="zh-CN"/>
        </w:rPr>
        <w:t>：</w:t>
      </w:r>
      <w:bookmarkEnd w:id="124"/>
    </w:p>
    <w:p w14:paraId="33244AF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outlineLvl w:val="9"/>
        <w:rPr>
          <w:rFonts w:ascii="宋体" w:hAnsi="宋体"/>
          <w:color w:val="auto"/>
          <w:sz w:val="24"/>
          <w:szCs w:val="24"/>
        </w:rPr>
      </w:pPr>
      <w:bookmarkStart w:id="125" w:name="_Toc6146"/>
      <w:r>
        <w:rPr>
          <w:rFonts w:hint="eastAsia" w:ascii="宋体" w:hAnsi="宋体"/>
          <w:color w:val="auto"/>
          <w:sz w:val="24"/>
          <w:szCs w:val="24"/>
          <w:lang w:val="en-US" w:eastAsia="zh-CN"/>
        </w:rPr>
        <w:t xml:space="preserve">日   期：   </w:t>
      </w:r>
      <w:r>
        <w:rPr>
          <w:rFonts w:hint="eastAsia" w:ascii="宋体" w:hAnsi="宋体"/>
          <w:color w:val="auto"/>
          <w:sz w:val="24"/>
          <w:szCs w:val="24"/>
        </w:rPr>
        <w:t xml:space="preserve">年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月  </w:t>
      </w:r>
      <w:r>
        <w:rPr>
          <w:rFonts w:hint="eastAsia" w:ascii="宋体" w:hAnsi="宋体"/>
          <w:color w:val="auto"/>
          <w:sz w:val="24"/>
          <w:szCs w:val="24"/>
          <w:lang w:val="en-US" w:eastAsia="zh-CN"/>
        </w:rPr>
        <w:t xml:space="preserve"> </w:t>
      </w:r>
      <w:r>
        <w:rPr>
          <w:rFonts w:hint="eastAsia" w:ascii="宋体" w:hAnsi="宋体"/>
          <w:color w:val="auto"/>
          <w:sz w:val="24"/>
          <w:szCs w:val="24"/>
        </w:rPr>
        <w:t>日</w:t>
      </w:r>
      <w:bookmarkEnd w:id="125"/>
    </w:p>
    <w:p w14:paraId="3DB0E6A0">
      <w:pPr>
        <w:pStyle w:val="28"/>
        <w:keepNext w:val="0"/>
        <w:keepLines w:val="0"/>
        <w:pageBreakBefore w:val="0"/>
        <w:widowControl w:val="0"/>
        <w:kinsoku/>
        <w:wordWrap/>
        <w:overflowPunct/>
        <w:topLinePunct w:val="0"/>
        <w:autoSpaceDE/>
        <w:autoSpaceDN/>
        <w:bidi w:val="0"/>
        <w:adjustRightInd/>
        <w:textAlignment w:val="auto"/>
        <w:outlineLvl w:val="9"/>
        <w:rPr>
          <w:rFonts w:ascii="Calibri Light" w:hAnsi="Calibri Light"/>
          <w:b/>
          <w:bCs/>
          <w:color w:val="auto"/>
          <w:sz w:val="24"/>
          <w:szCs w:val="24"/>
        </w:rPr>
        <w:sectPr>
          <w:footerReference r:id="rId17"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4124A141">
      <w:pPr>
        <w:spacing w:line="360" w:lineRule="auto"/>
        <w:jc w:val="center"/>
        <w:outlineLvl w:val="1"/>
        <w:rPr>
          <w:rFonts w:hint="eastAsia" w:hAnsi="宋体" w:cs="宋体"/>
          <w:b/>
          <w:color w:val="auto"/>
          <w:sz w:val="28"/>
          <w:szCs w:val="28"/>
        </w:rPr>
      </w:pPr>
      <w:bookmarkStart w:id="126" w:name="OLE_LINK13"/>
      <w:bookmarkStart w:id="127" w:name="OLE_LINK14"/>
      <w:r>
        <w:rPr>
          <w:rFonts w:hint="eastAsia" w:hAnsi="宋体" w:cs="宋体"/>
          <w:b/>
          <w:color w:val="auto"/>
          <w:sz w:val="28"/>
          <w:szCs w:val="28"/>
        </w:rPr>
        <w:t>残疾人福利性单位声明函（如是）</w:t>
      </w:r>
    </w:p>
    <w:p w14:paraId="1ED637C3">
      <w:pPr>
        <w:spacing w:line="360" w:lineRule="auto"/>
        <w:jc w:val="center"/>
        <w:rPr>
          <w:rFonts w:ascii="宋体" w:hAnsi="宋体"/>
          <w:b/>
          <w:bCs/>
          <w:color w:val="auto"/>
          <w:sz w:val="24"/>
          <w:szCs w:val="28"/>
        </w:rPr>
      </w:pPr>
      <w:r>
        <w:rPr>
          <w:rFonts w:hint="eastAsia" w:ascii="宋体" w:hAnsi="宋体"/>
          <w:b/>
          <w:bCs/>
          <w:color w:val="auto"/>
          <w:sz w:val="24"/>
          <w:szCs w:val="28"/>
        </w:rPr>
        <w:t xml:space="preserve">  </w:t>
      </w:r>
    </w:p>
    <w:bookmarkEnd w:id="126"/>
    <w:bookmarkEnd w:id="127"/>
    <w:p w14:paraId="2D9929CF">
      <w:pPr>
        <w:spacing w:line="588" w:lineRule="exact"/>
        <w:rPr>
          <w:rFonts w:ascii="宋体" w:hAnsi="宋体"/>
          <w:b/>
          <w:color w:val="auto"/>
          <w:spacing w:val="6"/>
          <w:sz w:val="28"/>
          <w:szCs w:val="30"/>
        </w:rPr>
      </w:pPr>
    </w:p>
    <w:p w14:paraId="42F7981D">
      <w:pPr>
        <w:spacing w:line="360" w:lineRule="auto"/>
        <w:ind w:firstLine="480" w:firstLineChars="200"/>
        <w:rPr>
          <w:rFonts w:ascii="宋体" w:hAnsi="宋体"/>
          <w:color w:val="auto"/>
          <w:sz w:val="24"/>
          <w:szCs w:val="24"/>
        </w:rPr>
      </w:pPr>
      <w:r>
        <w:rPr>
          <w:rFonts w:hint="eastAsia" w:ascii="宋体" w:hAnsi="宋体"/>
          <w:color w:val="auto"/>
          <w:sz w:val="24"/>
          <w:szCs w:val="24"/>
        </w:rPr>
        <w:t>本单位郑重声明，根据《财政部 民政部 中国残疾人联合会关于促进残疾人就业政府采购政策的通知》（财库</w:t>
      </w:r>
      <w:r>
        <w:rPr>
          <w:rFonts w:hint="eastAsia" w:ascii="宋体" w:hAnsi="宋体"/>
          <w:color w:val="auto"/>
          <w:sz w:val="24"/>
          <w:szCs w:val="24"/>
          <w:lang w:eastAsia="zh-CN"/>
        </w:rPr>
        <w:t>〔2017〕141号</w:t>
      </w:r>
      <w:r>
        <w:rPr>
          <w:rFonts w:hint="eastAsia" w:ascii="宋体" w:hAnsi="宋体"/>
          <w:color w:val="auto"/>
          <w:sz w:val="24"/>
          <w:szCs w:val="24"/>
        </w:rPr>
        <w:t>）的规定，本单位为符合条件的残疾人福利性单位，且本单位参加</w:t>
      </w:r>
      <w:r>
        <w:rPr>
          <w:rFonts w:hint="eastAsia" w:ascii="宋体" w:hAnsi="宋体"/>
          <w:color w:val="auto"/>
          <w:sz w:val="24"/>
          <w:szCs w:val="24"/>
          <w:u w:val="single"/>
        </w:rPr>
        <w:t xml:space="preserve">             </w:t>
      </w:r>
      <w:r>
        <w:rPr>
          <w:rFonts w:hint="eastAsia" w:ascii="宋体" w:hAnsi="宋体"/>
          <w:color w:val="auto"/>
          <w:sz w:val="24"/>
          <w:szCs w:val="24"/>
        </w:rPr>
        <w:t>单位的</w:t>
      </w:r>
      <w:r>
        <w:rPr>
          <w:rFonts w:hint="eastAsia" w:ascii="宋体" w:hAnsi="宋体"/>
          <w:color w:val="auto"/>
          <w:sz w:val="24"/>
          <w:szCs w:val="24"/>
          <w:u w:val="single"/>
        </w:rPr>
        <w:t xml:space="preserve">             </w:t>
      </w:r>
      <w:r>
        <w:rPr>
          <w:rFonts w:hint="eastAsia" w:ascii="宋体" w:hAnsi="宋体"/>
          <w:color w:val="auto"/>
          <w:sz w:val="24"/>
          <w:szCs w:val="24"/>
        </w:rPr>
        <w:t>项目采购活动提供本单位制造的货物（由本单位承担工程/提供服务），或者提供其他残疾人福利性单位制造的货物（不包括使用非残疾人福利性单位注册商标的货物）。</w:t>
      </w:r>
    </w:p>
    <w:p w14:paraId="7DE55F60">
      <w:pPr>
        <w:spacing w:line="360" w:lineRule="auto"/>
        <w:rPr>
          <w:rFonts w:ascii="宋体" w:hAnsi="宋体"/>
          <w:color w:val="auto"/>
          <w:sz w:val="24"/>
          <w:szCs w:val="24"/>
        </w:rPr>
      </w:pPr>
      <w:r>
        <w:rPr>
          <w:rFonts w:hint="eastAsia" w:ascii="宋体" w:hAnsi="宋体"/>
          <w:color w:val="auto"/>
          <w:sz w:val="24"/>
          <w:szCs w:val="24"/>
        </w:rPr>
        <w:t xml:space="preserve">    本单位对上述声明的真实性负责。如有虚假，将依法承担相应责任。</w:t>
      </w:r>
    </w:p>
    <w:p w14:paraId="2A376ED3">
      <w:pPr>
        <w:spacing w:line="360" w:lineRule="auto"/>
        <w:rPr>
          <w:rFonts w:ascii="宋体" w:hAnsi="宋体"/>
          <w:color w:val="auto"/>
          <w:sz w:val="24"/>
          <w:szCs w:val="24"/>
        </w:rPr>
      </w:pPr>
    </w:p>
    <w:p w14:paraId="046087F1">
      <w:pPr>
        <w:spacing w:line="360" w:lineRule="auto"/>
        <w:rPr>
          <w:rFonts w:ascii="宋体" w:hAnsi="宋体"/>
          <w:color w:val="auto"/>
          <w:sz w:val="24"/>
          <w:szCs w:val="24"/>
        </w:rPr>
      </w:pPr>
    </w:p>
    <w:p w14:paraId="14131374">
      <w:pPr>
        <w:keepNext w:val="0"/>
        <w:keepLines w:val="0"/>
        <w:pageBreakBefore w:val="0"/>
        <w:widowControl w:val="0"/>
        <w:kinsoku/>
        <w:wordWrap/>
        <w:overflowPunct/>
        <w:topLinePunct w:val="0"/>
        <w:autoSpaceDE/>
        <w:autoSpaceDN/>
        <w:bidi w:val="0"/>
        <w:adjustRightInd/>
        <w:snapToGrid/>
        <w:spacing w:line="360" w:lineRule="auto"/>
        <w:ind w:firstLine="6120" w:firstLineChars="2550"/>
        <w:textAlignment w:val="auto"/>
        <w:outlineLvl w:val="9"/>
        <w:rPr>
          <w:rFonts w:hint="eastAsia" w:ascii="宋体" w:hAnsi="宋体" w:eastAsia="宋体"/>
          <w:color w:val="auto"/>
          <w:sz w:val="24"/>
          <w:szCs w:val="24"/>
          <w:lang w:eastAsia="zh-CN"/>
        </w:rPr>
      </w:pPr>
      <w:bookmarkStart w:id="128" w:name="_Toc15190"/>
      <w:bookmarkStart w:id="129" w:name="_Toc11532"/>
      <w:r>
        <w:rPr>
          <w:rFonts w:hint="eastAsia" w:ascii="宋体" w:hAnsi="宋体"/>
          <w:color w:val="auto"/>
          <w:sz w:val="24"/>
          <w:szCs w:val="24"/>
          <w:lang w:val="en-US" w:eastAsia="zh-CN"/>
        </w:rPr>
        <w:t>投标人</w:t>
      </w:r>
      <w:r>
        <w:rPr>
          <w:rFonts w:hint="eastAsia" w:ascii="宋体" w:hAnsi="宋体"/>
          <w:color w:val="auto"/>
          <w:sz w:val="24"/>
          <w:szCs w:val="24"/>
        </w:rPr>
        <w:t>名称（公章）</w:t>
      </w:r>
      <w:bookmarkEnd w:id="128"/>
      <w:r>
        <w:rPr>
          <w:rFonts w:hint="eastAsia" w:ascii="宋体" w:hAnsi="宋体"/>
          <w:color w:val="auto"/>
          <w:sz w:val="24"/>
          <w:szCs w:val="24"/>
          <w:lang w:eastAsia="zh-CN"/>
        </w:rPr>
        <w:t>：</w:t>
      </w:r>
      <w:bookmarkEnd w:id="129"/>
    </w:p>
    <w:p w14:paraId="3A9F355C">
      <w:pPr>
        <w:keepNext w:val="0"/>
        <w:keepLines w:val="0"/>
        <w:pageBreakBefore w:val="0"/>
        <w:widowControl w:val="0"/>
        <w:kinsoku/>
        <w:wordWrap/>
        <w:overflowPunct/>
        <w:topLinePunct w:val="0"/>
        <w:autoSpaceDE/>
        <w:autoSpaceDN/>
        <w:bidi w:val="0"/>
        <w:adjustRightInd/>
        <w:snapToGrid/>
        <w:spacing w:line="360" w:lineRule="auto"/>
        <w:ind w:firstLine="6240" w:firstLineChars="2600"/>
        <w:textAlignment w:val="auto"/>
        <w:outlineLvl w:val="9"/>
        <w:rPr>
          <w:rFonts w:ascii="宋体" w:hAnsi="宋体"/>
          <w:color w:val="auto"/>
          <w:sz w:val="24"/>
          <w:szCs w:val="24"/>
        </w:rPr>
      </w:pPr>
      <w:bookmarkStart w:id="130" w:name="_Toc4481"/>
      <w:bookmarkStart w:id="131" w:name="_Toc25473"/>
      <w:r>
        <w:rPr>
          <w:rFonts w:hint="eastAsia" w:ascii="宋体" w:hAnsi="宋体"/>
          <w:color w:val="auto"/>
          <w:sz w:val="24"/>
          <w:szCs w:val="24"/>
          <w:lang w:val="en-US" w:eastAsia="zh-CN"/>
        </w:rPr>
        <w:t>日   期：</w:t>
      </w:r>
      <w:r>
        <w:rPr>
          <w:rFonts w:hint="eastAsia" w:ascii="宋体" w:hAnsi="宋体"/>
          <w:color w:val="auto"/>
          <w:sz w:val="24"/>
          <w:szCs w:val="24"/>
        </w:rPr>
        <w:t>年  月  日</w:t>
      </w:r>
      <w:bookmarkEnd w:id="130"/>
      <w:bookmarkEnd w:id="131"/>
    </w:p>
    <w:p w14:paraId="37825945">
      <w:pPr>
        <w:spacing w:line="360" w:lineRule="auto"/>
        <w:ind w:firstLine="480" w:firstLineChars="200"/>
        <w:rPr>
          <w:rFonts w:ascii="宋体" w:hAnsi="宋体"/>
          <w:color w:val="auto"/>
          <w:sz w:val="24"/>
          <w:szCs w:val="24"/>
        </w:rPr>
      </w:pPr>
    </w:p>
    <w:p w14:paraId="1A0E8F84">
      <w:pPr>
        <w:spacing w:line="360" w:lineRule="auto"/>
        <w:ind w:firstLine="480" w:firstLineChars="200"/>
        <w:rPr>
          <w:rFonts w:ascii="宋体" w:hAnsi="宋体"/>
          <w:color w:val="auto"/>
          <w:sz w:val="24"/>
          <w:szCs w:val="24"/>
        </w:rPr>
      </w:pPr>
    </w:p>
    <w:p w14:paraId="2475B836">
      <w:pPr>
        <w:spacing w:line="360" w:lineRule="auto"/>
        <w:ind w:firstLine="480" w:firstLineChars="200"/>
        <w:rPr>
          <w:rFonts w:ascii="宋体" w:hAnsi="宋体"/>
          <w:color w:val="auto"/>
          <w:sz w:val="24"/>
          <w:szCs w:val="24"/>
        </w:rPr>
      </w:pPr>
    </w:p>
    <w:p w14:paraId="4EF890D7">
      <w:pPr>
        <w:spacing w:line="360" w:lineRule="auto"/>
        <w:ind w:firstLine="480" w:firstLineChars="200"/>
        <w:rPr>
          <w:rFonts w:hint="eastAsia" w:ascii="宋体" w:hAnsi="宋体" w:eastAsia="宋体"/>
          <w:color w:val="auto"/>
          <w:sz w:val="24"/>
          <w:szCs w:val="24"/>
          <w:lang w:eastAsia="zh-CN"/>
        </w:rPr>
      </w:pPr>
      <w:r>
        <w:rPr>
          <w:rFonts w:hint="eastAsia" w:ascii="宋体" w:hAnsi="宋体"/>
          <w:color w:val="auto"/>
          <w:sz w:val="24"/>
          <w:szCs w:val="24"/>
        </w:rPr>
        <w:t>注：</w:t>
      </w:r>
      <w:r>
        <w:rPr>
          <w:rFonts w:hint="eastAsia" w:ascii="宋体" w:hAnsi="宋体"/>
          <w:color w:val="auto"/>
          <w:sz w:val="24"/>
          <w:szCs w:val="24"/>
          <w:lang w:eastAsia="zh-CN"/>
        </w:rPr>
        <w:t>1.</w:t>
      </w:r>
      <w:r>
        <w:rPr>
          <w:rFonts w:hint="eastAsia" w:ascii="宋体" w:hAnsi="宋体"/>
          <w:color w:val="auto"/>
          <w:sz w:val="24"/>
          <w:szCs w:val="24"/>
        </w:rPr>
        <w:t>非残疾人福利性单位不提供此声明函</w:t>
      </w:r>
      <w:r>
        <w:rPr>
          <w:rFonts w:hint="eastAsia" w:ascii="宋体" w:hAnsi="宋体"/>
          <w:color w:val="auto"/>
          <w:sz w:val="24"/>
          <w:szCs w:val="24"/>
          <w:lang w:eastAsia="zh-CN"/>
        </w:rPr>
        <w:t>。</w:t>
      </w:r>
    </w:p>
    <w:p w14:paraId="6F4BDDEE">
      <w:pPr>
        <w:spacing w:line="360" w:lineRule="auto"/>
        <w:ind w:firstLine="480" w:firstLineChars="200"/>
        <w:rPr>
          <w:rFonts w:ascii="宋体" w:hAnsi="宋体"/>
          <w:color w:val="auto"/>
          <w:sz w:val="24"/>
          <w:szCs w:val="24"/>
        </w:rPr>
      </w:pPr>
      <w:r>
        <w:rPr>
          <w:rFonts w:hint="eastAsia" w:ascii="宋体" w:hAnsi="宋体"/>
          <w:color w:val="auto"/>
          <w:sz w:val="24"/>
          <w:szCs w:val="24"/>
          <w:lang w:eastAsia="zh-CN"/>
        </w:rPr>
        <w:t>2.</w:t>
      </w:r>
      <w:r>
        <w:rPr>
          <w:rFonts w:hint="eastAsia" w:ascii="宋体" w:hAnsi="宋体"/>
          <w:color w:val="auto"/>
          <w:sz w:val="24"/>
          <w:szCs w:val="24"/>
          <w:lang w:val="zh-CN"/>
        </w:rPr>
        <w:t>提供此声明函的，若提供虚假材料谋取中标、成交的，将按照《中华人民共和国政府采购法》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2559953F">
      <w:pPr>
        <w:keepNext/>
        <w:keepLines/>
        <w:spacing w:line="415" w:lineRule="auto"/>
        <w:jc w:val="center"/>
        <w:outlineLvl w:val="1"/>
        <w:rPr>
          <w:rFonts w:ascii="Calibri Light" w:hAnsi="Calibri Light"/>
          <w:b/>
          <w:bCs/>
          <w:color w:val="auto"/>
          <w:sz w:val="32"/>
          <w:szCs w:val="32"/>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26FC0EAA">
      <w:pPr>
        <w:pStyle w:val="3"/>
        <w:ind w:firstLine="482" w:firstLineChars="150"/>
        <w:jc w:val="center"/>
        <w:rPr>
          <w:color w:val="auto"/>
        </w:rPr>
      </w:pPr>
      <w:r>
        <w:rPr>
          <w:rFonts w:hint="eastAsia"/>
          <w:color w:val="auto"/>
        </w:rPr>
        <w:t>四、技术商务偏离表</w:t>
      </w:r>
    </w:p>
    <w:p w14:paraId="39FCAE42">
      <w:pPr>
        <w:pStyle w:val="3"/>
        <w:spacing w:before="0" w:after="0"/>
        <w:ind w:firstLine="422" w:firstLineChars="150"/>
        <w:jc w:val="center"/>
        <w:rPr>
          <w:color w:val="auto"/>
          <w:sz w:val="28"/>
          <w:szCs w:val="28"/>
        </w:rPr>
      </w:pPr>
      <w:r>
        <w:rPr>
          <w:rFonts w:hint="eastAsia"/>
          <w:color w:val="auto"/>
          <w:sz w:val="28"/>
          <w:szCs w:val="28"/>
        </w:rPr>
        <w:t>技术偏离表</w:t>
      </w:r>
    </w:p>
    <w:tbl>
      <w:tblPr>
        <w:tblStyle w:val="42"/>
        <w:tblW w:w="9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050"/>
        <w:gridCol w:w="3934"/>
        <w:gridCol w:w="1583"/>
        <w:gridCol w:w="1369"/>
      </w:tblGrid>
      <w:tr w14:paraId="1E6E10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6" w:hRule="atLeast"/>
          <w:jc w:val="center"/>
        </w:trPr>
        <w:tc>
          <w:tcPr>
            <w:tcW w:w="675" w:type="dxa"/>
            <w:vAlign w:val="center"/>
          </w:tcPr>
          <w:p w14:paraId="57BFBDB7">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序号</w:t>
            </w:r>
          </w:p>
        </w:tc>
        <w:tc>
          <w:tcPr>
            <w:tcW w:w="2050" w:type="dxa"/>
            <w:vAlign w:val="center"/>
          </w:tcPr>
          <w:p w14:paraId="714D5DFC">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招标文件技术要求</w:t>
            </w:r>
          </w:p>
        </w:tc>
        <w:tc>
          <w:tcPr>
            <w:tcW w:w="3934" w:type="dxa"/>
            <w:vAlign w:val="center"/>
          </w:tcPr>
          <w:p w14:paraId="330686DA">
            <w:pPr>
              <w:keepNext w:val="0"/>
              <w:keepLines w:val="0"/>
              <w:suppressLineNumbers w:val="0"/>
              <w:spacing w:before="0" w:beforeAutospacing="0" w:after="0" w:afterAutospacing="0" w:line="360" w:lineRule="auto"/>
              <w:ind w:left="0" w:right="0"/>
              <w:jc w:val="center"/>
              <w:rPr>
                <w:rFonts w:hint="eastAsia" w:ascii="宋体" w:hAnsi="宋体" w:eastAsia="宋体" w:cs="宋体"/>
                <w:b/>
                <w:color w:val="auto"/>
                <w:sz w:val="22"/>
                <w:szCs w:val="22"/>
                <w:lang w:val="en-US" w:eastAsia="zh-CN"/>
              </w:rPr>
            </w:pPr>
            <w:r>
              <w:rPr>
                <w:rFonts w:hint="eastAsia" w:ascii="宋体" w:hAnsi="宋体" w:cs="宋体"/>
                <w:b/>
                <w:color w:val="auto"/>
                <w:sz w:val="22"/>
                <w:szCs w:val="22"/>
              </w:rPr>
              <w:t>投标文件技术参数</w:t>
            </w:r>
            <w:r>
              <w:rPr>
                <w:rFonts w:hint="eastAsia" w:ascii="宋体" w:hAnsi="宋体" w:cs="宋体"/>
                <w:b/>
                <w:color w:val="auto"/>
                <w:sz w:val="22"/>
                <w:szCs w:val="22"/>
                <w:lang w:val="en-US" w:eastAsia="zh-CN"/>
              </w:rPr>
              <w:t>应答</w:t>
            </w:r>
          </w:p>
        </w:tc>
        <w:tc>
          <w:tcPr>
            <w:tcW w:w="1583" w:type="dxa"/>
            <w:vAlign w:val="center"/>
          </w:tcPr>
          <w:p w14:paraId="119947BB">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8"/>
                <w:szCs w:val="28"/>
                <w:lang w:val="en-US" w:eastAsia="zh-CN"/>
              </w:rPr>
            </w:pPr>
            <w:r>
              <w:rPr>
                <w:rFonts w:hint="eastAsia" w:ascii="宋体" w:hAnsi="宋体" w:cs="宋体"/>
                <w:b/>
                <w:color w:val="auto"/>
                <w:sz w:val="22"/>
                <w:szCs w:val="22"/>
                <w:lang w:val="en-US" w:eastAsia="zh-CN"/>
              </w:rPr>
              <w:t>响应/偏离</w:t>
            </w:r>
          </w:p>
        </w:tc>
        <w:tc>
          <w:tcPr>
            <w:tcW w:w="1369" w:type="dxa"/>
            <w:vAlign w:val="center"/>
          </w:tcPr>
          <w:p w14:paraId="11D73082">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偏离简述</w:t>
            </w:r>
          </w:p>
        </w:tc>
      </w:tr>
      <w:tr w14:paraId="4CE3D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3AE70D6C">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1</w:t>
            </w:r>
          </w:p>
        </w:tc>
        <w:tc>
          <w:tcPr>
            <w:tcW w:w="2050" w:type="dxa"/>
          </w:tcPr>
          <w:p w14:paraId="4A8DD82F">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3934" w:type="dxa"/>
          </w:tcPr>
          <w:p w14:paraId="0C810782">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583" w:type="dxa"/>
          </w:tcPr>
          <w:p w14:paraId="023C7CD0">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369" w:type="dxa"/>
          </w:tcPr>
          <w:p w14:paraId="4F196F08">
            <w:pPr>
              <w:keepNext w:val="0"/>
              <w:keepLines w:val="0"/>
              <w:suppressLineNumbers w:val="0"/>
              <w:spacing w:before="0" w:beforeAutospacing="0" w:after="0" w:afterAutospacing="0"/>
              <w:ind w:left="0" w:right="0"/>
              <w:jc w:val="center"/>
              <w:rPr>
                <w:rFonts w:hint="default" w:ascii="宋体" w:hAnsi="宋体"/>
                <w:color w:val="auto"/>
                <w:sz w:val="28"/>
                <w:szCs w:val="28"/>
              </w:rPr>
            </w:pPr>
          </w:p>
        </w:tc>
      </w:tr>
      <w:tr w14:paraId="6F590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A9C2019">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2</w:t>
            </w:r>
          </w:p>
        </w:tc>
        <w:tc>
          <w:tcPr>
            <w:tcW w:w="2050" w:type="dxa"/>
          </w:tcPr>
          <w:p w14:paraId="3AA1C85F">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3934" w:type="dxa"/>
          </w:tcPr>
          <w:p w14:paraId="42D5E275">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583" w:type="dxa"/>
          </w:tcPr>
          <w:p w14:paraId="6F3D2EFA">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369" w:type="dxa"/>
          </w:tcPr>
          <w:p w14:paraId="6AB4B7CB">
            <w:pPr>
              <w:keepNext w:val="0"/>
              <w:keepLines w:val="0"/>
              <w:suppressLineNumbers w:val="0"/>
              <w:spacing w:before="0" w:beforeAutospacing="0" w:after="0" w:afterAutospacing="0"/>
              <w:ind w:left="0" w:right="0"/>
              <w:jc w:val="center"/>
              <w:rPr>
                <w:rFonts w:hint="default" w:ascii="宋体" w:hAnsi="宋体"/>
                <w:color w:val="auto"/>
                <w:sz w:val="28"/>
                <w:szCs w:val="28"/>
              </w:rPr>
            </w:pPr>
          </w:p>
        </w:tc>
      </w:tr>
      <w:tr w14:paraId="0AE542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9" w:hRule="atLeast"/>
          <w:jc w:val="center"/>
        </w:trPr>
        <w:tc>
          <w:tcPr>
            <w:tcW w:w="675" w:type="dxa"/>
          </w:tcPr>
          <w:p w14:paraId="3CEC954E">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3</w:t>
            </w:r>
          </w:p>
        </w:tc>
        <w:tc>
          <w:tcPr>
            <w:tcW w:w="2050" w:type="dxa"/>
          </w:tcPr>
          <w:p w14:paraId="3E1CDA84">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3934" w:type="dxa"/>
          </w:tcPr>
          <w:p w14:paraId="2CCBDD9B">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583" w:type="dxa"/>
          </w:tcPr>
          <w:p w14:paraId="0A9D29B8">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369" w:type="dxa"/>
          </w:tcPr>
          <w:p w14:paraId="690A20E0">
            <w:pPr>
              <w:keepNext w:val="0"/>
              <w:keepLines w:val="0"/>
              <w:suppressLineNumbers w:val="0"/>
              <w:spacing w:before="0" w:beforeAutospacing="0" w:after="0" w:afterAutospacing="0"/>
              <w:ind w:left="0" w:right="0"/>
              <w:jc w:val="center"/>
              <w:rPr>
                <w:rFonts w:hint="default" w:ascii="宋体" w:hAnsi="宋体"/>
                <w:color w:val="auto"/>
                <w:sz w:val="28"/>
                <w:szCs w:val="28"/>
              </w:rPr>
            </w:pPr>
          </w:p>
        </w:tc>
      </w:tr>
      <w:tr w14:paraId="4668E6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4FF134C4">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4</w:t>
            </w:r>
          </w:p>
        </w:tc>
        <w:tc>
          <w:tcPr>
            <w:tcW w:w="2050" w:type="dxa"/>
          </w:tcPr>
          <w:p w14:paraId="5BF2F9C2">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3934" w:type="dxa"/>
          </w:tcPr>
          <w:p w14:paraId="506071F8">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583" w:type="dxa"/>
          </w:tcPr>
          <w:p w14:paraId="2A6ACFBA">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369" w:type="dxa"/>
          </w:tcPr>
          <w:p w14:paraId="1F8FE372">
            <w:pPr>
              <w:keepNext w:val="0"/>
              <w:keepLines w:val="0"/>
              <w:suppressLineNumbers w:val="0"/>
              <w:spacing w:before="0" w:beforeAutospacing="0" w:after="0" w:afterAutospacing="0"/>
              <w:ind w:left="0" w:right="0"/>
              <w:jc w:val="center"/>
              <w:rPr>
                <w:rFonts w:hint="default" w:ascii="宋体" w:hAnsi="宋体"/>
                <w:color w:val="auto"/>
                <w:sz w:val="28"/>
                <w:szCs w:val="28"/>
              </w:rPr>
            </w:pPr>
          </w:p>
        </w:tc>
      </w:tr>
      <w:tr w14:paraId="018E67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2" w:hRule="atLeast"/>
          <w:jc w:val="center"/>
        </w:trPr>
        <w:tc>
          <w:tcPr>
            <w:tcW w:w="675" w:type="dxa"/>
          </w:tcPr>
          <w:p w14:paraId="76E6705D">
            <w:pPr>
              <w:keepNext w:val="0"/>
              <w:keepLines w:val="0"/>
              <w:suppressLineNumbers w:val="0"/>
              <w:spacing w:before="0" w:beforeAutospacing="0" w:after="0" w:afterAutospacing="0" w:line="360" w:lineRule="auto"/>
              <w:ind w:left="0" w:right="0"/>
              <w:jc w:val="center"/>
              <w:rPr>
                <w:rFonts w:hint="default" w:ascii="宋体" w:hAnsi="宋体" w:cs="宋体"/>
                <w:b/>
                <w:color w:val="auto"/>
                <w:sz w:val="22"/>
                <w:szCs w:val="22"/>
              </w:rPr>
            </w:pPr>
            <w:r>
              <w:rPr>
                <w:rFonts w:hint="eastAsia" w:ascii="宋体" w:hAnsi="宋体" w:cs="宋体"/>
                <w:b/>
                <w:color w:val="auto"/>
                <w:sz w:val="22"/>
                <w:szCs w:val="22"/>
              </w:rPr>
              <w:t>……</w:t>
            </w:r>
          </w:p>
        </w:tc>
        <w:tc>
          <w:tcPr>
            <w:tcW w:w="2050" w:type="dxa"/>
          </w:tcPr>
          <w:p w14:paraId="549F93C1">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3934" w:type="dxa"/>
          </w:tcPr>
          <w:p w14:paraId="36A62FBA">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583" w:type="dxa"/>
          </w:tcPr>
          <w:p w14:paraId="391106A0">
            <w:pPr>
              <w:keepNext w:val="0"/>
              <w:keepLines w:val="0"/>
              <w:suppressLineNumbers w:val="0"/>
              <w:spacing w:before="0" w:beforeAutospacing="0" w:after="0" w:afterAutospacing="0"/>
              <w:ind w:left="0" w:right="0"/>
              <w:jc w:val="center"/>
              <w:rPr>
                <w:rFonts w:hint="default" w:ascii="宋体" w:hAnsi="宋体"/>
                <w:color w:val="auto"/>
                <w:sz w:val="28"/>
                <w:szCs w:val="28"/>
              </w:rPr>
            </w:pPr>
          </w:p>
        </w:tc>
        <w:tc>
          <w:tcPr>
            <w:tcW w:w="1369" w:type="dxa"/>
          </w:tcPr>
          <w:p w14:paraId="6D85E113">
            <w:pPr>
              <w:keepNext w:val="0"/>
              <w:keepLines w:val="0"/>
              <w:suppressLineNumbers w:val="0"/>
              <w:spacing w:before="0" w:beforeAutospacing="0" w:after="0" w:afterAutospacing="0"/>
              <w:ind w:left="0" w:right="0"/>
              <w:jc w:val="center"/>
              <w:rPr>
                <w:rFonts w:hint="default" w:ascii="宋体" w:hAnsi="宋体"/>
                <w:color w:val="auto"/>
                <w:sz w:val="28"/>
                <w:szCs w:val="28"/>
              </w:rPr>
            </w:pPr>
          </w:p>
        </w:tc>
      </w:tr>
    </w:tbl>
    <w:p w14:paraId="110A50B2">
      <w:pPr>
        <w:pStyle w:val="37"/>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520" w:lineRule="exact"/>
        <w:ind w:left="0" w:right="0" w:firstLine="0" w:firstLineChars="0"/>
        <w:jc w:val="left"/>
        <w:textAlignment w:val="auto"/>
        <w:rPr>
          <w:rFonts w:hint="eastAsia" w:ascii="宋体" w:hAnsi="宋体" w:eastAsia="宋体" w:cs="Times New Roman"/>
          <w:color w:val="auto"/>
          <w:kern w:val="2"/>
          <w:sz w:val="24"/>
          <w:szCs w:val="24"/>
          <w:lang w:val="en-US" w:eastAsia="zh-CN" w:bidi="ar-SA"/>
        </w:rPr>
      </w:pPr>
      <w:r>
        <w:rPr>
          <w:rFonts w:hint="eastAsia" w:ascii="宋体" w:hAnsi="宋体" w:eastAsia="宋体" w:cs="Times New Roman"/>
          <w:color w:val="auto"/>
          <w:kern w:val="2"/>
          <w:sz w:val="24"/>
          <w:szCs w:val="24"/>
          <w:lang w:val="en-US" w:eastAsia="zh-CN" w:bidi="ar-SA"/>
        </w:rPr>
        <w:t>注：1.如有漏报、瞒报招标文件所要求的性能指标等，将视为没有实质性响应招标文件。招标文件第四章技术参数必须逐条响应，技术偏离表各项内容不得</w:t>
      </w:r>
      <w:r>
        <w:rPr>
          <w:rFonts w:hint="eastAsia" w:cs="Times New Roman"/>
          <w:color w:val="auto"/>
          <w:kern w:val="2"/>
          <w:sz w:val="24"/>
          <w:szCs w:val="24"/>
          <w:lang w:val="en-US" w:eastAsia="zh-CN" w:bidi="ar-SA"/>
        </w:rPr>
        <w:t>完全</w:t>
      </w:r>
      <w:r>
        <w:rPr>
          <w:rFonts w:hint="eastAsia" w:ascii="宋体" w:hAnsi="宋体" w:eastAsia="宋体" w:cs="Times New Roman"/>
          <w:color w:val="auto"/>
          <w:kern w:val="2"/>
          <w:sz w:val="24"/>
          <w:szCs w:val="24"/>
          <w:lang w:val="en-US" w:eastAsia="zh-CN" w:bidi="ar-SA"/>
        </w:rPr>
        <w:t>复制粘贴采购文件技术参数要求，否则视为无效投标；</w:t>
      </w:r>
    </w:p>
    <w:p w14:paraId="7F1EAB5C">
      <w:pPr>
        <w:keepNext w:val="0"/>
        <w:keepLines w:val="0"/>
        <w:pageBreakBefore w:val="0"/>
        <w:widowControl/>
        <w:suppressLineNumbers w:val="0"/>
        <w:kinsoku/>
        <w:wordWrap/>
        <w:overflowPunct/>
        <w:topLinePunct w:val="0"/>
        <w:autoSpaceDE/>
        <w:autoSpaceDN/>
        <w:bidi w:val="0"/>
        <w:snapToGrid/>
        <w:spacing w:line="520" w:lineRule="exact"/>
        <w:ind w:firstLine="480" w:firstLineChars="200"/>
        <w:jc w:val="left"/>
        <w:textAlignment w:val="auto"/>
        <w:rPr>
          <w:rFonts w:hint="eastAsia" w:ascii="宋体" w:hAnsi="宋体" w:eastAsia="宋体" w:cs="Times New Roman"/>
          <w:color w:val="auto"/>
          <w:kern w:val="2"/>
          <w:sz w:val="24"/>
          <w:szCs w:val="24"/>
          <w:lang w:val="zh-CN" w:eastAsia="zh-CN" w:bidi="ar-SA"/>
        </w:rPr>
      </w:pPr>
      <w:r>
        <w:rPr>
          <w:rFonts w:hint="eastAsia" w:ascii="宋体" w:hAnsi="宋体" w:eastAsia="宋体" w:cs="Times New Roman"/>
          <w:color w:val="auto"/>
          <w:kern w:val="2"/>
          <w:sz w:val="24"/>
          <w:szCs w:val="24"/>
          <w:lang w:val="en-US" w:eastAsia="zh-CN" w:bidi="ar-SA"/>
        </w:rPr>
        <w:t>2.“投标文件响应条款”必须与投标文件中提供的证明材料的实质性响应情况相一致。若在评审环节发现该项与响应文件证明材料的实质性响应情况不一致，按无效响应处理。</w:t>
      </w:r>
    </w:p>
    <w:p w14:paraId="001D95F4">
      <w:pPr>
        <w:pStyle w:val="13"/>
        <w:rPr>
          <w:color w:val="auto"/>
        </w:rPr>
      </w:pPr>
    </w:p>
    <w:p w14:paraId="70824FEC">
      <w:pPr>
        <w:jc w:val="center"/>
        <w:rPr>
          <w:rFonts w:ascii="宋体" w:hAnsi="宋体"/>
          <w:b/>
          <w:color w:val="auto"/>
          <w:sz w:val="24"/>
          <w:szCs w:val="24"/>
        </w:rPr>
      </w:pPr>
    </w:p>
    <w:p w14:paraId="6A728989">
      <w:pPr>
        <w:jc w:val="center"/>
        <w:rPr>
          <w:rFonts w:ascii="宋体" w:hAnsi="宋体"/>
          <w:b/>
          <w:color w:val="auto"/>
          <w:sz w:val="24"/>
          <w:szCs w:val="24"/>
        </w:rPr>
      </w:pPr>
    </w:p>
    <w:p w14:paraId="7CAE495C">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 xml:space="preserve"> </w:t>
      </w:r>
      <w:r>
        <w:rPr>
          <w:rFonts w:hint="eastAsia" w:ascii="宋体" w:hAnsi="宋体" w:cs="仿宋"/>
          <w:color w:val="auto"/>
          <w:sz w:val="24"/>
          <w:szCs w:val="24"/>
          <w:lang w:val="en-US" w:eastAsia="zh-CN"/>
        </w:rPr>
        <w:t xml:space="preserve"> </w:t>
      </w: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452CAFEE">
      <w:pPr>
        <w:spacing w:line="360" w:lineRule="auto"/>
        <w:ind w:firstLine="240" w:firstLineChars="100"/>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01BBC31F">
      <w:pPr>
        <w:spacing w:line="360" w:lineRule="auto"/>
        <w:ind w:firstLine="240" w:firstLineChars="100"/>
        <w:rPr>
          <w:rFonts w:ascii="宋体" w:hAnsi="宋体" w:cs="仿宋"/>
          <w:color w:val="auto"/>
          <w:sz w:val="24"/>
          <w:szCs w:val="24"/>
        </w:rPr>
      </w:pPr>
      <w:r>
        <w:rPr>
          <w:rFonts w:hint="eastAsia" w:ascii="宋体" w:hAnsi="宋体"/>
          <w:color w:val="auto"/>
          <w:sz w:val="24"/>
          <w:szCs w:val="24"/>
        </w:rPr>
        <w:t>日      期：</w:t>
      </w:r>
      <w:r>
        <w:rPr>
          <w:rFonts w:hint="eastAsia" w:ascii="宋体" w:hAnsi="宋体" w:cs="仿宋"/>
          <w:color w:val="auto"/>
          <w:sz w:val="24"/>
          <w:szCs w:val="24"/>
        </w:rPr>
        <w:t xml:space="preserve"> </w:t>
      </w:r>
    </w:p>
    <w:p w14:paraId="42708AED">
      <w:pPr>
        <w:pStyle w:val="3"/>
        <w:jc w:val="center"/>
        <w:rPr>
          <w:color w:val="auto"/>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r>
        <w:rPr>
          <w:rFonts w:hint="eastAsia"/>
          <w:color w:val="auto"/>
        </w:rPr>
        <w:t xml:space="preserve"> </w:t>
      </w:r>
    </w:p>
    <w:p w14:paraId="3402E13C">
      <w:pPr>
        <w:pStyle w:val="3"/>
        <w:spacing w:before="0" w:after="0"/>
        <w:ind w:firstLine="361" w:firstLineChars="150"/>
        <w:jc w:val="center"/>
        <w:rPr>
          <w:rFonts w:hint="eastAsia"/>
          <w:color w:val="auto"/>
          <w:sz w:val="24"/>
          <w:szCs w:val="24"/>
        </w:rPr>
      </w:pPr>
      <w:bookmarkStart w:id="132" w:name="_Toc23258629"/>
      <w:bookmarkStart w:id="133" w:name="_Toc26541340"/>
    </w:p>
    <w:p w14:paraId="1E57FCEE">
      <w:pPr>
        <w:pStyle w:val="3"/>
        <w:spacing w:before="0" w:after="0"/>
        <w:ind w:firstLine="422" w:firstLineChars="150"/>
        <w:jc w:val="center"/>
        <w:rPr>
          <w:rFonts w:hint="eastAsia"/>
          <w:color w:val="auto"/>
          <w:sz w:val="28"/>
          <w:szCs w:val="28"/>
        </w:rPr>
      </w:pPr>
      <w:r>
        <w:rPr>
          <w:rFonts w:hint="eastAsia"/>
          <w:color w:val="auto"/>
          <w:sz w:val="28"/>
          <w:szCs w:val="28"/>
        </w:rPr>
        <w:t>商务偏离表</w:t>
      </w:r>
      <w:bookmarkEnd w:id="132"/>
      <w:bookmarkEnd w:id="133"/>
    </w:p>
    <w:tbl>
      <w:tblPr>
        <w:tblStyle w:val="42"/>
        <w:tblW w:w="94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835"/>
        <w:gridCol w:w="2552"/>
        <w:gridCol w:w="1516"/>
        <w:gridCol w:w="1516"/>
      </w:tblGrid>
      <w:tr w14:paraId="7D574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jc w:val="center"/>
        </w:trPr>
        <w:tc>
          <w:tcPr>
            <w:tcW w:w="992" w:type="dxa"/>
            <w:vAlign w:val="center"/>
          </w:tcPr>
          <w:p w14:paraId="01BF341A">
            <w:pPr>
              <w:keepNext w:val="0"/>
              <w:keepLines w:val="0"/>
              <w:suppressLineNumbers w:val="0"/>
              <w:wordWrap w:val="0"/>
              <w:spacing w:before="0" w:beforeAutospacing="0" w:after="0" w:afterAutospacing="0"/>
              <w:ind w:left="0" w:right="0"/>
              <w:jc w:val="center"/>
              <w:rPr>
                <w:rFonts w:hint="default" w:ascii="宋体" w:hAnsi="宋体" w:cs="宋体"/>
                <w:color w:val="auto"/>
                <w:sz w:val="28"/>
                <w:szCs w:val="28"/>
              </w:rPr>
            </w:pPr>
            <w:r>
              <w:rPr>
                <w:rFonts w:hint="eastAsia" w:ascii="宋体" w:hAnsi="宋体" w:cs="宋体"/>
                <w:b/>
                <w:color w:val="auto"/>
                <w:sz w:val="22"/>
                <w:szCs w:val="22"/>
              </w:rPr>
              <w:t>序号</w:t>
            </w:r>
          </w:p>
        </w:tc>
        <w:tc>
          <w:tcPr>
            <w:tcW w:w="2835" w:type="dxa"/>
            <w:vAlign w:val="center"/>
          </w:tcPr>
          <w:p w14:paraId="1D86E99E">
            <w:pPr>
              <w:keepNext w:val="0"/>
              <w:keepLines w:val="0"/>
              <w:suppressLineNumbers w:val="0"/>
              <w:wordWrap w:val="0"/>
              <w:spacing w:before="0" w:beforeAutospacing="0" w:after="0" w:afterAutospacing="0"/>
              <w:ind w:left="0" w:right="0"/>
              <w:jc w:val="center"/>
              <w:rPr>
                <w:rFonts w:hint="default" w:ascii="宋体" w:hAnsi="宋体" w:cs="宋体"/>
                <w:color w:val="auto"/>
                <w:sz w:val="28"/>
                <w:szCs w:val="28"/>
              </w:rPr>
            </w:pPr>
            <w:r>
              <w:rPr>
                <w:rFonts w:hint="eastAsia" w:ascii="宋体" w:hAnsi="宋体" w:cs="宋体"/>
                <w:b/>
                <w:color w:val="auto"/>
                <w:sz w:val="22"/>
                <w:szCs w:val="22"/>
              </w:rPr>
              <w:t>招标文件商务要求</w:t>
            </w:r>
          </w:p>
        </w:tc>
        <w:tc>
          <w:tcPr>
            <w:tcW w:w="2552" w:type="dxa"/>
            <w:vAlign w:val="center"/>
          </w:tcPr>
          <w:p w14:paraId="5469DAA5">
            <w:pPr>
              <w:keepNext w:val="0"/>
              <w:keepLines w:val="0"/>
              <w:suppressLineNumbers w:val="0"/>
              <w:wordWrap w:val="0"/>
              <w:spacing w:before="0" w:beforeAutospacing="0" w:after="0" w:afterAutospacing="0"/>
              <w:ind w:left="0" w:right="0"/>
              <w:jc w:val="center"/>
              <w:rPr>
                <w:rFonts w:hint="default" w:ascii="宋体" w:hAnsi="宋体" w:cs="宋体"/>
                <w:color w:val="auto"/>
                <w:sz w:val="28"/>
                <w:szCs w:val="28"/>
              </w:rPr>
            </w:pPr>
            <w:r>
              <w:rPr>
                <w:rFonts w:hint="eastAsia" w:ascii="宋体" w:hAnsi="宋体" w:cs="宋体"/>
                <w:b/>
                <w:color w:val="auto"/>
                <w:sz w:val="22"/>
                <w:szCs w:val="22"/>
              </w:rPr>
              <w:t>投标文件商务应答</w:t>
            </w:r>
          </w:p>
        </w:tc>
        <w:tc>
          <w:tcPr>
            <w:tcW w:w="1516" w:type="dxa"/>
            <w:vAlign w:val="center"/>
          </w:tcPr>
          <w:p w14:paraId="77F19413">
            <w:pPr>
              <w:keepNext w:val="0"/>
              <w:keepLines w:val="0"/>
              <w:suppressLineNumbers w:val="0"/>
              <w:wordWrap w:val="0"/>
              <w:spacing w:before="0" w:beforeAutospacing="0" w:after="0" w:afterAutospacing="0"/>
              <w:ind w:left="0" w:right="0"/>
              <w:jc w:val="center"/>
              <w:rPr>
                <w:rFonts w:hint="default" w:ascii="宋体" w:hAnsi="宋体" w:cs="宋体"/>
                <w:color w:val="auto"/>
                <w:sz w:val="28"/>
                <w:szCs w:val="28"/>
              </w:rPr>
            </w:pPr>
            <w:r>
              <w:rPr>
                <w:rFonts w:hint="eastAsia" w:ascii="宋体" w:hAnsi="宋体" w:cs="宋体"/>
                <w:b/>
                <w:color w:val="auto"/>
                <w:sz w:val="22"/>
                <w:szCs w:val="22"/>
                <w:lang w:val="en-US" w:eastAsia="zh-CN"/>
              </w:rPr>
              <w:t>响应/偏离</w:t>
            </w:r>
          </w:p>
        </w:tc>
        <w:tc>
          <w:tcPr>
            <w:tcW w:w="1516" w:type="dxa"/>
            <w:vAlign w:val="center"/>
          </w:tcPr>
          <w:p w14:paraId="524378A4">
            <w:pPr>
              <w:keepNext w:val="0"/>
              <w:keepLines w:val="0"/>
              <w:suppressLineNumbers w:val="0"/>
              <w:wordWrap w:val="0"/>
              <w:spacing w:before="0" w:beforeAutospacing="0" w:after="0" w:afterAutospacing="0"/>
              <w:ind w:left="0" w:right="0"/>
              <w:jc w:val="center"/>
              <w:rPr>
                <w:rFonts w:hint="default" w:ascii="宋体" w:hAnsi="宋体" w:cs="宋体"/>
                <w:b/>
                <w:color w:val="auto"/>
                <w:sz w:val="22"/>
                <w:szCs w:val="22"/>
              </w:rPr>
            </w:pPr>
            <w:r>
              <w:rPr>
                <w:rFonts w:hint="eastAsia" w:ascii="宋体" w:hAnsi="宋体" w:cs="宋体"/>
                <w:b/>
                <w:color w:val="auto"/>
                <w:sz w:val="22"/>
                <w:szCs w:val="22"/>
              </w:rPr>
              <w:t>偏离简述</w:t>
            </w:r>
          </w:p>
        </w:tc>
      </w:tr>
      <w:tr w14:paraId="695F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F5051CA">
            <w:pPr>
              <w:keepNext w:val="0"/>
              <w:keepLines w:val="0"/>
              <w:suppressLineNumbers w:val="0"/>
              <w:wordWrap w:val="0"/>
              <w:spacing w:before="0" w:beforeAutospacing="0" w:after="0" w:afterAutospacing="0"/>
              <w:ind w:left="0" w:right="0"/>
              <w:jc w:val="center"/>
              <w:rPr>
                <w:rFonts w:hint="default" w:ascii="宋体" w:hAnsi="宋体" w:cs="宋体"/>
                <w:b/>
                <w:color w:val="auto"/>
                <w:sz w:val="22"/>
                <w:szCs w:val="22"/>
              </w:rPr>
            </w:pPr>
            <w:r>
              <w:rPr>
                <w:rFonts w:hint="eastAsia" w:ascii="宋体" w:hAnsi="宋体" w:cs="宋体"/>
                <w:b/>
                <w:color w:val="auto"/>
                <w:sz w:val="22"/>
                <w:szCs w:val="22"/>
              </w:rPr>
              <w:t>1</w:t>
            </w:r>
          </w:p>
        </w:tc>
        <w:tc>
          <w:tcPr>
            <w:tcW w:w="2835" w:type="dxa"/>
            <w:vAlign w:val="center"/>
          </w:tcPr>
          <w:p w14:paraId="18DC2128">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2552" w:type="dxa"/>
            <w:vAlign w:val="center"/>
          </w:tcPr>
          <w:p w14:paraId="203228B2">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25078854">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0A4C23D2">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r>
      <w:tr w14:paraId="7517A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CDC631A">
            <w:pPr>
              <w:keepNext w:val="0"/>
              <w:keepLines w:val="0"/>
              <w:suppressLineNumbers w:val="0"/>
              <w:wordWrap w:val="0"/>
              <w:spacing w:before="0" w:beforeAutospacing="0" w:after="0" w:afterAutospacing="0"/>
              <w:ind w:left="0" w:right="0"/>
              <w:jc w:val="center"/>
              <w:rPr>
                <w:rFonts w:hint="default" w:ascii="宋体" w:hAnsi="宋体" w:cs="宋体"/>
                <w:b/>
                <w:color w:val="auto"/>
                <w:sz w:val="22"/>
                <w:szCs w:val="22"/>
              </w:rPr>
            </w:pPr>
            <w:r>
              <w:rPr>
                <w:rFonts w:hint="eastAsia" w:ascii="宋体" w:hAnsi="宋体" w:cs="宋体"/>
                <w:b/>
                <w:color w:val="auto"/>
                <w:sz w:val="22"/>
                <w:szCs w:val="22"/>
              </w:rPr>
              <w:t>2</w:t>
            </w:r>
          </w:p>
        </w:tc>
        <w:tc>
          <w:tcPr>
            <w:tcW w:w="2835" w:type="dxa"/>
            <w:vAlign w:val="center"/>
          </w:tcPr>
          <w:p w14:paraId="7D909F12">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2552" w:type="dxa"/>
            <w:vAlign w:val="center"/>
          </w:tcPr>
          <w:p w14:paraId="3BF0C547">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5D5D76BC">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0E00F41F">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r>
      <w:tr w14:paraId="1000D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2C973B96">
            <w:pPr>
              <w:keepNext w:val="0"/>
              <w:keepLines w:val="0"/>
              <w:suppressLineNumbers w:val="0"/>
              <w:wordWrap w:val="0"/>
              <w:spacing w:before="0" w:beforeAutospacing="0" w:after="0" w:afterAutospacing="0"/>
              <w:ind w:left="0" w:right="0"/>
              <w:jc w:val="center"/>
              <w:rPr>
                <w:rFonts w:hint="default" w:ascii="宋体" w:hAnsi="宋体" w:cs="宋体"/>
                <w:b/>
                <w:color w:val="auto"/>
                <w:sz w:val="22"/>
                <w:szCs w:val="22"/>
              </w:rPr>
            </w:pPr>
            <w:r>
              <w:rPr>
                <w:rFonts w:hint="eastAsia" w:ascii="宋体" w:hAnsi="宋体" w:cs="宋体"/>
                <w:b/>
                <w:color w:val="auto"/>
                <w:sz w:val="22"/>
                <w:szCs w:val="22"/>
              </w:rPr>
              <w:t>3</w:t>
            </w:r>
          </w:p>
        </w:tc>
        <w:tc>
          <w:tcPr>
            <w:tcW w:w="2835" w:type="dxa"/>
            <w:vAlign w:val="center"/>
          </w:tcPr>
          <w:p w14:paraId="6360D4B7">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2552" w:type="dxa"/>
            <w:vAlign w:val="center"/>
          </w:tcPr>
          <w:p w14:paraId="43FCC020">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00734C4B">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31B301E8">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r>
      <w:tr w14:paraId="3E42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992" w:type="dxa"/>
            <w:vAlign w:val="center"/>
          </w:tcPr>
          <w:p w14:paraId="05A923FA">
            <w:pPr>
              <w:keepNext w:val="0"/>
              <w:keepLines w:val="0"/>
              <w:suppressLineNumbers w:val="0"/>
              <w:wordWrap w:val="0"/>
              <w:spacing w:before="0" w:beforeAutospacing="0" w:after="0" w:afterAutospacing="0"/>
              <w:ind w:left="0" w:right="0"/>
              <w:jc w:val="center"/>
              <w:rPr>
                <w:rFonts w:hint="default" w:ascii="宋体" w:hAnsi="宋体" w:cs="宋体"/>
                <w:b/>
                <w:color w:val="auto"/>
                <w:sz w:val="22"/>
                <w:szCs w:val="22"/>
              </w:rPr>
            </w:pPr>
            <w:r>
              <w:rPr>
                <w:rFonts w:hint="eastAsia" w:ascii="宋体" w:hAnsi="宋体" w:cs="宋体"/>
                <w:b/>
                <w:color w:val="auto"/>
                <w:sz w:val="22"/>
                <w:szCs w:val="22"/>
              </w:rPr>
              <w:t>...</w:t>
            </w:r>
          </w:p>
        </w:tc>
        <w:tc>
          <w:tcPr>
            <w:tcW w:w="2835" w:type="dxa"/>
            <w:vAlign w:val="center"/>
          </w:tcPr>
          <w:p w14:paraId="4B30B6B5">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2552" w:type="dxa"/>
            <w:vAlign w:val="center"/>
          </w:tcPr>
          <w:p w14:paraId="6E0BF319">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04EBA79E">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c>
          <w:tcPr>
            <w:tcW w:w="1516" w:type="dxa"/>
            <w:vAlign w:val="center"/>
          </w:tcPr>
          <w:p w14:paraId="59D2CFFE">
            <w:pPr>
              <w:keepNext w:val="0"/>
              <w:keepLines w:val="0"/>
              <w:suppressLineNumbers w:val="0"/>
              <w:spacing w:before="0" w:beforeAutospacing="0" w:after="0" w:afterAutospacing="0" w:line="360" w:lineRule="auto"/>
              <w:ind w:left="0" w:right="0"/>
              <w:rPr>
                <w:rFonts w:hint="default" w:ascii="宋体" w:hAnsi="宋体"/>
                <w:color w:val="auto"/>
                <w:sz w:val="28"/>
                <w:szCs w:val="28"/>
              </w:rPr>
            </w:pPr>
          </w:p>
        </w:tc>
      </w:tr>
    </w:tbl>
    <w:p w14:paraId="774670E4">
      <w:pPr>
        <w:spacing w:line="360" w:lineRule="auto"/>
        <w:ind w:firstLine="480" w:firstLineChars="200"/>
        <w:rPr>
          <w:b w:val="0"/>
          <w:bCs w:val="0"/>
          <w:color w:val="auto"/>
          <w:sz w:val="24"/>
          <w:szCs w:val="24"/>
        </w:rPr>
      </w:pPr>
      <w:r>
        <w:rPr>
          <w:rFonts w:hint="eastAsia" w:ascii="宋体" w:hAnsi="宋体"/>
          <w:b w:val="0"/>
          <w:bCs w:val="0"/>
          <w:color w:val="auto"/>
          <w:sz w:val="24"/>
          <w:szCs w:val="24"/>
        </w:rPr>
        <w:t>注：对招标文件中要求的商务条款响应并详细说明。</w:t>
      </w:r>
    </w:p>
    <w:p w14:paraId="65F6FDC8">
      <w:pPr>
        <w:rPr>
          <w:color w:val="auto"/>
          <w:sz w:val="24"/>
          <w:szCs w:val="24"/>
        </w:rPr>
      </w:pPr>
    </w:p>
    <w:p w14:paraId="0FC41237">
      <w:pPr>
        <w:spacing w:line="360" w:lineRule="auto"/>
        <w:ind w:firstLine="420" w:firstLineChars="175"/>
        <w:rPr>
          <w:rFonts w:ascii="宋体" w:hAnsi="宋体"/>
          <w:color w:val="auto"/>
          <w:sz w:val="24"/>
          <w:szCs w:val="24"/>
        </w:rPr>
      </w:pPr>
      <w:r>
        <w:rPr>
          <w:rFonts w:ascii="宋体" w:hAnsi="宋体"/>
          <w:color w:val="auto"/>
          <w:sz w:val="24"/>
          <w:szCs w:val="24"/>
        </w:rPr>
        <w:t xml:space="preserve">    </w:t>
      </w:r>
    </w:p>
    <w:p w14:paraId="71C88E7B">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45C5ADCA">
      <w:pPr>
        <w:spacing w:line="360" w:lineRule="auto"/>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5B6DB8F3">
      <w:pPr>
        <w:spacing w:line="360" w:lineRule="auto"/>
        <w:rPr>
          <w:rFonts w:ascii="宋体" w:hAnsi="宋体" w:cs="仿宋"/>
          <w:color w:val="auto"/>
          <w:sz w:val="24"/>
          <w:szCs w:val="24"/>
        </w:rPr>
      </w:pPr>
      <w:r>
        <w:rPr>
          <w:rFonts w:hint="eastAsia" w:ascii="宋体" w:hAnsi="宋体"/>
          <w:color w:val="auto"/>
          <w:sz w:val="24"/>
          <w:szCs w:val="24"/>
        </w:rPr>
        <w:t>日      期：</w:t>
      </w:r>
      <w:r>
        <w:rPr>
          <w:rFonts w:hint="eastAsia" w:ascii="宋体" w:hAnsi="宋体" w:cs="仿宋"/>
          <w:color w:val="auto"/>
          <w:sz w:val="24"/>
          <w:szCs w:val="24"/>
        </w:rPr>
        <w:t xml:space="preserve"> </w:t>
      </w:r>
    </w:p>
    <w:p w14:paraId="0436D0D1">
      <w:pPr>
        <w:spacing w:line="360" w:lineRule="auto"/>
        <w:ind w:firstLine="420" w:firstLineChars="175"/>
        <w:rPr>
          <w:rFonts w:ascii="宋体" w:hAnsi="宋体"/>
          <w:bCs/>
          <w:color w:val="auto"/>
          <w:sz w:val="24"/>
          <w:szCs w:val="24"/>
        </w:rPr>
      </w:pPr>
    </w:p>
    <w:p w14:paraId="3CA017CA">
      <w:pPr>
        <w:widowControl/>
        <w:jc w:val="left"/>
        <w:rPr>
          <w:rFonts w:ascii="Calibri Light" w:hAnsi="Calibri Light"/>
          <w:b/>
          <w:bCs/>
          <w:color w:val="auto"/>
          <w:sz w:val="32"/>
          <w:szCs w:val="32"/>
        </w:rPr>
      </w:pPr>
    </w:p>
    <w:p w14:paraId="101E7FA6">
      <w:pPr>
        <w:widowControl/>
        <w:jc w:val="left"/>
        <w:rPr>
          <w:rFonts w:ascii="Calibri Light" w:hAnsi="Calibri Light"/>
          <w:b/>
          <w:bCs/>
          <w:color w:val="auto"/>
          <w:sz w:val="32"/>
          <w:szCs w:val="32"/>
        </w:rPr>
      </w:pPr>
    </w:p>
    <w:p w14:paraId="6ECC5A2D">
      <w:pPr>
        <w:rPr>
          <w:color w:val="auto"/>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bookmarkEnd w:id="111"/>
    <w:bookmarkEnd w:id="112"/>
    <w:p w14:paraId="42018741">
      <w:pPr>
        <w:pStyle w:val="3"/>
        <w:ind w:firstLine="482" w:firstLineChars="150"/>
        <w:jc w:val="center"/>
        <w:rPr>
          <w:rFonts w:ascii="Times New Roman" w:hAnsi="Times New Roman"/>
          <w:color w:val="auto"/>
          <w:szCs w:val="36"/>
        </w:rPr>
      </w:pPr>
      <w:bookmarkStart w:id="134" w:name="_Toc26541341"/>
      <w:bookmarkStart w:id="135" w:name="_Toc23258630"/>
      <w:bookmarkStart w:id="136" w:name="_Toc484198843"/>
      <w:bookmarkStart w:id="137" w:name="_Toc484890090"/>
      <w:bookmarkStart w:id="138" w:name="_Toc528240833"/>
      <w:r>
        <w:rPr>
          <w:rFonts w:hint="eastAsia" w:ascii="Times New Roman" w:hAnsi="Times New Roman"/>
          <w:color w:val="auto"/>
          <w:szCs w:val="36"/>
        </w:rPr>
        <w:t>五、投标方案</w:t>
      </w:r>
      <w:bookmarkEnd w:id="134"/>
      <w:bookmarkEnd w:id="135"/>
    </w:p>
    <w:p w14:paraId="3416B348">
      <w:pPr>
        <w:keepNext w:val="0"/>
        <w:keepLines w:val="0"/>
        <w:pageBreakBefore w:val="0"/>
        <w:widowControl/>
        <w:suppressLineNumbers w:val="0"/>
        <w:kinsoku/>
        <w:wordWrap/>
        <w:overflowPunct/>
        <w:topLinePunct w:val="0"/>
        <w:autoSpaceDE/>
        <w:autoSpaceDN/>
        <w:bidi w:val="0"/>
        <w:adjustRightInd/>
        <w:snapToGrid/>
        <w:spacing w:line="500" w:lineRule="exact"/>
        <w:ind w:firstLine="482" w:firstLineChars="200"/>
        <w:jc w:val="left"/>
        <w:textAlignment w:val="auto"/>
        <w:rPr>
          <w:color w:val="auto"/>
        </w:rPr>
      </w:pPr>
      <w:r>
        <w:rPr>
          <w:rFonts w:hint="eastAsia" w:ascii="宋体" w:hAnsi="宋体" w:eastAsia="宋体" w:cs="宋体"/>
          <w:b/>
          <w:bCs w:val="0"/>
          <w:color w:val="auto"/>
          <w:kern w:val="2"/>
          <w:sz w:val="24"/>
          <w:szCs w:val="22"/>
          <w:lang w:val="en-US" w:eastAsia="zh-CN" w:bidi="ar"/>
        </w:rPr>
        <w:t>供应商按照招标文件的要求</w:t>
      </w:r>
      <w:r>
        <w:rPr>
          <w:rFonts w:hint="eastAsia" w:ascii="宋体" w:hAnsi="宋体" w:cs="宋体"/>
          <w:b/>
          <w:bCs w:val="0"/>
          <w:color w:val="auto"/>
          <w:kern w:val="2"/>
          <w:sz w:val="24"/>
          <w:szCs w:val="22"/>
          <w:lang w:val="en-US" w:eastAsia="zh-CN" w:bidi="ar"/>
        </w:rPr>
        <w:t>及评标办法</w:t>
      </w:r>
      <w:r>
        <w:rPr>
          <w:rFonts w:hint="eastAsia" w:ascii="宋体" w:hAnsi="宋体" w:eastAsia="宋体" w:cs="宋体"/>
          <w:b/>
          <w:bCs w:val="0"/>
          <w:color w:val="auto"/>
          <w:kern w:val="2"/>
          <w:sz w:val="24"/>
          <w:szCs w:val="22"/>
          <w:lang w:val="en-US" w:eastAsia="zh-CN" w:bidi="ar"/>
        </w:rPr>
        <w:t>编制投标方案，投标</w:t>
      </w:r>
      <w:r>
        <w:rPr>
          <w:rFonts w:hint="eastAsia" w:ascii="宋体" w:hAnsi="宋体" w:cs="宋体"/>
          <w:b/>
          <w:bCs w:val="0"/>
          <w:color w:val="auto"/>
          <w:kern w:val="2"/>
          <w:sz w:val="24"/>
          <w:szCs w:val="22"/>
          <w:lang w:val="en-US" w:eastAsia="zh-CN" w:bidi="ar"/>
        </w:rPr>
        <w:t>格式</w:t>
      </w:r>
      <w:r>
        <w:rPr>
          <w:rFonts w:hint="eastAsia" w:ascii="宋体" w:hAnsi="宋体" w:eastAsia="宋体" w:cs="宋体"/>
          <w:b/>
          <w:bCs w:val="0"/>
          <w:color w:val="auto"/>
          <w:kern w:val="2"/>
          <w:sz w:val="24"/>
          <w:szCs w:val="22"/>
          <w:lang w:val="en-US" w:eastAsia="zh-CN" w:bidi="ar"/>
        </w:rPr>
        <w:t>由供应商自行编写，无具体格式。</w:t>
      </w:r>
    </w:p>
    <w:p w14:paraId="795144BF">
      <w:pPr>
        <w:autoSpaceDE w:val="0"/>
        <w:autoSpaceDN w:val="0"/>
        <w:adjustRightInd w:val="0"/>
        <w:spacing w:line="360" w:lineRule="auto"/>
        <w:ind w:firstLine="480" w:firstLineChars="200"/>
        <w:rPr>
          <w:rFonts w:ascii="宋体"/>
          <w:color w:val="auto"/>
          <w:sz w:val="24"/>
          <w:szCs w:val="24"/>
        </w:rPr>
      </w:pPr>
    </w:p>
    <w:p w14:paraId="0681026F">
      <w:pPr>
        <w:rPr>
          <w:rFonts w:hint="default"/>
          <w:color w:val="auto"/>
          <w:lang w:val="en-US" w:eastAsia="zh-CN"/>
        </w:rPr>
      </w:pPr>
    </w:p>
    <w:p w14:paraId="6182478D">
      <w:pPr>
        <w:spacing w:line="360" w:lineRule="auto"/>
        <w:ind w:firstLine="480" w:firstLineChars="200"/>
        <w:rPr>
          <w:rFonts w:ascii="宋体" w:hAnsi="宋体"/>
          <w:color w:val="auto"/>
          <w:sz w:val="24"/>
          <w:szCs w:val="24"/>
        </w:rPr>
      </w:pPr>
    </w:p>
    <w:p w14:paraId="7C724A2F">
      <w:pPr>
        <w:widowControl/>
        <w:jc w:val="left"/>
        <w:rPr>
          <w:rFonts w:ascii="Calibri Light" w:hAnsi="Calibri Light"/>
          <w:b/>
          <w:bCs/>
          <w:color w:val="auto"/>
          <w:sz w:val="32"/>
          <w:szCs w:val="32"/>
        </w:rPr>
      </w:pPr>
      <w:r>
        <w:rPr>
          <w:rFonts w:ascii="Calibri Light" w:hAnsi="Calibri Light"/>
          <w:b/>
          <w:bCs/>
          <w:color w:val="auto"/>
          <w:sz w:val="32"/>
          <w:szCs w:val="32"/>
        </w:rPr>
        <w:br w:type="page"/>
      </w:r>
    </w:p>
    <w:bookmarkEnd w:id="136"/>
    <w:bookmarkEnd w:id="137"/>
    <w:bookmarkEnd w:id="138"/>
    <w:p w14:paraId="12A3CFA8">
      <w:pPr>
        <w:autoSpaceDE w:val="0"/>
        <w:autoSpaceDN w:val="0"/>
        <w:adjustRightInd w:val="0"/>
        <w:spacing w:line="360" w:lineRule="exact"/>
        <w:jc w:val="center"/>
        <w:textAlignment w:val="baseline"/>
        <w:rPr>
          <w:rFonts w:hint="eastAsia" w:ascii="宋体" w:hAnsi="宋体" w:cs="宋体"/>
          <w:b/>
          <w:bCs/>
          <w:color w:val="auto"/>
          <w:kern w:val="20"/>
          <w:sz w:val="24"/>
          <w:szCs w:val="24"/>
          <w:lang w:val="en-US" w:eastAsia="zh-CN"/>
        </w:rPr>
      </w:pPr>
      <w:bookmarkStart w:id="139" w:name="_Toc17592"/>
      <w:bookmarkStart w:id="140" w:name="_Toc426457710"/>
      <w:bookmarkStart w:id="141" w:name="_Toc2768"/>
      <w:bookmarkStart w:id="142" w:name="_Toc214"/>
      <w:bookmarkStart w:id="143" w:name="_Toc4115"/>
      <w:bookmarkStart w:id="144" w:name="_Toc403077652"/>
      <w:bookmarkStart w:id="145" w:name="_Toc14631"/>
      <w:bookmarkStart w:id="146" w:name="_Toc396304714"/>
      <w:bookmarkStart w:id="147" w:name="_Toc23258632"/>
      <w:bookmarkStart w:id="148" w:name="_Toc484198846"/>
      <w:bookmarkStart w:id="149" w:name="_Toc519864403"/>
      <w:bookmarkStart w:id="150" w:name="_Toc528240693"/>
      <w:bookmarkStart w:id="151" w:name="_Toc528240837"/>
      <w:bookmarkStart w:id="152" w:name="_Toc26541343"/>
      <w:bookmarkStart w:id="153" w:name="_Toc484198847"/>
    </w:p>
    <w:p w14:paraId="2809FF7F">
      <w:pPr>
        <w:autoSpaceDE w:val="0"/>
        <w:autoSpaceDN w:val="0"/>
        <w:adjustRightInd w:val="0"/>
        <w:spacing w:line="360" w:lineRule="exact"/>
        <w:jc w:val="center"/>
        <w:textAlignment w:val="baseline"/>
        <w:rPr>
          <w:rFonts w:ascii="宋体" w:hAnsi="宋体" w:cs="宋体"/>
          <w:b/>
          <w:bCs/>
          <w:color w:val="auto"/>
          <w:kern w:val="20"/>
          <w:sz w:val="24"/>
          <w:szCs w:val="24"/>
        </w:rPr>
      </w:pPr>
      <w:r>
        <w:rPr>
          <w:rFonts w:hint="eastAsia" w:ascii="宋体" w:hAnsi="宋体" w:cs="宋体"/>
          <w:b/>
          <w:bCs/>
          <w:color w:val="auto"/>
          <w:kern w:val="20"/>
          <w:sz w:val="24"/>
          <w:szCs w:val="24"/>
          <w:lang w:val="en-US" w:eastAsia="zh-CN"/>
        </w:rPr>
        <w:t xml:space="preserve">   </w:t>
      </w:r>
      <w:r>
        <w:rPr>
          <w:rFonts w:hint="eastAsia" w:ascii="宋体" w:hAnsi="宋体" w:cs="宋体"/>
          <w:b/>
          <w:bCs/>
          <w:color w:val="auto"/>
          <w:kern w:val="20"/>
          <w:sz w:val="28"/>
          <w:szCs w:val="28"/>
          <w:lang w:val="en-US" w:eastAsia="zh-CN"/>
        </w:rPr>
        <w:t xml:space="preserve">  </w:t>
      </w:r>
      <w:r>
        <w:rPr>
          <w:rFonts w:hint="eastAsia" w:ascii="宋体" w:hAnsi="宋体" w:cs="宋体"/>
          <w:b/>
          <w:bCs/>
          <w:color w:val="auto"/>
          <w:kern w:val="20"/>
          <w:sz w:val="28"/>
          <w:szCs w:val="28"/>
        </w:rPr>
        <w:t>本项目拟投入人员汇总表</w:t>
      </w:r>
      <w:bookmarkEnd w:id="139"/>
      <w:bookmarkEnd w:id="140"/>
      <w:bookmarkEnd w:id="141"/>
      <w:bookmarkEnd w:id="142"/>
      <w:bookmarkEnd w:id="143"/>
      <w:bookmarkEnd w:id="144"/>
      <w:bookmarkEnd w:id="145"/>
      <w:bookmarkEnd w:id="146"/>
    </w:p>
    <w:p w14:paraId="65097F62">
      <w:pPr>
        <w:autoSpaceDE w:val="0"/>
        <w:autoSpaceDN w:val="0"/>
        <w:adjustRightInd w:val="0"/>
        <w:spacing w:line="360" w:lineRule="exact"/>
        <w:textAlignment w:val="baseline"/>
        <w:rPr>
          <w:rFonts w:ascii="宋体" w:hAnsi="宋体" w:cs="宋体"/>
          <w:b/>
          <w:bCs/>
          <w:color w:val="auto"/>
          <w:kern w:val="20"/>
          <w:sz w:val="24"/>
          <w:szCs w:val="24"/>
        </w:rPr>
      </w:pPr>
    </w:p>
    <w:tbl>
      <w:tblPr>
        <w:tblStyle w:val="42"/>
        <w:tblW w:w="90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44"/>
        <w:gridCol w:w="1656"/>
        <w:gridCol w:w="761"/>
        <w:gridCol w:w="761"/>
        <w:gridCol w:w="761"/>
        <w:gridCol w:w="999"/>
        <w:gridCol w:w="2507"/>
        <w:gridCol w:w="908"/>
      </w:tblGrid>
      <w:tr w14:paraId="3C01D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41" w:hRule="atLeast"/>
          <w:tblHeader/>
        </w:trPr>
        <w:tc>
          <w:tcPr>
            <w:tcW w:w="744" w:type="dxa"/>
            <w:tcMar>
              <w:top w:w="15" w:type="dxa"/>
              <w:left w:w="15" w:type="dxa"/>
              <w:bottom w:w="0" w:type="dxa"/>
              <w:right w:w="15" w:type="dxa"/>
            </w:tcMar>
            <w:vAlign w:val="center"/>
          </w:tcPr>
          <w:p w14:paraId="43353FF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序号</w:t>
            </w:r>
          </w:p>
        </w:tc>
        <w:tc>
          <w:tcPr>
            <w:tcW w:w="1656" w:type="dxa"/>
            <w:tcMar>
              <w:top w:w="15" w:type="dxa"/>
              <w:left w:w="15" w:type="dxa"/>
              <w:bottom w:w="0" w:type="dxa"/>
              <w:right w:w="15" w:type="dxa"/>
            </w:tcMar>
            <w:vAlign w:val="center"/>
          </w:tcPr>
          <w:p w14:paraId="26AA59F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姓  名</w:t>
            </w:r>
          </w:p>
        </w:tc>
        <w:tc>
          <w:tcPr>
            <w:tcW w:w="761" w:type="dxa"/>
            <w:tcMar>
              <w:top w:w="15" w:type="dxa"/>
              <w:left w:w="15" w:type="dxa"/>
              <w:bottom w:w="0" w:type="dxa"/>
              <w:right w:w="15" w:type="dxa"/>
            </w:tcMar>
            <w:vAlign w:val="center"/>
          </w:tcPr>
          <w:p w14:paraId="35CC1CE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性别</w:t>
            </w:r>
          </w:p>
        </w:tc>
        <w:tc>
          <w:tcPr>
            <w:tcW w:w="761" w:type="dxa"/>
            <w:tcMar>
              <w:top w:w="15" w:type="dxa"/>
              <w:left w:w="15" w:type="dxa"/>
              <w:bottom w:w="0" w:type="dxa"/>
              <w:right w:w="15" w:type="dxa"/>
            </w:tcMar>
            <w:vAlign w:val="center"/>
          </w:tcPr>
          <w:p w14:paraId="22A567A9">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年龄</w:t>
            </w:r>
          </w:p>
        </w:tc>
        <w:tc>
          <w:tcPr>
            <w:tcW w:w="761" w:type="dxa"/>
            <w:tcMar>
              <w:top w:w="15" w:type="dxa"/>
              <w:left w:w="15" w:type="dxa"/>
              <w:bottom w:w="0" w:type="dxa"/>
              <w:right w:w="15" w:type="dxa"/>
            </w:tcMar>
            <w:vAlign w:val="center"/>
          </w:tcPr>
          <w:p w14:paraId="31FA0734">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学历</w:t>
            </w:r>
          </w:p>
        </w:tc>
        <w:tc>
          <w:tcPr>
            <w:tcW w:w="999" w:type="dxa"/>
            <w:tcMar>
              <w:top w:w="15" w:type="dxa"/>
              <w:left w:w="15" w:type="dxa"/>
              <w:bottom w:w="0" w:type="dxa"/>
              <w:right w:w="15" w:type="dxa"/>
            </w:tcMar>
            <w:vAlign w:val="center"/>
          </w:tcPr>
          <w:p w14:paraId="3D84158E">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工作</w:t>
            </w:r>
          </w:p>
          <w:p w14:paraId="3280DD1B">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年限</w:t>
            </w:r>
          </w:p>
        </w:tc>
        <w:tc>
          <w:tcPr>
            <w:tcW w:w="2507" w:type="dxa"/>
            <w:tcMar>
              <w:top w:w="15" w:type="dxa"/>
              <w:left w:w="15" w:type="dxa"/>
              <w:bottom w:w="0" w:type="dxa"/>
              <w:right w:w="15" w:type="dxa"/>
            </w:tcMar>
            <w:vAlign w:val="center"/>
          </w:tcPr>
          <w:p w14:paraId="76A0CCCA">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拟担任的职务</w:t>
            </w:r>
          </w:p>
        </w:tc>
        <w:tc>
          <w:tcPr>
            <w:tcW w:w="908" w:type="dxa"/>
            <w:tcMar>
              <w:top w:w="15" w:type="dxa"/>
              <w:left w:w="15" w:type="dxa"/>
              <w:bottom w:w="0" w:type="dxa"/>
              <w:right w:w="15" w:type="dxa"/>
            </w:tcMar>
            <w:vAlign w:val="center"/>
          </w:tcPr>
          <w:p w14:paraId="17C4D5C8">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岗位</w:t>
            </w:r>
          </w:p>
          <w:p w14:paraId="0D10F75C">
            <w:pPr>
              <w:keepNext w:val="0"/>
              <w:keepLines w:val="0"/>
              <w:suppressLineNumbers w:val="0"/>
              <w:adjustRightInd w:val="0"/>
              <w:snapToGrid w:val="0"/>
              <w:spacing w:before="0" w:beforeAutospacing="0" w:after="0" w:afterAutospacing="0" w:line="400" w:lineRule="exact"/>
              <w:ind w:left="0" w:right="0"/>
              <w:jc w:val="center"/>
              <w:rPr>
                <w:rFonts w:hint="default" w:ascii="宋体" w:hAnsi="宋体" w:cs="宋体"/>
                <w:b/>
                <w:color w:val="auto"/>
                <w:kern w:val="0"/>
                <w:sz w:val="24"/>
                <w:szCs w:val="21"/>
              </w:rPr>
            </w:pPr>
            <w:r>
              <w:rPr>
                <w:rFonts w:hint="eastAsia" w:ascii="宋体" w:hAnsi="宋体" w:cs="宋体"/>
                <w:b/>
                <w:color w:val="auto"/>
                <w:kern w:val="0"/>
                <w:sz w:val="24"/>
                <w:szCs w:val="21"/>
              </w:rPr>
              <w:t>情况</w:t>
            </w:r>
          </w:p>
        </w:tc>
      </w:tr>
      <w:tr w14:paraId="3ED5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25E6BF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1BD7C0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6B29EBB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7B1F87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F263FD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39401C5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2213695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0DBFEE5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67055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116BFF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7B58E86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0FB9FA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2591EE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0B6E6AC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688A2DC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35470B1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165C99C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5ABEB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7656F2A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4A8E989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6E74F37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D79FD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60946A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65DDA6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73DC618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64E5C93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7244D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6860110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6A67C05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8BE94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0922EAD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797BE82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254274D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65FE883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2C0609E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1CF17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6C0E3CC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31123A4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4E73D13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FFCEA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AB8AE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7315998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516DAE9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1D8028A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0D70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3D5F32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35B7246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61185AA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0E98E61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7283051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62416AF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10BF0B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713142E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3D1A0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03E6EB0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2BB4C9B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A2F891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9F64D0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52F764C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1727D75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249BF9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4A53050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075E1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1281EF5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15D2822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EE097F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779ACD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4BE474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2CF88BC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306680A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39568C8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2348C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70C5C19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533ECA3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67556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53B89D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5633479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327975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58A3CE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10584BD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609F7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6DA4D88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1673624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1CDFDD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0F5FED0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941807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306875F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22FA2EC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1F15911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79E0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2CB037E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694EBA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195421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4F4CA92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22F359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6541E67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4A33D47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792A7B3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2F33D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0F91819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2DDE20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BED169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DE5C9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3D9CE1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1D1F5AF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1B68EDF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0E0D044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05CDA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4292110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530EDF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B1760D2">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AB8A7F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613DE84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163C692E">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6D16F56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4899BD1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65FD7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4DA542E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48CF129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A6B5B3B">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3377FB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26BEFAA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3E0C8C4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6E626E9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2CC550B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4F839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1" w:hRule="atLeast"/>
        </w:trPr>
        <w:tc>
          <w:tcPr>
            <w:tcW w:w="744" w:type="dxa"/>
            <w:tcMar>
              <w:top w:w="15" w:type="dxa"/>
              <w:left w:w="15" w:type="dxa"/>
              <w:bottom w:w="0" w:type="dxa"/>
              <w:right w:w="15" w:type="dxa"/>
            </w:tcMar>
            <w:vAlign w:val="bottom"/>
          </w:tcPr>
          <w:p w14:paraId="62D2A85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5795DA2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0CCCA4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4E64A57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19FB1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2E9BB52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03F32464">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376A454D">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19F93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33" w:hRule="atLeast"/>
        </w:trPr>
        <w:tc>
          <w:tcPr>
            <w:tcW w:w="744" w:type="dxa"/>
            <w:tcMar>
              <w:top w:w="15" w:type="dxa"/>
              <w:left w:w="15" w:type="dxa"/>
              <w:bottom w:w="0" w:type="dxa"/>
              <w:right w:w="15" w:type="dxa"/>
            </w:tcMar>
            <w:vAlign w:val="bottom"/>
          </w:tcPr>
          <w:p w14:paraId="45F63DE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0A961E7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69522BB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3238FA1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54DAA19F">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766CF021">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734DDF4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78856EBA">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r w14:paraId="52502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43" w:hRule="atLeast"/>
        </w:trPr>
        <w:tc>
          <w:tcPr>
            <w:tcW w:w="744" w:type="dxa"/>
            <w:tcMar>
              <w:top w:w="15" w:type="dxa"/>
              <w:left w:w="15" w:type="dxa"/>
              <w:bottom w:w="0" w:type="dxa"/>
              <w:right w:w="15" w:type="dxa"/>
            </w:tcMar>
            <w:vAlign w:val="bottom"/>
          </w:tcPr>
          <w:p w14:paraId="6B155F66">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1656" w:type="dxa"/>
            <w:tcMar>
              <w:top w:w="15" w:type="dxa"/>
              <w:left w:w="15" w:type="dxa"/>
              <w:bottom w:w="0" w:type="dxa"/>
              <w:right w:w="15" w:type="dxa"/>
            </w:tcMar>
            <w:vAlign w:val="bottom"/>
          </w:tcPr>
          <w:p w14:paraId="5B8CE298">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76B7880">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157BF799">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761" w:type="dxa"/>
            <w:tcMar>
              <w:top w:w="15" w:type="dxa"/>
              <w:left w:w="15" w:type="dxa"/>
              <w:bottom w:w="0" w:type="dxa"/>
              <w:right w:w="15" w:type="dxa"/>
            </w:tcMar>
            <w:vAlign w:val="bottom"/>
          </w:tcPr>
          <w:p w14:paraId="5408DB0C">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99" w:type="dxa"/>
            <w:tcMar>
              <w:top w:w="15" w:type="dxa"/>
              <w:left w:w="15" w:type="dxa"/>
              <w:bottom w:w="0" w:type="dxa"/>
              <w:right w:w="15" w:type="dxa"/>
            </w:tcMar>
            <w:vAlign w:val="bottom"/>
          </w:tcPr>
          <w:p w14:paraId="763321B7">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2507" w:type="dxa"/>
            <w:tcMar>
              <w:top w:w="15" w:type="dxa"/>
              <w:left w:w="15" w:type="dxa"/>
              <w:bottom w:w="0" w:type="dxa"/>
              <w:right w:w="15" w:type="dxa"/>
            </w:tcMar>
            <w:vAlign w:val="bottom"/>
          </w:tcPr>
          <w:p w14:paraId="70DBFC65">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c>
          <w:tcPr>
            <w:tcW w:w="908" w:type="dxa"/>
            <w:tcMar>
              <w:top w:w="15" w:type="dxa"/>
              <w:left w:w="15" w:type="dxa"/>
              <w:bottom w:w="0" w:type="dxa"/>
              <w:right w:w="15" w:type="dxa"/>
            </w:tcMar>
            <w:vAlign w:val="bottom"/>
          </w:tcPr>
          <w:p w14:paraId="6DFC4D63">
            <w:pPr>
              <w:keepNext w:val="0"/>
              <w:keepLines w:val="0"/>
              <w:suppressLineNumbers w:val="0"/>
              <w:adjustRightInd w:val="0"/>
              <w:snapToGrid w:val="0"/>
              <w:spacing w:before="0" w:beforeAutospacing="0" w:after="0" w:afterAutospacing="0" w:line="400" w:lineRule="exact"/>
              <w:ind w:left="0" w:right="0" w:firstLine="480" w:firstLineChars="200"/>
              <w:rPr>
                <w:rFonts w:hint="default" w:ascii="宋体" w:hAnsi="宋体" w:cs="宋体"/>
                <w:color w:val="auto"/>
                <w:kern w:val="0"/>
                <w:sz w:val="24"/>
                <w:szCs w:val="21"/>
              </w:rPr>
            </w:pPr>
          </w:p>
        </w:tc>
      </w:tr>
    </w:tbl>
    <w:p w14:paraId="77FEDF18">
      <w:pPr>
        <w:rPr>
          <w:color w:val="auto"/>
        </w:rPr>
      </w:pPr>
    </w:p>
    <w:p w14:paraId="6EE4DAE9">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auto"/>
          <w:sz w:val="24"/>
          <w:szCs w:val="24"/>
        </w:rPr>
      </w:pPr>
      <w:bookmarkStart w:id="154" w:name="_Hlt491572882"/>
      <w:bookmarkEnd w:id="154"/>
      <w:bookmarkStart w:id="155" w:name="_Hlt491765944"/>
      <w:bookmarkEnd w:id="155"/>
      <w:bookmarkStart w:id="156" w:name="_Hlt491765868"/>
      <w:bookmarkEnd w:id="156"/>
      <w:bookmarkStart w:id="157" w:name="_Hlt491573425"/>
      <w:bookmarkEnd w:id="157"/>
      <w:bookmarkStart w:id="158" w:name="_Hlt491766019"/>
      <w:bookmarkEnd w:id="158"/>
    </w:p>
    <w:p w14:paraId="6F2D6183">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投标人名称（加盖公章）：</w:t>
      </w:r>
    </w:p>
    <w:p w14:paraId="3D231A07">
      <w:pPr>
        <w:keepNext w:val="0"/>
        <w:keepLines w:val="0"/>
        <w:pageBreakBefore w:val="0"/>
        <w:widowControl w:val="0"/>
        <w:kinsoku/>
        <w:wordWrap/>
        <w:overflowPunct/>
        <w:topLinePunct w:val="0"/>
        <w:autoSpaceDE/>
        <w:autoSpaceDN/>
        <w:bidi w:val="0"/>
        <w:snapToGrid w:val="0"/>
        <w:spacing w:line="408" w:lineRule="auto"/>
        <w:ind w:left="0"/>
        <w:textAlignment w:val="auto"/>
        <w:rPr>
          <w:rFonts w:hint="eastAsia" w:ascii="宋体" w:hAnsi="宋体" w:eastAsia="宋体" w:cs="宋体"/>
          <w:bCs/>
          <w:color w:val="auto"/>
          <w:sz w:val="24"/>
          <w:szCs w:val="24"/>
        </w:rPr>
      </w:pPr>
      <w:r>
        <w:rPr>
          <w:rFonts w:hint="eastAsia" w:ascii="宋体" w:hAnsi="宋体" w:eastAsia="宋体" w:cs="宋体"/>
          <w:bCs/>
          <w:color w:val="auto"/>
          <w:kern w:val="0"/>
          <w:sz w:val="24"/>
          <w:szCs w:val="24"/>
        </w:rPr>
        <w:t>法定代表人或被授权代表（</w:t>
      </w:r>
      <w:r>
        <w:rPr>
          <w:rFonts w:hint="eastAsia" w:ascii="宋体" w:hAnsi="宋体" w:cs="Courier New"/>
          <w:color w:val="auto"/>
          <w:sz w:val="24"/>
          <w:szCs w:val="24"/>
        </w:rPr>
        <w:t>签字或盖章</w:t>
      </w:r>
      <w:r>
        <w:rPr>
          <w:rFonts w:hint="eastAsia" w:ascii="宋体" w:hAnsi="宋体" w:eastAsia="宋体" w:cs="宋体"/>
          <w:bCs/>
          <w:color w:val="auto"/>
          <w:kern w:val="0"/>
          <w:sz w:val="24"/>
          <w:szCs w:val="24"/>
        </w:rPr>
        <w:t xml:space="preserve">）： </w:t>
      </w:r>
    </w:p>
    <w:p w14:paraId="65ADEF6B">
      <w:pPr>
        <w:keepNext w:val="0"/>
        <w:keepLines w:val="0"/>
        <w:pageBreakBefore w:val="0"/>
        <w:widowControl w:val="0"/>
        <w:kinsoku/>
        <w:wordWrap/>
        <w:overflowPunct/>
        <w:topLinePunct w:val="0"/>
        <w:autoSpaceDE/>
        <w:autoSpaceDN/>
        <w:bidi w:val="0"/>
        <w:snapToGrid w:val="0"/>
        <w:spacing w:line="408" w:lineRule="auto"/>
        <w:textAlignment w:val="auto"/>
        <w:rPr>
          <w:rFonts w:hint="eastAsia" w:ascii="宋体" w:hAnsi="宋体" w:eastAsia="宋体" w:cs="宋体"/>
          <w:bCs/>
          <w:color w:val="auto"/>
          <w:sz w:val="24"/>
        </w:rPr>
      </w:pPr>
      <w:r>
        <w:rPr>
          <w:rFonts w:hint="eastAsia" w:ascii="宋体" w:hAnsi="宋体" w:eastAsia="宋体" w:cs="宋体"/>
          <w:bCs/>
          <w:color w:val="auto"/>
          <w:kern w:val="0"/>
          <w:sz w:val="24"/>
        </w:rPr>
        <w:t>日   期：    年    月    日</w:t>
      </w:r>
    </w:p>
    <w:p w14:paraId="5EB82270">
      <w:pPr>
        <w:jc w:val="center"/>
        <w:rPr>
          <w:rFonts w:hint="eastAsia" w:ascii="宋体" w:hAnsi="宋体" w:cs="宋体"/>
          <w:b/>
          <w:bCs/>
          <w:color w:val="auto"/>
          <w:sz w:val="24"/>
          <w:szCs w:val="24"/>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p w14:paraId="10300477">
      <w:pPr>
        <w:jc w:val="center"/>
        <w:rPr>
          <w:rFonts w:hint="eastAsia" w:ascii="宋体" w:hAnsi="宋体" w:cs="宋体"/>
          <w:b/>
          <w:bCs/>
          <w:color w:val="auto"/>
          <w:sz w:val="24"/>
          <w:szCs w:val="24"/>
        </w:rPr>
      </w:pPr>
    </w:p>
    <w:p w14:paraId="190ABB82">
      <w:pPr>
        <w:jc w:val="center"/>
        <w:rPr>
          <w:rFonts w:ascii="宋体" w:hAnsi="宋体" w:cs="宋体"/>
          <w:b/>
          <w:bCs/>
          <w:color w:val="auto"/>
          <w:sz w:val="28"/>
          <w:szCs w:val="28"/>
        </w:rPr>
      </w:pPr>
      <w:r>
        <w:rPr>
          <w:rFonts w:hint="eastAsia" w:ascii="宋体" w:hAnsi="宋体" w:cs="宋体"/>
          <w:b/>
          <w:bCs/>
          <w:color w:val="auto"/>
          <w:sz w:val="28"/>
          <w:szCs w:val="28"/>
        </w:rPr>
        <w:t>业绩情况一览表</w:t>
      </w:r>
    </w:p>
    <w:bookmarkEnd w:id="147"/>
    <w:bookmarkEnd w:id="148"/>
    <w:bookmarkEnd w:id="149"/>
    <w:bookmarkEnd w:id="150"/>
    <w:bookmarkEnd w:id="151"/>
    <w:bookmarkEnd w:id="152"/>
    <w:tbl>
      <w:tblPr>
        <w:tblStyle w:val="42"/>
        <w:tblW w:w="9097"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40"/>
        <w:gridCol w:w="1404"/>
        <w:gridCol w:w="2069"/>
        <w:gridCol w:w="1244"/>
        <w:gridCol w:w="1820"/>
        <w:gridCol w:w="1820"/>
      </w:tblGrid>
      <w:tr w14:paraId="240C42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6B5A724A">
            <w:pPr>
              <w:keepNext w:val="0"/>
              <w:keepLines w:val="0"/>
              <w:suppressLineNumbers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序号</w:t>
            </w:r>
          </w:p>
        </w:tc>
        <w:tc>
          <w:tcPr>
            <w:tcW w:w="1404" w:type="dxa"/>
            <w:vAlign w:val="center"/>
          </w:tcPr>
          <w:p w14:paraId="6ED9F7F7">
            <w:pPr>
              <w:keepNext w:val="0"/>
              <w:keepLines w:val="0"/>
              <w:suppressLineNumbers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项目名称</w:t>
            </w:r>
          </w:p>
        </w:tc>
        <w:tc>
          <w:tcPr>
            <w:tcW w:w="2069" w:type="dxa"/>
            <w:vAlign w:val="center"/>
          </w:tcPr>
          <w:p w14:paraId="680785BF">
            <w:pPr>
              <w:keepNext w:val="0"/>
              <w:keepLines w:val="0"/>
              <w:suppressLineNumbers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合同标的产品</w:t>
            </w:r>
          </w:p>
        </w:tc>
        <w:tc>
          <w:tcPr>
            <w:tcW w:w="1244" w:type="dxa"/>
            <w:vAlign w:val="center"/>
          </w:tcPr>
          <w:p w14:paraId="0BCC38A0">
            <w:pPr>
              <w:keepNext w:val="0"/>
              <w:keepLines w:val="0"/>
              <w:suppressLineNumbers w:val="0"/>
              <w:wordWrap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合同签订</w:t>
            </w:r>
          </w:p>
          <w:p w14:paraId="3F272320">
            <w:pPr>
              <w:keepNext w:val="0"/>
              <w:keepLines w:val="0"/>
              <w:suppressLineNumbers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时间</w:t>
            </w:r>
          </w:p>
        </w:tc>
        <w:tc>
          <w:tcPr>
            <w:tcW w:w="1820" w:type="dxa"/>
            <w:vAlign w:val="center"/>
          </w:tcPr>
          <w:p w14:paraId="44C2521F">
            <w:pPr>
              <w:keepNext w:val="0"/>
              <w:keepLines w:val="0"/>
              <w:suppressLineNumbers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采购单位名称</w:t>
            </w:r>
          </w:p>
        </w:tc>
        <w:tc>
          <w:tcPr>
            <w:tcW w:w="1820" w:type="dxa"/>
            <w:vAlign w:val="center"/>
          </w:tcPr>
          <w:p w14:paraId="00AD9351">
            <w:pPr>
              <w:keepNext w:val="0"/>
              <w:keepLines w:val="0"/>
              <w:suppressLineNumbers w:val="0"/>
              <w:spacing w:before="0" w:beforeAutospacing="0" w:after="0" w:afterAutospacing="0"/>
              <w:ind w:left="0" w:right="0"/>
              <w:jc w:val="center"/>
              <w:rPr>
                <w:rFonts w:hint="default" w:ascii="宋体" w:hAnsi="宋体" w:cs="宋体"/>
                <w:b/>
                <w:bCs/>
                <w:color w:val="auto"/>
                <w:sz w:val="24"/>
                <w:szCs w:val="24"/>
              </w:rPr>
            </w:pPr>
            <w:r>
              <w:rPr>
                <w:rFonts w:hint="eastAsia" w:ascii="宋体" w:hAnsi="宋体" w:cs="宋体"/>
                <w:b/>
                <w:bCs/>
                <w:color w:val="auto"/>
                <w:sz w:val="24"/>
                <w:szCs w:val="24"/>
              </w:rPr>
              <w:t>联系人及电话</w:t>
            </w:r>
          </w:p>
        </w:tc>
      </w:tr>
      <w:tr w14:paraId="62627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2D5DE151">
            <w:pPr>
              <w:keepNext w:val="0"/>
              <w:keepLines w:val="0"/>
              <w:suppressLineNumbers w:val="0"/>
              <w:spacing w:before="0" w:beforeAutospacing="0" w:after="0" w:afterAutospacing="0"/>
              <w:ind w:left="120" w:right="0"/>
              <w:jc w:val="center"/>
              <w:rPr>
                <w:rFonts w:hint="default" w:ascii="宋体" w:hAnsi="宋体"/>
                <w:color w:val="auto"/>
                <w:sz w:val="24"/>
                <w:szCs w:val="24"/>
              </w:rPr>
            </w:pPr>
            <w:r>
              <w:rPr>
                <w:rFonts w:hint="eastAsia" w:ascii="宋体" w:hAnsi="宋体"/>
                <w:color w:val="auto"/>
                <w:sz w:val="24"/>
                <w:szCs w:val="24"/>
              </w:rPr>
              <w:t>1</w:t>
            </w:r>
          </w:p>
        </w:tc>
        <w:tc>
          <w:tcPr>
            <w:tcW w:w="1404" w:type="dxa"/>
            <w:vAlign w:val="center"/>
          </w:tcPr>
          <w:p w14:paraId="18807C46">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69" w:type="dxa"/>
            <w:vAlign w:val="center"/>
          </w:tcPr>
          <w:p w14:paraId="2CD354CE">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244" w:type="dxa"/>
          </w:tcPr>
          <w:p w14:paraId="5F8A4F99">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4755D828">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3032F046">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3271C1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741BB9D4">
            <w:pPr>
              <w:keepNext w:val="0"/>
              <w:keepLines w:val="0"/>
              <w:suppressLineNumbers w:val="0"/>
              <w:spacing w:before="0" w:beforeAutospacing="0" w:after="0" w:afterAutospacing="0"/>
              <w:ind w:left="120" w:right="0"/>
              <w:jc w:val="center"/>
              <w:rPr>
                <w:rFonts w:hint="default" w:ascii="宋体" w:hAnsi="宋体"/>
                <w:color w:val="auto"/>
                <w:sz w:val="24"/>
                <w:szCs w:val="24"/>
              </w:rPr>
            </w:pPr>
            <w:r>
              <w:rPr>
                <w:rFonts w:hint="eastAsia" w:ascii="宋体" w:hAnsi="宋体"/>
                <w:color w:val="auto"/>
                <w:sz w:val="24"/>
                <w:szCs w:val="24"/>
              </w:rPr>
              <w:t>2</w:t>
            </w:r>
          </w:p>
        </w:tc>
        <w:tc>
          <w:tcPr>
            <w:tcW w:w="1404" w:type="dxa"/>
            <w:vAlign w:val="center"/>
          </w:tcPr>
          <w:p w14:paraId="32B1C51C">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69" w:type="dxa"/>
            <w:vAlign w:val="center"/>
          </w:tcPr>
          <w:p w14:paraId="312F1948">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244" w:type="dxa"/>
          </w:tcPr>
          <w:p w14:paraId="3DC0E01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7AFC1B14">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4E9E1DA7">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3E24C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13A94C96">
            <w:pPr>
              <w:keepNext w:val="0"/>
              <w:keepLines w:val="0"/>
              <w:suppressLineNumbers w:val="0"/>
              <w:spacing w:before="0" w:beforeAutospacing="0" w:after="0" w:afterAutospacing="0"/>
              <w:ind w:left="120" w:right="0"/>
              <w:jc w:val="center"/>
              <w:rPr>
                <w:rFonts w:hint="default" w:ascii="宋体" w:hAnsi="宋体"/>
                <w:color w:val="auto"/>
                <w:sz w:val="24"/>
                <w:szCs w:val="24"/>
              </w:rPr>
            </w:pPr>
            <w:r>
              <w:rPr>
                <w:rFonts w:hint="eastAsia" w:ascii="宋体" w:hAnsi="宋体"/>
                <w:color w:val="auto"/>
                <w:sz w:val="24"/>
                <w:szCs w:val="24"/>
              </w:rPr>
              <w:t>3</w:t>
            </w:r>
          </w:p>
        </w:tc>
        <w:tc>
          <w:tcPr>
            <w:tcW w:w="1404" w:type="dxa"/>
            <w:vAlign w:val="center"/>
          </w:tcPr>
          <w:p w14:paraId="4BEF914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69" w:type="dxa"/>
            <w:vAlign w:val="center"/>
          </w:tcPr>
          <w:p w14:paraId="057AF23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244" w:type="dxa"/>
          </w:tcPr>
          <w:p w14:paraId="4431C84C">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6E58CA1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1AFD75F4">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47EC32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375A7D5E">
            <w:pPr>
              <w:keepNext w:val="0"/>
              <w:keepLines w:val="0"/>
              <w:suppressLineNumbers w:val="0"/>
              <w:spacing w:before="0" w:beforeAutospacing="0" w:after="0" w:afterAutospacing="0"/>
              <w:ind w:left="120" w:right="0"/>
              <w:jc w:val="center"/>
              <w:rPr>
                <w:rFonts w:hint="default" w:ascii="宋体" w:hAnsi="宋体"/>
                <w:color w:val="auto"/>
                <w:sz w:val="24"/>
                <w:szCs w:val="24"/>
              </w:rPr>
            </w:pPr>
            <w:r>
              <w:rPr>
                <w:rFonts w:hint="eastAsia" w:ascii="宋体" w:hAnsi="宋体"/>
                <w:color w:val="auto"/>
                <w:sz w:val="24"/>
                <w:szCs w:val="24"/>
              </w:rPr>
              <w:t>4</w:t>
            </w:r>
          </w:p>
        </w:tc>
        <w:tc>
          <w:tcPr>
            <w:tcW w:w="1404" w:type="dxa"/>
            <w:vAlign w:val="center"/>
          </w:tcPr>
          <w:p w14:paraId="07BF0D23">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69" w:type="dxa"/>
            <w:vAlign w:val="center"/>
          </w:tcPr>
          <w:p w14:paraId="4A9947FF">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244" w:type="dxa"/>
          </w:tcPr>
          <w:p w14:paraId="0EAE2555">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0CCE9927">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0DAC80D6">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6E4B6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67" w:hRule="atLeast"/>
        </w:trPr>
        <w:tc>
          <w:tcPr>
            <w:tcW w:w="740" w:type="dxa"/>
            <w:vAlign w:val="center"/>
          </w:tcPr>
          <w:p w14:paraId="12487B8F">
            <w:pPr>
              <w:keepNext w:val="0"/>
              <w:keepLines w:val="0"/>
              <w:suppressLineNumbers w:val="0"/>
              <w:spacing w:before="0" w:beforeAutospacing="0" w:after="0" w:afterAutospacing="0"/>
              <w:ind w:left="120" w:right="0"/>
              <w:jc w:val="center"/>
              <w:rPr>
                <w:rFonts w:hint="default" w:ascii="宋体" w:hAnsi="宋体"/>
                <w:color w:val="auto"/>
                <w:sz w:val="24"/>
                <w:szCs w:val="24"/>
              </w:rPr>
            </w:pPr>
            <w:r>
              <w:rPr>
                <w:rFonts w:hint="eastAsia" w:ascii="宋体" w:hAnsi="宋体"/>
                <w:color w:val="auto"/>
                <w:sz w:val="24"/>
                <w:szCs w:val="24"/>
              </w:rPr>
              <w:t>5</w:t>
            </w:r>
          </w:p>
        </w:tc>
        <w:tc>
          <w:tcPr>
            <w:tcW w:w="1404" w:type="dxa"/>
            <w:vAlign w:val="center"/>
          </w:tcPr>
          <w:p w14:paraId="7CE8C960">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69" w:type="dxa"/>
            <w:vAlign w:val="center"/>
          </w:tcPr>
          <w:p w14:paraId="772AA58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244" w:type="dxa"/>
          </w:tcPr>
          <w:p w14:paraId="09E3DB86">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56B14DCC">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1A2786E5">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r w14:paraId="219F2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98" w:hRule="atLeast"/>
        </w:trPr>
        <w:tc>
          <w:tcPr>
            <w:tcW w:w="740" w:type="dxa"/>
            <w:vAlign w:val="center"/>
          </w:tcPr>
          <w:p w14:paraId="2F348843">
            <w:pPr>
              <w:keepNext w:val="0"/>
              <w:keepLines w:val="0"/>
              <w:suppressLineNumbers w:val="0"/>
              <w:spacing w:before="0" w:beforeAutospacing="0" w:after="0" w:afterAutospacing="0"/>
              <w:ind w:left="0" w:right="0"/>
              <w:jc w:val="center"/>
              <w:rPr>
                <w:rFonts w:hint="default" w:ascii="宋体" w:hAnsi="宋体"/>
                <w:color w:val="auto"/>
                <w:sz w:val="24"/>
                <w:szCs w:val="24"/>
              </w:rPr>
            </w:pPr>
            <w:r>
              <w:rPr>
                <w:rFonts w:hint="eastAsia" w:ascii="宋体" w:hAnsi="宋体"/>
                <w:color w:val="auto"/>
                <w:sz w:val="24"/>
                <w:szCs w:val="24"/>
              </w:rPr>
              <w:t>…</w:t>
            </w:r>
          </w:p>
        </w:tc>
        <w:tc>
          <w:tcPr>
            <w:tcW w:w="1404" w:type="dxa"/>
            <w:vAlign w:val="center"/>
          </w:tcPr>
          <w:p w14:paraId="18DEEE12">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2069" w:type="dxa"/>
            <w:vAlign w:val="center"/>
          </w:tcPr>
          <w:p w14:paraId="18C67DFA">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244" w:type="dxa"/>
          </w:tcPr>
          <w:p w14:paraId="438408B5">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0EDBEF86">
            <w:pPr>
              <w:keepNext w:val="0"/>
              <w:keepLines w:val="0"/>
              <w:suppressLineNumbers w:val="0"/>
              <w:spacing w:before="0" w:beforeAutospacing="0" w:after="0" w:afterAutospacing="0"/>
              <w:ind w:left="0" w:right="0"/>
              <w:jc w:val="center"/>
              <w:rPr>
                <w:rFonts w:hint="default" w:ascii="宋体" w:hAnsi="宋体"/>
                <w:color w:val="auto"/>
                <w:sz w:val="24"/>
                <w:szCs w:val="24"/>
              </w:rPr>
            </w:pPr>
          </w:p>
        </w:tc>
        <w:tc>
          <w:tcPr>
            <w:tcW w:w="1820" w:type="dxa"/>
          </w:tcPr>
          <w:p w14:paraId="7D64F712">
            <w:pPr>
              <w:keepNext w:val="0"/>
              <w:keepLines w:val="0"/>
              <w:suppressLineNumbers w:val="0"/>
              <w:spacing w:before="0" w:beforeAutospacing="0" w:after="0" w:afterAutospacing="0"/>
              <w:ind w:left="0" w:right="0"/>
              <w:jc w:val="center"/>
              <w:rPr>
                <w:rFonts w:hint="default" w:ascii="宋体" w:hAnsi="宋体"/>
                <w:color w:val="auto"/>
                <w:sz w:val="24"/>
                <w:szCs w:val="24"/>
              </w:rPr>
            </w:pPr>
          </w:p>
        </w:tc>
      </w:tr>
    </w:tbl>
    <w:p w14:paraId="23AD9C02">
      <w:pPr>
        <w:tabs>
          <w:tab w:val="left" w:pos="8782"/>
        </w:tabs>
        <w:snapToGrid w:val="0"/>
        <w:spacing w:line="360" w:lineRule="auto"/>
        <w:ind w:firstLine="480" w:firstLineChars="200"/>
        <w:rPr>
          <w:rFonts w:ascii="宋体" w:hAnsi="宋体"/>
          <w:color w:val="auto"/>
          <w:sz w:val="24"/>
          <w:szCs w:val="24"/>
        </w:rPr>
      </w:pPr>
      <w:r>
        <w:rPr>
          <w:rFonts w:hint="eastAsia" w:ascii="宋体" w:hAnsi="宋体"/>
          <w:color w:val="auto"/>
          <w:sz w:val="24"/>
          <w:szCs w:val="24"/>
        </w:rPr>
        <w:t>注：投标人应如实列出以上情况，如有隐瞒，一经查实</w:t>
      </w:r>
      <w:r>
        <w:rPr>
          <w:rFonts w:hint="eastAsia" w:ascii="宋体" w:hAnsi="宋体"/>
          <w:color w:val="auto"/>
          <w:sz w:val="24"/>
          <w:szCs w:val="24"/>
          <w:lang w:val="en-US" w:eastAsia="zh-CN"/>
        </w:rPr>
        <w:t>后果自负</w:t>
      </w:r>
      <w:r>
        <w:rPr>
          <w:rFonts w:hint="eastAsia" w:ascii="宋体" w:hAnsi="宋体"/>
          <w:color w:val="auto"/>
          <w:sz w:val="24"/>
          <w:szCs w:val="24"/>
        </w:rPr>
        <w:t>。</w:t>
      </w:r>
    </w:p>
    <w:p w14:paraId="1897E539">
      <w:pPr>
        <w:tabs>
          <w:tab w:val="left" w:pos="8782"/>
        </w:tabs>
        <w:snapToGrid w:val="0"/>
        <w:spacing w:line="360" w:lineRule="auto"/>
        <w:ind w:firstLine="840" w:firstLineChars="350"/>
        <w:rPr>
          <w:rFonts w:ascii="宋体" w:hAnsi="宋体"/>
          <w:color w:val="auto"/>
          <w:sz w:val="24"/>
          <w:szCs w:val="24"/>
        </w:rPr>
      </w:pPr>
    </w:p>
    <w:p w14:paraId="48B629D1">
      <w:pPr>
        <w:pStyle w:val="41"/>
        <w:rPr>
          <w:rFonts w:ascii="宋体" w:hAnsi="宋体"/>
          <w:color w:val="auto"/>
          <w:sz w:val="24"/>
          <w:szCs w:val="24"/>
        </w:rPr>
      </w:pPr>
    </w:p>
    <w:p w14:paraId="23643C81">
      <w:pPr>
        <w:pStyle w:val="59"/>
        <w:rPr>
          <w:color w:val="auto"/>
        </w:rPr>
      </w:pPr>
    </w:p>
    <w:p w14:paraId="2A304458">
      <w:pPr>
        <w:spacing w:line="360" w:lineRule="auto"/>
        <w:rPr>
          <w:rFonts w:hint="eastAsia" w:ascii="宋体" w:hAnsi="宋体" w:eastAsia="宋体"/>
          <w:color w:val="auto"/>
          <w:sz w:val="24"/>
          <w:szCs w:val="24"/>
          <w:lang w:eastAsia="zh-CN"/>
        </w:rPr>
      </w:pPr>
      <w:r>
        <w:rPr>
          <w:rFonts w:hint="eastAsia" w:ascii="宋体" w:hAnsi="宋体" w:cs="仿宋"/>
          <w:color w:val="auto"/>
          <w:sz w:val="24"/>
          <w:szCs w:val="24"/>
        </w:rPr>
        <w:t>投标人名称（盖章）</w:t>
      </w:r>
      <w:r>
        <w:rPr>
          <w:rFonts w:hint="eastAsia" w:ascii="宋体" w:hAnsi="宋体" w:cs="仿宋"/>
          <w:color w:val="auto"/>
          <w:sz w:val="24"/>
          <w:szCs w:val="24"/>
          <w:lang w:eastAsia="zh-CN"/>
        </w:rPr>
        <w:t>：</w:t>
      </w:r>
    </w:p>
    <w:p w14:paraId="0A08A6B0">
      <w:pPr>
        <w:spacing w:line="360" w:lineRule="auto"/>
        <w:rPr>
          <w:rFonts w:ascii="宋体" w:hAnsi="宋体" w:cs="仿宋"/>
          <w:color w:val="auto"/>
          <w:sz w:val="24"/>
          <w:szCs w:val="24"/>
        </w:rPr>
      </w:pPr>
      <w:r>
        <w:rPr>
          <w:rFonts w:hint="eastAsia" w:ascii="宋体" w:hAnsi="宋体" w:cs="仿宋"/>
          <w:color w:val="auto"/>
          <w:sz w:val="24"/>
          <w:szCs w:val="24"/>
        </w:rPr>
        <w:t>法定代表人或被授权人：</w:t>
      </w:r>
      <w:r>
        <w:rPr>
          <w:rFonts w:hint="eastAsia" w:ascii="宋体" w:hAnsi="宋体" w:cs="仿宋"/>
          <w:color w:val="auto"/>
          <w:sz w:val="24"/>
          <w:szCs w:val="24"/>
          <w:lang w:eastAsia="zh-CN"/>
        </w:rPr>
        <w:t>（</w:t>
      </w:r>
      <w:r>
        <w:rPr>
          <w:rFonts w:hint="eastAsia" w:ascii="宋体" w:hAnsi="宋体" w:cs="仿宋"/>
          <w:color w:val="auto"/>
          <w:sz w:val="24"/>
          <w:szCs w:val="24"/>
        </w:rPr>
        <w:t>签字或盖章</w:t>
      </w:r>
      <w:r>
        <w:rPr>
          <w:rFonts w:hint="eastAsia" w:ascii="宋体" w:hAnsi="宋体" w:cs="仿宋"/>
          <w:color w:val="auto"/>
          <w:sz w:val="24"/>
          <w:szCs w:val="24"/>
          <w:lang w:eastAsia="zh-CN"/>
        </w:rPr>
        <w:t>）</w:t>
      </w:r>
    </w:p>
    <w:p w14:paraId="07E368C1">
      <w:pPr>
        <w:spacing w:line="360" w:lineRule="auto"/>
        <w:rPr>
          <w:rFonts w:ascii="宋体" w:hAnsi="宋体" w:cs="仿宋"/>
          <w:color w:val="auto"/>
          <w:sz w:val="24"/>
          <w:szCs w:val="24"/>
        </w:rPr>
      </w:pPr>
      <w:r>
        <w:rPr>
          <w:rFonts w:hint="eastAsia" w:ascii="宋体" w:hAnsi="宋体"/>
          <w:color w:val="auto"/>
          <w:sz w:val="24"/>
          <w:szCs w:val="24"/>
        </w:rPr>
        <w:t>日      期：</w:t>
      </w:r>
      <w:r>
        <w:rPr>
          <w:rFonts w:hint="eastAsia" w:ascii="宋体" w:hAnsi="宋体" w:cs="仿宋"/>
          <w:color w:val="auto"/>
          <w:sz w:val="24"/>
          <w:szCs w:val="24"/>
        </w:rPr>
        <w:t xml:space="preserve"> </w:t>
      </w:r>
    </w:p>
    <w:p w14:paraId="37C8DC32">
      <w:pPr>
        <w:spacing w:line="360" w:lineRule="auto"/>
        <w:ind w:firstLine="2520" w:firstLineChars="1050"/>
        <w:rPr>
          <w:rFonts w:ascii="宋体" w:hAnsi="宋体" w:cs="仿宋_GB2312"/>
          <w:color w:val="auto"/>
          <w:sz w:val="24"/>
          <w:szCs w:val="24"/>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p>
    <w:bookmarkEnd w:id="153"/>
    <w:p w14:paraId="33855F51">
      <w:pPr>
        <w:pStyle w:val="3"/>
        <w:jc w:val="center"/>
        <w:rPr>
          <w:color w:val="auto"/>
        </w:rPr>
      </w:pPr>
      <w:bookmarkStart w:id="159" w:name="_Toc26541345"/>
      <w:bookmarkStart w:id="160" w:name="_Toc23258634"/>
      <w:bookmarkStart w:id="161" w:name="_Toc1106"/>
      <w:bookmarkStart w:id="162" w:name="_Toc528240840"/>
      <w:r>
        <w:rPr>
          <w:rFonts w:hint="eastAsia"/>
          <w:color w:val="auto"/>
        </w:rPr>
        <w:t>六 、</w:t>
      </w:r>
      <w:r>
        <w:rPr>
          <w:rFonts w:hint="eastAsia"/>
          <w:color w:val="auto"/>
          <w:lang w:val="en-US" w:eastAsia="zh-CN"/>
        </w:rPr>
        <w:t>供应商</w:t>
      </w:r>
      <w:r>
        <w:rPr>
          <w:rFonts w:hint="eastAsia"/>
          <w:color w:val="auto"/>
        </w:rPr>
        <w:t>承诺书</w:t>
      </w:r>
      <w:bookmarkEnd w:id="159"/>
      <w:bookmarkEnd w:id="160"/>
      <w:bookmarkEnd w:id="161"/>
      <w:bookmarkEnd w:id="162"/>
    </w:p>
    <w:p w14:paraId="5952F4B8">
      <w:pPr>
        <w:widowControl/>
        <w:spacing w:line="480" w:lineRule="exact"/>
        <w:jc w:val="center"/>
        <w:rPr>
          <w:rFonts w:ascii="宋体" w:hAnsi="宋体" w:cs="仿宋"/>
          <w:bCs/>
          <w:color w:val="auto"/>
          <w:kern w:val="0"/>
          <w:sz w:val="28"/>
          <w:szCs w:val="32"/>
        </w:rPr>
      </w:pPr>
      <w:r>
        <w:rPr>
          <w:rFonts w:hint="eastAsia" w:ascii="宋体" w:hAnsi="宋体" w:cs="仿宋"/>
          <w:bCs/>
          <w:color w:val="auto"/>
          <w:kern w:val="0"/>
          <w:sz w:val="28"/>
          <w:szCs w:val="32"/>
        </w:rPr>
        <w:t>政府采购供应商拒绝政府采购领域商业贿赂承诺书</w:t>
      </w:r>
    </w:p>
    <w:p w14:paraId="0C642C21">
      <w:pPr>
        <w:widowControl/>
        <w:spacing w:line="240" w:lineRule="exact"/>
        <w:ind w:firstLine="420" w:firstLineChars="200"/>
        <w:jc w:val="left"/>
        <w:rPr>
          <w:rFonts w:ascii="宋体" w:hAnsi="宋体" w:cs="仿宋"/>
          <w:bCs/>
          <w:color w:val="auto"/>
          <w:kern w:val="0"/>
          <w:szCs w:val="21"/>
        </w:rPr>
      </w:pPr>
    </w:p>
    <w:p w14:paraId="0E77A40C">
      <w:pPr>
        <w:widowControl/>
        <w:spacing w:line="440" w:lineRule="exact"/>
        <w:ind w:firstLine="480" w:firstLineChars="200"/>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rPr>
        <w:t xml:space="preserve">为响应党中央、国务院关于治理政府采购领域商业贿赂行为的号召，我单位在此庄严承诺： </w:t>
      </w:r>
    </w:p>
    <w:p w14:paraId="4776E8E1">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1.</w:t>
      </w:r>
      <w:r>
        <w:rPr>
          <w:rFonts w:hint="eastAsia" w:ascii="宋体" w:hAnsi="宋体" w:cs="仿宋"/>
          <w:bCs/>
          <w:color w:val="auto"/>
          <w:kern w:val="0"/>
          <w:sz w:val="24"/>
          <w:szCs w:val="28"/>
        </w:rPr>
        <w:t xml:space="preserve">在参与政府采购活动中遵纪守法、诚信经营、公平竞标。 </w:t>
      </w:r>
    </w:p>
    <w:p w14:paraId="54704F52">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2.</w:t>
      </w:r>
      <w:r>
        <w:rPr>
          <w:rFonts w:hint="eastAsia" w:ascii="宋体" w:hAnsi="宋体" w:cs="仿宋"/>
          <w:bCs/>
          <w:color w:val="auto"/>
          <w:kern w:val="0"/>
          <w:sz w:val="24"/>
          <w:szCs w:val="28"/>
        </w:rPr>
        <w:t xml:space="preserve">不向采购人、招标代理机构和政府采购评审专家进行任何形式的商业贿赂以谋取交易机会。 </w:t>
      </w:r>
    </w:p>
    <w:p w14:paraId="5DBCF455">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3.</w:t>
      </w:r>
      <w:r>
        <w:rPr>
          <w:rFonts w:hint="eastAsia" w:ascii="宋体" w:hAnsi="宋体" w:cs="仿宋"/>
          <w:bCs/>
          <w:color w:val="auto"/>
          <w:kern w:val="0"/>
          <w:sz w:val="24"/>
          <w:szCs w:val="28"/>
        </w:rPr>
        <w:t xml:space="preserve">不向政府采购招标代理机构和采购人提供虚假资质文件或采用虚假应标方式参与政府采购市场竞争并谋取成交、成交。 </w:t>
      </w:r>
    </w:p>
    <w:p w14:paraId="6EA3BA1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4.</w:t>
      </w:r>
      <w:r>
        <w:rPr>
          <w:rFonts w:hint="eastAsia" w:ascii="宋体" w:hAnsi="宋体" w:cs="仿宋"/>
          <w:bCs/>
          <w:color w:val="auto"/>
          <w:kern w:val="0"/>
          <w:sz w:val="24"/>
          <w:szCs w:val="28"/>
        </w:rPr>
        <w:t xml:space="preserve">不采取“围标、陪标”等商业欺诈手段获得政府采购定单。 </w:t>
      </w:r>
    </w:p>
    <w:p w14:paraId="04CD71F0">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5.</w:t>
      </w:r>
      <w:r>
        <w:rPr>
          <w:rFonts w:hint="eastAsia" w:ascii="宋体" w:hAnsi="宋体" w:cs="仿宋"/>
          <w:bCs/>
          <w:color w:val="auto"/>
          <w:kern w:val="0"/>
          <w:sz w:val="24"/>
          <w:szCs w:val="28"/>
        </w:rPr>
        <w:t>不采取不正当手段</w:t>
      </w:r>
      <w:r>
        <w:rPr>
          <w:rFonts w:hint="eastAsia" w:ascii="宋体" w:hAnsi="宋体" w:cs="仿宋"/>
          <w:bCs/>
          <w:color w:val="auto"/>
          <w:kern w:val="0"/>
          <w:sz w:val="24"/>
          <w:szCs w:val="28"/>
          <w:lang w:eastAsia="zh-CN"/>
        </w:rPr>
        <w:t>诋毁</w:t>
      </w:r>
      <w:r>
        <w:rPr>
          <w:rFonts w:hint="eastAsia" w:ascii="宋体" w:hAnsi="宋体" w:cs="仿宋"/>
          <w:bCs/>
          <w:color w:val="auto"/>
          <w:kern w:val="0"/>
          <w:sz w:val="24"/>
          <w:szCs w:val="28"/>
        </w:rPr>
        <w:t xml:space="preserve">、排挤其他供应商。 </w:t>
      </w:r>
    </w:p>
    <w:p w14:paraId="5FB7D50C">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6.不再提供</w:t>
      </w:r>
      <w:r>
        <w:rPr>
          <w:rFonts w:hint="eastAsia" w:ascii="宋体" w:hAnsi="宋体" w:cs="仿宋"/>
          <w:bCs/>
          <w:color w:val="auto"/>
          <w:kern w:val="0"/>
          <w:sz w:val="24"/>
          <w:szCs w:val="28"/>
        </w:rPr>
        <w:t xml:space="preserve">商品和服务时“偷梁换柱、以次充好”损害采购人的合法权益。 </w:t>
      </w:r>
    </w:p>
    <w:p w14:paraId="2A186C6A">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仿宋"/>
          <w:bCs/>
          <w:color w:val="auto"/>
          <w:kern w:val="0"/>
          <w:sz w:val="24"/>
          <w:szCs w:val="28"/>
          <w:lang w:eastAsia="zh-CN"/>
        </w:rPr>
      </w:pPr>
      <w:r>
        <w:rPr>
          <w:rFonts w:hint="eastAsia" w:ascii="宋体" w:hAnsi="宋体" w:cs="仿宋"/>
          <w:bCs/>
          <w:color w:val="auto"/>
          <w:kern w:val="0"/>
          <w:sz w:val="24"/>
          <w:szCs w:val="28"/>
          <w:lang w:eastAsia="zh-CN"/>
        </w:rPr>
        <w:t>7.</w:t>
      </w:r>
      <w:r>
        <w:rPr>
          <w:rFonts w:hint="eastAsia" w:ascii="宋体" w:hAnsi="宋体" w:cs="仿宋"/>
          <w:bCs/>
          <w:color w:val="auto"/>
          <w:kern w:val="0"/>
          <w:sz w:val="24"/>
          <w:szCs w:val="28"/>
        </w:rPr>
        <w:t>不与采购人、招标代理机构政府采购评审专家</w:t>
      </w:r>
      <w:r>
        <w:rPr>
          <w:rFonts w:hint="eastAsia" w:ascii="宋体" w:hAnsi="宋体" w:cs="仿宋"/>
          <w:bCs/>
          <w:color w:val="auto"/>
          <w:kern w:val="0"/>
          <w:sz w:val="24"/>
          <w:szCs w:val="28"/>
          <w:lang w:eastAsia="zh-CN"/>
        </w:rPr>
        <w:t>或其他</w:t>
      </w:r>
      <w:r>
        <w:rPr>
          <w:rFonts w:hint="eastAsia" w:ascii="宋体" w:hAnsi="宋体" w:cs="仿宋"/>
          <w:bCs/>
          <w:color w:val="auto"/>
          <w:kern w:val="0"/>
          <w:sz w:val="24"/>
          <w:szCs w:val="28"/>
        </w:rPr>
        <w:t xml:space="preserve">供应商恶意串通，进行质疑和投诉，维护政府采购市场秩序。 </w:t>
      </w:r>
    </w:p>
    <w:p w14:paraId="74A7D4EB">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cs="仿宋"/>
          <w:bCs/>
          <w:color w:val="auto"/>
          <w:kern w:val="0"/>
          <w:sz w:val="24"/>
          <w:szCs w:val="28"/>
        </w:rPr>
      </w:pPr>
      <w:r>
        <w:rPr>
          <w:rFonts w:hint="eastAsia" w:ascii="宋体" w:hAnsi="宋体" w:cs="仿宋"/>
          <w:bCs/>
          <w:color w:val="auto"/>
          <w:kern w:val="0"/>
          <w:sz w:val="24"/>
          <w:szCs w:val="28"/>
          <w:lang w:eastAsia="zh-CN"/>
        </w:rPr>
        <w:t>8.</w:t>
      </w:r>
      <w:r>
        <w:rPr>
          <w:rFonts w:hint="eastAsia" w:ascii="宋体" w:hAnsi="宋体" w:cs="仿宋"/>
          <w:bCs/>
          <w:color w:val="auto"/>
          <w:kern w:val="0"/>
          <w:sz w:val="24"/>
          <w:szCs w:val="28"/>
        </w:rPr>
        <w:t xml:space="preserve">尊重和接受政府采购监督管理部门的监督和政府招标代理机构招标要求，承担因违约行为给采购人造成的损失。 </w:t>
      </w:r>
    </w:p>
    <w:p w14:paraId="7CCE2B9F">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ascii="宋体" w:hAnsi="宋体" w:cs="仿宋"/>
          <w:bCs/>
          <w:color w:val="auto"/>
          <w:kern w:val="0"/>
          <w:sz w:val="22"/>
          <w:szCs w:val="24"/>
        </w:rPr>
      </w:pPr>
      <w:r>
        <w:rPr>
          <w:rFonts w:hint="eastAsia" w:ascii="宋体" w:hAnsi="宋体" w:cs="仿宋"/>
          <w:bCs/>
          <w:color w:val="auto"/>
          <w:kern w:val="0"/>
          <w:sz w:val="24"/>
          <w:szCs w:val="28"/>
        </w:rPr>
        <w:t>9</w:t>
      </w:r>
      <w:r>
        <w:rPr>
          <w:rFonts w:hint="eastAsia" w:ascii="宋体" w:hAnsi="宋体" w:cs="仿宋"/>
          <w:bCs/>
          <w:color w:val="auto"/>
          <w:kern w:val="0"/>
          <w:sz w:val="24"/>
          <w:szCs w:val="28"/>
          <w:lang w:val="en-US" w:eastAsia="zh-CN"/>
        </w:rPr>
        <w:t>.</w:t>
      </w:r>
      <w:r>
        <w:rPr>
          <w:rFonts w:hint="eastAsia" w:ascii="宋体" w:hAnsi="宋体" w:cs="仿宋"/>
          <w:bCs/>
          <w:color w:val="auto"/>
          <w:kern w:val="0"/>
          <w:sz w:val="24"/>
          <w:szCs w:val="28"/>
        </w:rPr>
        <w:t xml:space="preserve">不发生其他有悖于政府采购公开、公平、公正和诚信原则的行为。 </w:t>
      </w:r>
    </w:p>
    <w:p w14:paraId="0A421E1C">
      <w:pPr>
        <w:widowControl/>
        <w:spacing w:line="440" w:lineRule="exact"/>
        <w:ind w:firstLine="960" w:firstLineChars="400"/>
        <w:rPr>
          <w:rFonts w:ascii="宋体" w:hAnsi="宋体" w:cs="仿宋"/>
          <w:bCs/>
          <w:color w:val="auto"/>
          <w:kern w:val="0"/>
          <w:sz w:val="24"/>
          <w:szCs w:val="28"/>
        </w:rPr>
      </w:pPr>
    </w:p>
    <w:p w14:paraId="632B9E7D">
      <w:pPr>
        <w:widowControl/>
        <w:spacing w:line="440" w:lineRule="exact"/>
        <w:ind w:firstLine="960" w:firstLineChars="400"/>
        <w:rPr>
          <w:rFonts w:ascii="宋体" w:hAnsi="宋体" w:cs="仿宋"/>
          <w:bCs/>
          <w:color w:val="auto"/>
          <w:kern w:val="0"/>
          <w:sz w:val="24"/>
          <w:szCs w:val="28"/>
        </w:rPr>
      </w:pPr>
      <w:r>
        <w:rPr>
          <w:rFonts w:hint="eastAsia" w:ascii="宋体" w:hAnsi="宋体" w:cs="仿宋"/>
          <w:bCs/>
          <w:color w:val="auto"/>
          <w:kern w:val="0"/>
          <w:sz w:val="24"/>
          <w:szCs w:val="28"/>
        </w:rPr>
        <w:t>承诺单位：</w:t>
      </w:r>
      <w:r>
        <w:rPr>
          <w:rFonts w:hint="eastAsia" w:ascii="宋体" w:hAnsi="宋体" w:cs="仿宋"/>
          <w:bCs/>
          <w:color w:val="auto"/>
          <w:kern w:val="0"/>
          <w:sz w:val="24"/>
          <w:szCs w:val="28"/>
          <w:u w:val="single"/>
        </w:rPr>
        <w:t>　　                 　</w:t>
      </w:r>
      <w:r>
        <w:rPr>
          <w:rFonts w:hint="eastAsia" w:ascii="宋体" w:hAnsi="宋体" w:cs="仿宋"/>
          <w:bCs/>
          <w:color w:val="auto"/>
          <w:kern w:val="0"/>
          <w:sz w:val="24"/>
          <w:szCs w:val="28"/>
        </w:rPr>
        <w:t>（盖章）</w:t>
      </w:r>
    </w:p>
    <w:p w14:paraId="526DAA7C">
      <w:pPr>
        <w:widowControl/>
        <w:spacing w:line="440" w:lineRule="exact"/>
        <w:ind w:firstLine="480" w:firstLineChars="200"/>
        <w:rPr>
          <w:rFonts w:ascii="宋体" w:hAnsi="宋体" w:cs="仿宋"/>
          <w:bCs/>
          <w:color w:val="auto"/>
          <w:kern w:val="0"/>
          <w:sz w:val="24"/>
          <w:szCs w:val="28"/>
        </w:rPr>
      </w:pPr>
      <w:r>
        <w:rPr>
          <w:rFonts w:hint="eastAsia" w:ascii="宋体" w:hAnsi="宋体" w:cs="仿宋"/>
          <w:bCs/>
          <w:color w:val="auto"/>
          <w:kern w:val="0"/>
          <w:sz w:val="24"/>
          <w:szCs w:val="28"/>
        </w:rPr>
        <w:t>  全权代表：</w:t>
      </w:r>
      <w:r>
        <w:rPr>
          <w:rFonts w:hint="eastAsia" w:ascii="宋体" w:hAnsi="宋体" w:cs="仿宋"/>
          <w:bCs/>
          <w:color w:val="auto"/>
          <w:kern w:val="0"/>
          <w:sz w:val="24"/>
          <w:szCs w:val="28"/>
          <w:u w:val="single"/>
        </w:rPr>
        <w:t>　　　　　     　　　　</w:t>
      </w:r>
      <w:r>
        <w:rPr>
          <w:rFonts w:hint="eastAsia" w:ascii="宋体" w:hAnsi="宋体" w:cs="仿宋"/>
          <w:bCs/>
          <w:color w:val="auto"/>
          <w:kern w:val="0"/>
          <w:sz w:val="24"/>
          <w:szCs w:val="28"/>
        </w:rPr>
        <w:t xml:space="preserve">（签字） </w:t>
      </w:r>
    </w:p>
    <w:p w14:paraId="74E90D7D">
      <w:pPr>
        <w:widowControl/>
        <w:spacing w:line="520" w:lineRule="exact"/>
        <w:ind w:firstLine="480" w:firstLineChars="200"/>
        <w:rPr>
          <w:rFonts w:ascii="宋体" w:hAnsi="宋体" w:cs="仿宋"/>
          <w:bCs/>
          <w:color w:val="auto"/>
          <w:kern w:val="0"/>
          <w:sz w:val="24"/>
          <w:szCs w:val="28"/>
          <w:u w:val="single"/>
        </w:rPr>
      </w:pPr>
      <w:r>
        <w:rPr>
          <w:rFonts w:hint="eastAsia" w:ascii="宋体" w:hAnsi="宋体" w:cs="仿宋"/>
          <w:bCs/>
          <w:color w:val="auto"/>
          <w:kern w:val="0"/>
          <w:sz w:val="24"/>
          <w:szCs w:val="28"/>
        </w:rPr>
        <w:t xml:space="preserve">    地　　址：</w:t>
      </w:r>
      <w:r>
        <w:rPr>
          <w:rFonts w:hint="eastAsia" w:ascii="宋体" w:hAnsi="宋体" w:cs="仿宋"/>
          <w:bCs/>
          <w:color w:val="auto"/>
          <w:kern w:val="0"/>
          <w:sz w:val="24"/>
          <w:szCs w:val="28"/>
          <w:u w:val="single"/>
        </w:rPr>
        <w:t xml:space="preserve">　　　　　     　　　　                              </w:t>
      </w:r>
    </w:p>
    <w:p w14:paraId="29BCBD82">
      <w:pPr>
        <w:widowControl/>
        <w:spacing w:line="520" w:lineRule="exact"/>
        <w:ind w:firstLine="480" w:firstLineChars="200"/>
        <w:rPr>
          <w:rFonts w:ascii="宋体" w:hAnsi="宋体" w:cs="仿宋"/>
          <w:bCs/>
          <w:color w:val="auto"/>
          <w:kern w:val="0"/>
          <w:sz w:val="24"/>
          <w:szCs w:val="28"/>
        </w:rPr>
      </w:pPr>
      <w:r>
        <w:rPr>
          <w:rFonts w:hint="eastAsia" w:ascii="宋体" w:hAnsi="宋体" w:cs="仿宋"/>
          <w:bCs/>
          <w:color w:val="auto"/>
          <w:kern w:val="0"/>
          <w:sz w:val="24"/>
          <w:szCs w:val="28"/>
        </w:rPr>
        <w:t xml:space="preserve">    邮    编：</w:t>
      </w:r>
      <w:r>
        <w:rPr>
          <w:rFonts w:hint="eastAsia" w:ascii="宋体" w:hAnsi="宋体" w:cs="仿宋"/>
          <w:bCs/>
          <w:color w:val="auto"/>
          <w:kern w:val="0"/>
          <w:sz w:val="24"/>
          <w:szCs w:val="28"/>
          <w:u w:val="single"/>
        </w:rPr>
        <w:t xml:space="preserve">　　                    </w:t>
      </w:r>
      <w:r>
        <w:rPr>
          <w:rFonts w:hint="eastAsia" w:ascii="宋体" w:hAnsi="宋体" w:cs="仿宋"/>
          <w:bCs/>
          <w:color w:val="auto"/>
          <w:kern w:val="0"/>
          <w:sz w:val="24"/>
          <w:szCs w:val="28"/>
        </w:rPr>
        <w:t>   </w:t>
      </w:r>
    </w:p>
    <w:p w14:paraId="5D1124DD">
      <w:pPr>
        <w:widowControl/>
        <w:spacing w:line="520" w:lineRule="exact"/>
        <w:ind w:firstLine="720" w:firstLineChars="300"/>
        <w:rPr>
          <w:rFonts w:ascii="宋体" w:hAnsi="宋体" w:cs="仿宋"/>
          <w:bCs/>
          <w:color w:val="auto"/>
          <w:kern w:val="0"/>
          <w:sz w:val="24"/>
          <w:szCs w:val="28"/>
        </w:rPr>
      </w:pPr>
      <w:r>
        <w:rPr>
          <w:rFonts w:hint="eastAsia" w:ascii="宋体" w:hAnsi="宋体" w:cs="仿宋"/>
          <w:bCs/>
          <w:color w:val="auto"/>
          <w:kern w:val="0"/>
          <w:sz w:val="24"/>
          <w:szCs w:val="28"/>
        </w:rPr>
        <w:t> 电　　话：</w:t>
      </w:r>
      <w:r>
        <w:rPr>
          <w:rFonts w:hint="eastAsia" w:ascii="宋体" w:hAnsi="宋体" w:cs="仿宋"/>
          <w:bCs/>
          <w:color w:val="auto"/>
          <w:kern w:val="0"/>
          <w:sz w:val="24"/>
          <w:szCs w:val="28"/>
          <w:u w:val="single"/>
        </w:rPr>
        <w:t>　　　                　</w:t>
      </w:r>
      <w:r>
        <w:rPr>
          <w:rFonts w:hint="eastAsia" w:ascii="宋体" w:hAnsi="宋体" w:cs="仿宋"/>
          <w:bCs/>
          <w:color w:val="auto"/>
          <w:kern w:val="0"/>
          <w:sz w:val="24"/>
          <w:szCs w:val="28"/>
        </w:rPr>
        <w:t xml:space="preserve">　　 </w:t>
      </w:r>
    </w:p>
    <w:p w14:paraId="7DAD7EAE">
      <w:pPr>
        <w:widowControl/>
        <w:spacing w:line="340" w:lineRule="exact"/>
        <w:rPr>
          <w:rFonts w:ascii="宋体" w:hAnsi="宋体" w:cs="仿宋"/>
          <w:bCs/>
          <w:color w:val="auto"/>
          <w:kern w:val="0"/>
          <w:sz w:val="24"/>
          <w:szCs w:val="28"/>
        </w:rPr>
      </w:pPr>
    </w:p>
    <w:p w14:paraId="20E6D9B5">
      <w:pPr>
        <w:widowControl/>
        <w:spacing w:line="340" w:lineRule="exact"/>
        <w:ind w:firstLine="4920" w:firstLineChars="2050"/>
        <w:rPr>
          <w:rFonts w:ascii="宋体" w:hAnsi="宋体" w:cs="仿宋"/>
          <w:bCs/>
          <w:color w:val="auto"/>
          <w:sz w:val="36"/>
          <w:szCs w:val="40"/>
        </w:rPr>
      </w:pPr>
      <w:r>
        <w:rPr>
          <w:rFonts w:hint="eastAsia" w:ascii="宋体" w:hAnsi="宋体" w:cs="仿宋"/>
          <w:bCs/>
          <w:color w:val="auto"/>
          <w:kern w:val="0"/>
          <w:sz w:val="24"/>
          <w:szCs w:val="28"/>
        </w:rPr>
        <w:t>年　　月　　日</w:t>
      </w:r>
    </w:p>
    <w:p w14:paraId="03E6CD0C">
      <w:pPr>
        <w:widowControl/>
        <w:spacing w:line="640" w:lineRule="exact"/>
        <w:jc w:val="center"/>
        <w:rPr>
          <w:rFonts w:ascii="宋体" w:hAnsi="宋体" w:cs="仿宋"/>
          <w:bCs/>
          <w:color w:val="auto"/>
          <w:sz w:val="36"/>
          <w:szCs w:val="40"/>
        </w:rPr>
      </w:pPr>
    </w:p>
    <w:p w14:paraId="1D521127">
      <w:pPr>
        <w:widowControl/>
        <w:tabs>
          <w:tab w:val="left" w:pos="3930"/>
        </w:tabs>
        <w:spacing w:line="400" w:lineRule="exact"/>
        <w:jc w:val="left"/>
        <w:rPr>
          <w:rFonts w:ascii="宋体" w:hAnsi="宋体" w:cs="仿宋"/>
          <w:bCs/>
          <w:color w:val="auto"/>
          <w:sz w:val="40"/>
          <w:szCs w:val="40"/>
        </w:rPr>
      </w:pPr>
      <w:r>
        <w:rPr>
          <w:rFonts w:hint="eastAsia" w:ascii="宋体" w:hAnsi="宋体" w:cs="仿宋"/>
          <w:bCs/>
          <w:color w:val="auto"/>
          <w:sz w:val="40"/>
          <w:szCs w:val="40"/>
        </w:rPr>
        <w:tab/>
      </w:r>
    </w:p>
    <w:p w14:paraId="17FF188C">
      <w:pPr>
        <w:widowControl/>
        <w:shd w:val="clear" w:color="auto" w:fill="FFFFFF"/>
        <w:spacing w:before="100" w:beforeAutospacing="1" w:after="100" w:afterAutospacing="1" w:line="360" w:lineRule="atLeast"/>
        <w:jc w:val="center"/>
        <w:rPr>
          <w:rFonts w:ascii="宋体" w:hAnsi="宋体" w:cs="仿宋"/>
          <w:bCs/>
          <w:color w:val="auto"/>
          <w:kern w:val="0"/>
          <w:sz w:val="32"/>
          <w:szCs w:val="32"/>
        </w:rPr>
      </w:pPr>
    </w:p>
    <w:p w14:paraId="75F54DB8">
      <w:pPr>
        <w:widowControl/>
        <w:shd w:val="clear" w:color="auto" w:fill="FFFFFF"/>
        <w:spacing w:before="100" w:beforeAutospacing="1" w:after="100" w:afterAutospacing="1" w:line="400" w:lineRule="exact"/>
        <w:jc w:val="center"/>
        <w:rPr>
          <w:rFonts w:ascii="宋体" w:hAnsi="宋体" w:cs="仿宋"/>
          <w:bCs/>
          <w:color w:val="auto"/>
          <w:kern w:val="0"/>
          <w:sz w:val="28"/>
          <w:szCs w:val="28"/>
        </w:rPr>
      </w:pPr>
      <w:r>
        <w:rPr>
          <w:rFonts w:hint="eastAsia" w:ascii="宋体" w:hAnsi="宋体" w:cs="仿宋"/>
          <w:bCs/>
          <w:color w:val="auto"/>
          <w:kern w:val="0"/>
          <w:sz w:val="28"/>
          <w:szCs w:val="28"/>
        </w:rPr>
        <w:t>承诺书Ⅱ</w:t>
      </w:r>
    </w:p>
    <w:p w14:paraId="53C88D72">
      <w:pPr>
        <w:widowControl/>
        <w:spacing w:line="440" w:lineRule="exact"/>
        <w:rPr>
          <w:rFonts w:ascii="宋体" w:hAnsi="宋体"/>
          <w:color w:val="auto"/>
          <w:sz w:val="24"/>
          <w:szCs w:val="28"/>
        </w:rPr>
      </w:pPr>
      <w:r>
        <w:rPr>
          <w:rFonts w:hint="eastAsia" w:ascii="宋体" w:hAnsi="宋体"/>
          <w:color w:val="auto"/>
          <w:sz w:val="24"/>
          <w:szCs w:val="28"/>
        </w:rPr>
        <w:t>致：安康尚昊招标代理有限公司</w:t>
      </w:r>
    </w:p>
    <w:p w14:paraId="1F6BA59B">
      <w:pPr>
        <w:widowControl/>
        <w:spacing w:line="440" w:lineRule="exact"/>
        <w:ind w:firstLine="472" w:firstLineChars="197"/>
        <w:rPr>
          <w:rFonts w:ascii="宋体" w:hAnsi="宋体"/>
          <w:color w:val="auto"/>
          <w:sz w:val="24"/>
          <w:szCs w:val="28"/>
        </w:rPr>
      </w:pPr>
      <w:r>
        <w:rPr>
          <w:rFonts w:hint="eastAsia" w:ascii="宋体" w:hAnsi="宋体"/>
          <w:color w:val="auto"/>
          <w:sz w:val="24"/>
          <w:szCs w:val="28"/>
        </w:rPr>
        <w:t>为了诚实、客观、有序地参与政府采购活动，愿就以下内容作出承诺：</w:t>
      </w:r>
    </w:p>
    <w:p w14:paraId="17D5F3C1">
      <w:pPr>
        <w:widowControl/>
        <w:spacing w:line="440" w:lineRule="exact"/>
        <w:ind w:firstLine="472" w:firstLineChars="197"/>
        <w:rPr>
          <w:rFonts w:ascii="宋体" w:hAnsi="宋体"/>
          <w:color w:val="auto"/>
          <w:sz w:val="24"/>
          <w:szCs w:val="28"/>
        </w:rPr>
      </w:pPr>
      <w:r>
        <w:rPr>
          <w:rFonts w:hint="eastAsia" w:ascii="宋体" w:hAnsi="宋体"/>
          <w:color w:val="auto"/>
          <w:sz w:val="24"/>
          <w:szCs w:val="28"/>
          <w:lang w:eastAsia="zh-CN"/>
        </w:rPr>
        <w:t>1.</w:t>
      </w:r>
      <w:r>
        <w:rPr>
          <w:rFonts w:hint="eastAsia" w:ascii="宋体" w:hAnsi="宋体"/>
          <w:color w:val="auto"/>
          <w:sz w:val="24"/>
          <w:szCs w:val="28"/>
        </w:rPr>
        <w:t>参加采购代理机构组织的政府采购活动时，严格按照招标文件的规定和要求提供所需的相关材料，并对所提供的各类资料的真实性负责，不虚假应标，不虚列业绩。</w:t>
      </w:r>
    </w:p>
    <w:p w14:paraId="5791FB5C">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2.</w:t>
      </w:r>
      <w:r>
        <w:rPr>
          <w:rFonts w:hint="eastAsia" w:ascii="宋体" w:hAnsi="宋体" w:cs="仿宋"/>
          <w:bCs/>
          <w:color w:val="auto"/>
          <w:kern w:val="0"/>
          <w:sz w:val="24"/>
          <w:szCs w:val="28"/>
        </w:rPr>
        <w:t>尊重参与政府采购活动各相关方的合法行为，接受政府采购活动依法形成的意见、结果。</w:t>
      </w:r>
    </w:p>
    <w:p w14:paraId="724EB75A">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3.</w:t>
      </w:r>
      <w:r>
        <w:rPr>
          <w:rFonts w:hint="eastAsia" w:ascii="宋体" w:hAnsi="宋体" w:cs="仿宋"/>
          <w:bCs/>
          <w:color w:val="auto"/>
          <w:kern w:val="0"/>
          <w:sz w:val="24"/>
          <w:szCs w:val="28"/>
        </w:rPr>
        <w:t>依法参加政府采购活动，不围标、串标，维护市场秩序。近三年因项目质量问题的不法行为记录为</w:t>
      </w:r>
      <w:r>
        <w:rPr>
          <w:rFonts w:hint="eastAsia" w:ascii="宋体" w:hAnsi="宋体" w:cs="仿宋"/>
          <w:bCs/>
          <w:color w:val="auto"/>
          <w:kern w:val="0"/>
          <w:sz w:val="24"/>
          <w:szCs w:val="28"/>
          <w:u w:val="single"/>
        </w:rPr>
        <w:t>   </w:t>
      </w:r>
      <w:r>
        <w:rPr>
          <w:rFonts w:hint="eastAsia" w:ascii="宋体" w:hAnsi="宋体" w:cs="仿宋"/>
          <w:bCs/>
          <w:color w:val="auto"/>
          <w:kern w:val="0"/>
          <w:sz w:val="24"/>
          <w:szCs w:val="28"/>
        </w:rPr>
        <w:t>次（没有填零），如有隐瞒实情，愿承担一切责任及后果。</w:t>
      </w:r>
    </w:p>
    <w:p w14:paraId="1407D9A4">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4.</w:t>
      </w:r>
      <w:r>
        <w:rPr>
          <w:rFonts w:hint="eastAsia" w:ascii="宋体" w:hAnsi="宋体" w:cs="仿宋"/>
          <w:bCs/>
          <w:color w:val="auto"/>
          <w:kern w:val="0"/>
          <w:sz w:val="24"/>
          <w:szCs w:val="28"/>
        </w:rPr>
        <w:t>作为参加贵公司组织的采购项目的响应单位，本公司承诺：在参加本项目招标之前不存在被依法禁止经营行为、财产被接管或冻结的情况，如有隐瞒实情，愿承担一切责任及后果。</w:t>
      </w:r>
    </w:p>
    <w:p w14:paraId="28D38CA4">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5.</w:t>
      </w:r>
      <w:r>
        <w:rPr>
          <w:rFonts w:hint="eastAsia" w:ascii="宋体" w:hAnsi="宋体" w:cs="仿宋"/>
          <w:bCs/>
          <w:color w:val="auto"/>
          <w:kern w:val="0"/>
          <w:sz w:val="24"/>
          <w:szCs w:val="28"/>
        </w:rPr>
        <w:t>近三年受到有关行政主管部门的行政处理、不良行为记录为</w:t>
      </w:r>
      <w:r>
        <w:rPr>
          <w:rFonts w:hint="eastAsia" w:ascii="宋体" w:hAnsi="宋体" w:cs="仿宋"/>
          <w:bCs/>
          <w:color w:val="auto"/>
          <w:kern w:val="0"/>
          <w:sz w:val="24"/>
          <w:szCs w:val="28"/>
          <w:u w:val="single"/>
        </w:rPr>
        <w:t>    </w:t>
      </w:r>
      <w:r>
        <w:rPr>
          <w:rFonts w:hint="eastAsia" w:ascii="宋体" w:hAnsi="宋体" w:cs="仿宋"/>
          <w:bCs/>
          <w:color w:val="auto"/>
          <w:kern w:val="0"/>
          <w:sz w:val="24"/>
          <w:szCs w:val="28"/>
        </w:rPr>
        <w:t>次（没有填零），如有隐瞒实情，愿承担一切责任及后果。</w:t>
      </w:r>
    </w:p>
    <w:p w14:paraId="25B8F078">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6.</w:t>
      </w:r>
      <w:r>
        <w:rPr>
          <w:rFonts w:hint="eastAsia" w:ascii="宋体" w:hAnsi="宋体" w:cs="仿宋"/>
          <w:bCs/>
          <w:color w:val="auto"/>
          <w:kern w:val="0"/>
          <w:sz w:val="24"/>
          <w:szCs w:val="28"/>
        </w:rPr>
        <w:t>参加本次招标提交的所有资质证明文件及业绩证明是真实的、有效的，如有隐瞒实情，愿承担一切责任及后果。</w:t>
      </w:r>
    </w:p>
    <w:p w14:paraId="0E032B00">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7.</w:t>
      </w:r>
      <w:r>
        <w:rPr>
          <w:rFonts w:hint="eastAsia" w:ascii="宋体" w:hAnsi="宋体" w:cs="仿宋"/>
          <w:bCs/>
          <w:color w:val="auto"/>
          <w:kern w:val="0"/>
          <w:sz w:val="24"/>
          <w:szCs w:val="28"/>
        </w:rPr>
        <w:t>积极推动政府采购活动健康开展，对采购活动有疑问、异议时，按法律规定的程序实名（加盖单位章和法定代表人签名）反映情况，不恶意中伤、无事生非，以和谐、平等的心态参加政府采购活动。</w:t>
      </w:r>
    </w:p>
    <w:p w14:paraId="27A00523">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lang w:eastAsia="zh-CN"/>
        </w:rPr>
        <w:t>8.</w:t>
      </w:r>
      <w:r>
        <w:rPr>
          <w:rFonts w:hint="eastAsia" w:ascii="宋体" w:hAnsi="宋体" w:cs="仿宋"/>
          <w:bCs/>
          <w:color w:val="auto"/>
          <w:kern w:val="0"/>
          <w:sz w:val="24"/>
          <w:szCs w:val="28"/>
        </w:rPr>
        <w:t>认真履行成交单位应承担的责任和义务，全面执行采购合同规定的各项内容，保质保量地按时提供采购物品。</w:t>
      </w:r>
    </w:p>
    <w:p w14:paraId="55A88E91">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rPr>
        <w:t>若本企业（单位）发生有悖于上述承诺的行为，愿意接受《中华人民共和国政府采购法》和《中华人民共和国政府采购法实施条例》中对响应单位的相关处理。</w:t>
      </w:r>
    </w:p>
    <w:p w14:paraId="1CB39B84">
      <w:pPr>
        <w:widowControl/>
        <w:shd w:val="clear" w:color="auto" w:fill="FFFFFF"/>
        <w:spacing w:line="440" w:lineRule="exact"/>
        <w:ind w:firstLine="480"/>
        <w:rPr>
          <w:rFonts w:ascii="宋体" w:hAnsi="宋体" w:cs="仿宋"/>
          <w:bCs/>
          <w:color w:val="auto"/>
          <w:kern w:val="0"/>
          <w:sz w:val="24"/>
          <w:szCs w:val="28"/>
        </w:rPr>
      </w:pPr>
      <w:r>
        <w:rPr>
          <w:rFonts w:hint="eastAsia" w:ascii="宋体" w:hAnsi="宋体" w:cs="仿宋"/>
          <w:bCs/>
          <w:color w:val="auto"/>
          <w:kern w:val="0"/>
          <w:sz w:val="24"/>
          <w:szCs w:val="28"/>
        </w:rPr>
        <w:t>本承诺是采购项目</w:t>
      </w:r>
      <w:r>
        <w:rPr>
          <w:rFonts w:hint="eastAsia" w:ascii="宋体" w:hAnsi="宋体" w:cs="仿宋"/>
          <w:bCs/>
          <w:color w:val="auto"/>
          <w:kern w:val="0"/>
          <w:sz w:val="24"/>
          <w:szCs w:val="28"/>
          <w:lang w:eastAsia="zh-CN"/>
        </w:rPr>
        <w:t>投标文件</w:t>
      </w:r>
      <w:r>
        <w:rPr>
          <w:rFonts w:hint="eastAsia" w:ascii="宋体" w:hAnsi="宋体" w:cs="仿宋"/>
          <w:bCs/>
          <w:color w:val="auto"/>
          <w:kern w:val="0"/>
          <w:sz w:val="24"/>
          <w:szCs w:val="28"/>
        </w:rPr>
        <w:t>的组成部分。</w:t>
      </w:r>
    </w:p>
    <w:p w14:paraId="16ED39B4">
      <w:pPr>
        <w:widowControl/>
        <w:shd w:val="clear" w:color="auto" w:fill="FFFFFF"/>
        <w:spacing w:line="440" w:lineRule="exact"/>
        <w:ind w:firstLine="2152" w:firstLineChars="897"/>
        <w:jc w:val="right"/>
        <w:rPr>
          <w:rFonts w:hint="eastAsia" w:ascii="宋体" w:hAnsi="宋体" w:cs="仿宋"/>
          <w:bCs/>
          <w:color w:val="auto"/>
          <w:kern w:val="0"/>
          <w:sz w:val="24"/>
          <w:szCs w:val="28"/>
        </w:rPr>
      </w:pPr>
    </w:p>
    <w:p w14:paraId="59840F17">
      <w:pPr>
        <w:widowControl/>
        <w:shd w:val="clear" w:color="auto" w:fill="FFFFFF"/>
        <w:spacing w:line="440" w:lineRule="exact"/>
        <w:ind w:firstLine="2152" w:firstLineChars="897"/>
        <w:jc w:val="right"/>
        <w:rPr>
          <w:rFonts w:ascii="宋体" w:hAnsi="宋体" w:cs="仿宋"/>
          <w:bCs/>
          <w:color w:val="auto"/>
          <w:kern w:val="0"/>
          <w:sz w:val="24"/>
          <w:szCs w:val="28"/>
        </w:rPr>
      </w:pPr>
      <w:r>
        <w:rPr>
          <w:rFonts w:hint="eastAsia" w:ascii="宋体" w:hAnsi="宋体" w:cs="仿宋"/>
          <w:bCs/>
          <w:color w:val="auto"/>
          <w:kern w:val="0"/>
          <w:sz w:val="24"/>
          <w:szCs w:val="28"/>
        </w:rPr>
        <w:t>承诺单位：</w:t>
      </w:r>
      <w:r>
        <w:rPr>
          <w:rFonts w:hint="eastAsia" w:ascii="宋体" w:hAnsi="宋体" w:cs="仿宋"/>
          <w:bCs/>
          <w:color w:val="auto"/>
          <w:kern w:val="0"/>
          <w:sz w:val="24"/>
          <w:szCs w:val="28"/>
          <w:u w:val="single"/>
        </w:rPr>
        <w:t xml:space="preserve">                    </w:t>
      </w:r>
      <w:r>
        <w:rPr>
          <w:rFonts w:hint="eastAsia" w:ascii="宋体" w:hAnsi="宋体" w:cs="仿宋"/>
          <w:bCs/>
          <w:color w:val="auto"/>
          <w:kern w:val="0"/>
          <w:sz w:val="24"/>
          <w:szCs w:val="28"/>
        </w:rPr>
        <w:t>（盖章）</w:t>
      </w:r>
    </w:p>
    <w:p w14:paraId="43C16270">
      <w:pPr>
        <w:widowControl/>
        <w:shd w:val="clear" w:color="auto" w:fill="FFFFFF"/>
        <w:spacing w:line="440" w:lineRule="exact"/>
        <w:ind w:firstLine="2152" w:firstLineChars="897"/>
        <w:jc w:val="right"/>
        <w:rPr>
          <w:rFonts w:ascii="宋体" w:hAnsi="宋体" w:cs="仿宋"/>
          <w:bCs/>
          <w:color w:val="auto"/>
          <w:kern w:val="0"/>
          <w:sz w:val="24"/>
          <w:szCs w:val="28"/>
        </w:rPr>
      </w:pPr>
      <w:r>
        <w:rPr>
          <w:rFonts w:hint="eastAsia" w:ascii="宋体" w:hAnsi="宋体" w:cs="仿宋"/>
          <w:bCs/>
          <w:color w:val="auto"/>
          <w:kern w:val="0"/>
          <w:sz w:val="24"/>
          <w:szCs w:val="28"/>
        </w:rPr>
        <w:t>全权代表：</w:t>
      </w:r>
      <w:r>
        <w:rPr>
          <w:rFonts w:hint="eastAsia" w:ascii="宋体" w:hAnsi="宋体" w:cs="仿宋"/>
          <w:bCs/>
          <w:color w:val="auto"/>
          <w:kern w:val="0"/>
          <w:sz w:val="24"/>
          <w:szCs w:val="28"/>
          <w:u w:val="single"/>
        </w:rPr>
        <w:t xml:space="preserve">                    </w:t>
      </w:r>
      <w:r>
        <w:rPr>
          <w:rFonts w:hint="eastAsia" w:ascii="宋体" w:hAnsi="宋体" w:cs="仿宋"/>
          <w:bCs/>
          <w:color w:val="auto"/>
          <w:kern w:val="0"/>
          <w:sz w:val="24"/>
          <w:szCs w:val="28"/>
        </w:rPr>
        <w:t>（签字）</w:t>
      </w:r>
    </w:p>
    <w:p w14:paraId="5E049C6D">
      <w:pPr>
        <w:widowControl/>
        <w:shd w:val="clear" w:color="auto" w:fill="FFFFFF"/>
        <w:spacing w:line="440" w:lineRule="exact"/>
        <w:ind w:right="480" w:firstLine="2152" w:firstLineChars="897"/>
        <w:jc w:val="center"/>
        <w:rPr>
          <w:rFonts w:ascii="宋体" w:hAnsi="宋体" w:cs="仿宋"/>
          <w:bCs/>
          <w:color w:val="auto"/>
          <w:sz w:val="24"/>
          <w:szCs w:val="28"/>
        </w:rPr>
      </w:pPr>
      <w:r>
        <w:rPr>
          <w:rFonts w:hint="eastAsia" w:ascii="宋体" w:hAnsi="宋体" w:cs="仿宋"/>
          <w:bCs/>
          <w:color w:val="auto"/>
          <w:kern w:val="0"/>
          <w:sz w:val="24"/>
          <w:szCs w:val="28"/>
        </w:rPr>
        <w:t xml:space="preserve">                 日    期：</w:t>
      </w:r>
      <w:r>
        <w:rPr>
          <w:rFonts w:hint="eastAsia" w:ascii="宋体" w:hAnsi="宋体" w:cs="仿宋"/>
          <w:bCs/>
          <w:color w:val="auto"/>
          <w:kern w:val="0"/>
          <w:sz w:val="24"/>
          <w:szCs w:val="28"/>
          <w:u w:val="single"/>
        </w:rPr>
        <w:t xml:space="preserve">      </w:t>
      </w:r>
      <w:r>
        <w:rPr>
          <w:rFonts w:hint="eastAsia" w:ascii="宋体" w:hAnsi="宋体" w:cs="仿宋"/>
          <w:bCs/>
          <w:color w:val="auto"/>
          <w:kern w:val="0"/>
          <w:sz w:val="24"/>
          <w:szCs w:val="28"/>
        </w:rPr>
        <w:t>年</w:t>
      </w:r>
      <w:r>
        <w:rPr>
          <w:rFonts w:hint="eastAsia" w:ascii="宋体" w:hAnsi="宋体" w:cs="仿宋"/>
          <w:bCs/>
          <w:color w:val="auto"/>
          <w:kern w:val="0"/>
          <w:sz w:val="24"/>
          <w:szCs w:val="28"/>
          <w:u w:val="single"/>
        </w:rPr>
        <w:t xml:space="preserve">     </w:t>
      </w:r>
      <w:r>
        <w:rPr>
          <w:rFonts w:hint="eastAsia" w:ascii="宋体" w:hAnsi="宋体" w:cs="仿宋"/>
          <w:bCs/>
          <w:color w:val="auto"/>
          <w:kern w:val="0"/>
          <w:sz w:val="24"/>
          <w:szCs w:val="28"/>
        </w:rPr>
        <w:t>月</w:t>
      </w:r>
      <w:r>
        <w:rPr>
          <w:rFonts w:hint="eastAsia" w:ascii="宋体" w:hAnsi="宋体" w:cs="仿宋"/>
          <w:bCs/>
          <w:color w:val="auto"/>
          <w:sz w:val="28"/>
          <w:szCs w:val="32"/>
          <w:u w:val="single"/>
        </w:rPr>
        <w:t xml:space="preserve">    </w:t>
      </w:r>
      <w:r>
        <w:rPr>
          <w:rFonts w:hint="eastAsia" w:ascii="宋体" w:hAnsi="宋体" w:cs="仿宋"/>
          <w:bCs/>
          <w:color w:val="auto"/>
          <w:sz w:val="24"/>
          <w:szCs w:val="28"/>
        </w:rPr>
        <w:t>日</w:t>
      </w:r>
    </w:p>
    <w:p w14:paraId="09B74FA7">
      <w:pPr>
        <w:keepNext/>
        <w:keepLines/>
        <w:adjustRightInd w:val="0"/>
        <w:spacing w:line="416" w:lineRule="atLeast"/>
        <w:jc w:val="center"/>
        <w:textAlignment w:val="baseline"/>
        <w:outlineLvl w:val="1"/>
        <w:rPr>
          <w:rFonts w:ascii="宋体" w:hAnsi="宋体" w:cs="宋体"/>
          <w:b/>
          <w:bCs/>
          <w:color w:val="auto"/>
          <w:sz w:val="28"/>
          <w:szCs w:val="28"/>
        </w:rPr>
        <w:sectPr>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pPr>
      <w:bookmarkStart w:id="163" w:name="_Toc25514"/>
      <w:bookmarkStart w:id="164" w:name="_Toc536202334"/>
      <w:bookmarkStart w:id="165" w:name="_Toc536202403"/>
      <w:bookmarkStart w:id="166" w:name="_Toc536429343"/>
      <w:bookmarkStart w:id="167" w:name="_Toc536429396"/>
    </w:p>
    <w:p w14:paraId="611A97C2">
      <w:pPr>
        <w:pStyle w:val="28"/>
        <w:rPr>
          <w:color w:val="auto"/>
        </w:rPr>
      </w:pPr>
    </w:p>
    <w:p w14:paraId="542273EE">
      <w:pPr>
        <w:pStyle w:val="28"/>
        <w:rPr>
          <w:color w:val="auto"/>
        </w:rPr>
      </w:pPr>
    </w:p>
    <w:p w14:paraId="74F006C4">
      <w:pPr>
        <w:pStyle w:val="28"/>
        <w:rPr>
          <w:color w:val="auto"/>
        </w:rPr>
      </w:pPr>
    </w:p>
    <w:p w14:paraId="4DF9B098">
      <w:pPr>
        <w:pStyle w:val="28"/>
        <w:rPr>
          <w:color w:val="auto"/>
        </w:rPr>
      </w:pPr>
    </w:p>
    <w:p w14:paraId="1CBB91BD">
      <w:pPr>
        <w:pStyle w:val="28"/>
        <w:rPr>
          <w:color w:val="auto"/>
        </w:rPr>
      </w:pPr>
    </w:p>
    <w:p w14:paraId="22683548">
      <w:pPr>
        <w:pStyle w:val="28"/>
        <w:rPr>
          <w:color w:val="auto"/>
        </w:rPr>
      </w:pPr>
    </w:p>
    <w:p w14:paraId="6B4AFA14">
      <w:pPr>
        <w:pStyle w:val="28"/>
        <w:rPr>
          <w:color w:val="auto"/>
        </w:rPr>
      </w:pPr>
    </w:p>
    <w:p w14:paraId="5D43D766">
      <w:pPr>
        <w:pStyle w:val="28"/>
        <w:rPr>
          <w:color w:val="auto"/>
        </w:rPr>
      </w:pPr>
    </w:p>
    <w:p w14:paraId="741F423D">
      <w:pPr>
        <w:pStyle w:val="28"/>
        <w:rPr>
          <w:color w:val="auto"/>
        </w:rPr>
      </w:pPr>
    </w:p>
    <w:p w14:paraId="39BC5E9B">
      <w:pPr>
        <w:pStyle w:val="28"/>
        <w:rPr>
          <w:color w:val="auto"/>
        </w:rPr>
      </w:pPr>
    </w:p>
    <w:p w14:paraId="38047989">
      <w:pPr>
        <w:pStyle w:val="28"/>
        <w:rPr>
          <w:color w:val="auto"/>
        </w:rPr>
      </w:pPr>
    </w:p>
    <w:p w14:paraId="3795806D">
      <w:pPr>
        <w:pStyle w:val="28"/>
        <w:rPr>
          <w:color w:val="auto"/>
        </w:rPr>
      </w:pPr>
    </w:p>
    <w:p w14:paraId="1E760598">
      <w:pPr>
        <w:pStyle w:val="28"/>
        <w:rPr>
          <w:color w:val="auto"/>
        </w:rPr>
      </w:pPr>
    </w:p>
    <w:p w14:paraId="68080009">
      <w:pPr>
        <w:pStyle w:val="28"/>
        <w:rPr>
          <w:color w:val="auto"/>
        </w:rPr>
      </w:pPr>
    </w:p>
    <w:p w14:paraId="47BDBBBD">
      <w:pPr>
        <w:pStyle w:val="28"/>
        <w:rPr>
          <w:color w:val="auto"/>
        </w:rPr>
      </w:pPr>
    </w:p>
    <w:p w14:paraId="0187A111">
      <w:pPr>
        <w:pStyle w:val="28"/>
        <w:rPr>
          <w:color w:val="auto"/>
        </w:rPr>
      </w:pPr>
    </w:p>
    <w:p w14:paraId="2712FCFD">
      <w:pPr>
        <w:pStyle w:val="28"/>
        <w:rPr>
          <w:color w:val="auto"/>
        </w:rPr>
      </w:pPr>
    </w:p>
    <w:p w14:paraId="0A68ECDB">
      <w:pPr>
        <w:pStyle w:val="28"/>
        <w:rPr>
          <w:color w:val="auto"/>
        </w:rPr>
      </w:pPr>
    </w:p>
    <w:p w14:paraId="71A69658">
      <w:pPr>
        <w:pStyle w:val="28"/>
        <w:rPr>
          <w:color w:val="auto"/>
        </w:rPr>
      </w:pPr>
    </w:p>
    <w:p w14:paraId="5B2E2820">
      <w:pPr>
        <w:pStyle w:val="28"/>
        <w:rPr>
          <w:color w:val="auto"/>
        </w:rPr>
      </w:pPr>
    </w:p>
    <w:p w14:paraId="6C41F620">
      <w:pPr>
        <w:pStyle w:val="28"/>
        <w:rPr>
          <w:color w:val="auto"/>
        </w:rPr>
      </w:pPr>
    </w:p>
    <w:p w14:paraId="20074918">
      <w:pPr>
        <w:pStyle w:val="28"/>
        <w:rPr>
          <w:color w:val="auto"/>
        </w:rPr>
      </w:pPr>
    </w:p>
    <w:p w14:paraId="23ED4556">
      <w:pPr>
        <w:pStyle w:val="28"/>
        <w:rPr>
          <w:color w:val="auto"/>
        </w:rPr>
      </w:pPr>
    </w:p>
    <w:p w14:paraId="5390BC5F">
      <w:pPr>
        <w:pStyle w:val="28"/>
        <w:rPr>
          <w:color w:val="auto"/>
        </w:rPr>
      </w:pPr>
    </w:p>
    <w:p w14:paraId="77226D56">
      <w:pPr>
        <w:pStyle w:val="28"/>
        <w:rPr>
          <w:color w:val="auto"/>
        </w:rPr>
      </w:pPr>
    </w:p>
    <w:p w14:paraId="4BCA1A40">
      <w:pPr>
        <w:pStyle w:val="28"/>
        <w:rPr>
          <w:color w:val="auto"/>
        </w:rPr>
      </w:pPr>
    </w:p>
    <w:p w14:paraId="79A584EF">
      <w:pPr>
        <w:pStyle w:val="28"/>
        <w:rPr>
          <w:color w:val="auto"/>
        </w:rPr>
      </w:pPr>
    </w:p>
    <w:p w14:paraId="3AF0906E">
      <w:pPr>
        <w:pStyle w:val="28"/>
        <w:rPr>
          <w:color w:val="auto"/>
        </w:rPr>
      </w:pPr>
    </w:p>
    <w:p w14:paraId="71562484">
      <w:pPr>
        <w:pStyle w:val="28"/>
        <w:rPr>
          <w:color w:val="auto"/>
        </w:rPr>
      </w:pPr>
    </w:p>
    <w:p w14:paraId="7A46511F">
      <w:pPr>
        <w:pStyle w:val="28"/>
        <w:rPr>
          <w:color w:val="auto"/>
        </w:rPr>
      </w:pPr>
    </w:p>
    <w:p w14:paraId="63D917EE">
      <w:pPr>
        <w:pStyle w:val="28"/>
        <w:rPr>
          <w:color w:val="auto"/>
        </w:rPr>
      </w:pPr>
    </w:p>
    <w:p w14:paraId="5AE6A872">
      <w:pPr>
        <w:pStyle w:val="28"/>
        <w:rPr>
          <w:color w:val="auto"/>
        </w:rPr>
      </w:pPr>
    </w:p>
    <w:p w14:paraId="47531572">
      <w:pPr>
        <w:pStyle w:val="28"/>
        <w:rPr>
          <w:color w:val="auto"/>
        </w:rPr>
      </w:pPr>
    </w:p>
    <w:p w14:paraId="3447B0D9">
      <w:pPr>
        <w:pStyle w:val="28"/>
        <w:rPr>
          <w:color w:val="auto"/>
        </w:rPr>
      </w:pPr>
    </w:p>
    <w:p w14:paraId="07F2C557">
      <w:pPr>
        <w:pStyle w:val="28"/>
        <w:rPr>
          <w:color w:val="auto"/>
        </w:rPr>
      </w:pPr>
    </w:p>
    <w:p w14:paraId="063CA053">
      <w:pPr>
        <w:pStyle w:val="28"/>
        <w:rPr>
          <w:color w:val="auto"/>
        </w:rPr>
      </w:pPr>
    </w:p>
    <w:p w14:paraId="68000557">
      <w:pPr>
        <w:pStyle w:val="28"/>
        <w:rPr>
          <w:color w:val="auto"/>
        </w:rPr>
      </w:pPr>
    </w:p>
    <w:p w14:paraId="39024381">
      <w:pPr>
        <w:pStyle w:val="28"/>
        <w:rPr>
          <w:color w:val="auto"/>
        </w:rPr>
      </w:pPr>
    </w:p>
    <w:p w14:paraId="304ADE7A">
      <w:pPr>
        <w:pStyle w:val="28"/>
        <w:rPr>
          <w:color w:val="auto"/>
        </w:rPr>
      </w:pPr>
    </w:p>
    <w:p w14:paraId="6C744D33">
      <w:pPr>
        <w:pStyle w:val="28"/>
        <w:rPr>
          <w:color w:val="auto"/>
        </w:rPr>
      </w:pPr>
    </w:p>
    <w:p w14:paraId="3EECB5B9">
      <w:pPr>
        <w:pStyle w:val="28"/>
        <w:rPr>
          <w:color w:val="auto"/>
        </w:rPr>
      </w:pPr>
    </w:p>
    <w:p w14:paraId="196F8226">
      <w:pPr>
        <w:pStyle w:val="28"/>
        <w:rPr>
          <w:color w:val="auto"/>
        </w:rPr>
      </w:pPr>
    </w:p>
    <w:p w14:paraId="48EDFD0C">
      <w:pPr>
        <w:pStyle w:val="28"/>
        <w:rPr>
          <w:color w:val="auto"/>
        </w:rPr>
      </w:pPr>
    </w:p>
    <w:p w14:paraId="5AB9035E">
      <w:pPr>
        <w:pStyle w:val="28"/>
        <w:rPr>
          <w:color w:val="auto"/>
        </w:rPr>
      </w:pPr>
    </w:p>
    <w:p w14:paraId="325F6F4D">
      <w:pPr>
        <w:spacing w:line="440" w:lineRule="exact"/>
        <w:rPr>
          <w:color w:val="auto"/>
          <w:sz w:val="32"/>
          <w:szCs w:val="32"/>
        </w:rPr>
      </w:pPr>
      <w:r>
        <w:rPr>
          <w:rFonts w:hint="eastAsia"/>
          <w:color w:val="auto"/>
          <w:sz w:val="32"/>
          <w:szCs w:val="32"/>
        </w:rPr>
        <w:t xml:space="preserve">安康尚昊招标代理有限公司 </w:t>
      </w:r>
      <w:r>
        <w:rPr>
          <w:rFonts w:ascii="宋体" w:hAnsi="宋体"/>
          <w:b/>
          <w:color w:val="auto"/>
          <w:sz w:val="52"/>
          <w:szCs w:val="52"/>
        </w:rPr>
        <w:drawing>
          <wp:inline distT="0" distB="0" distL="0" distR="0">
            <wp:extent cx="310515" cy="205740"/>
            <wp:effectExtent l="0" t="0" r="13335" b="381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310515" cy="205740"/>
                    </a:xfrm>
                    <a:prstGeom prst="rect">
                      <a:avLst/>
                    </a:prstGeom>
                    <a:noFill/>
                  </pic:spPr>
                </pic:pic>
              </a:graphicData>
            </a:graphic>
          </wp:inline>
        </w:drawing>
      </w:r>
      <w:r>
        <w:rPr>
          <w:rFonts w:hint="eastAsia"/>
          <w:color w:val="auto"/>
          <w:sz w:val="32"/>
          <w:szCs w:val="32"/>
        </w:rPr>
        <w:t xml:space="preserve"> </w:t>
      </w:r>
    </w:p>
    <w:p w14:paraId="23679C34">
      <w:pPr>
        <w:spacing w:line="440" w:lineRule="exact"/>
        <w:jc w:val="center"/>
        <w:rPr>
          <w:color w:val="auto"/>
          <w:sz w:val="32"/>
          <w:szCs w:val="32"/>
        </w:rPr>
      </w:pPr>
      <w:r>
        <w:rPr>
          <w:rFonts w:hint="eastAsia"/>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139700</wp:posOffset>
                </wp:positionV>
                <wp:extent cx="5372100" cy="635"/>
                <wp:effectExtent l="0" t="0" r="0" b="0"/>
                <wp:wrapNone/>
                <wp:docPr id="4" name="直接连接符 4"/>
                <wp:cNvGraphicFramePr/>
                <a:graphic xmlns:a="http://schemas.openxmlformats.org/drawingml/2006/main">
                  <a:graphicData uri="http://schemas.microsoft.com/office/word/2010/wordprocessingShape">
                    <wps:wsp>
                      <wps:cNvCnPr/>
                      <wps:spPr>
                        <a:xfrm>
                          <a:off x="0" y="0"/>
                          <a:ext cx="5372100" cy="635"/>
                        </a:xfrm>
                        <a:prstGeom prst="line">
                          <a:avLst/>
                        </a:prstGeom>
                        <a:ln w="19050" cap="flat" cmpd="sng">
                          <a:solidFill>
                            <a:srgbClr val="000000">
                              <a:alpha val="100000"/>
                            </a:srgbClr>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1pt;height:0.05pt;width:423pt;z-index:251660288;mso-width-relative:page;mso-height-relative:page;" filled="f" stroked="t" coordsize="21600,21600" o:gfxdata="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L+KRQ/TAAAABgEAAA8AAAAAAAAAAQAgAAAAIgAAAGRycy9kb3ducmV2LnhtbFBL&#10;AQIUABQAAAAIAIdO4kDGMP8Z+wEAAP0DAAAOAAAAAAAAAAEAIAAAACIBAABkcnMvZTJvRG9jLnht&#10;bFBLBQYAAAAABgAGAFkBAACPBQAAAAA=&#10;">
                <v:fill on="f" focussize="0,0"/>
                <v:stroke weight="1.5pt" color="#000000" joinstyle="round"/>
                <v:imagedata o:title=""/>
                <o:lock v:ext="edit" aspectratio="f"/>
              </v:line>
            </w:pict>
          </mc:Fallback>
        </mc:AlternateContent>
      </w:r>
    </w:p>
    <w:p w14:paraId="4909BEB9">
      <w:pPr>
        <w:autoSpaceDE w:val="0"/>
        <w:autoSpaceDN w:val="0"/>
        <w:spacing w:line="440" w:lineRule="exact"/>
        <w:ind w:firstLine="129" w:firstLineChars="50"/>
        <w:rPr>
          <w:rFonts w:hint="eastAsia" w:hAnsi="宋体" w:eastAsia="宋体"/>
          <w:color w:val="auto"/>
          <w:sz w:val="24"/>
          <w:szCs w:val="24"/>
          <w:lang w:eastAsia="zh-CN"/>
        </w:rPr>
      </w:pPr>
      <w:r>
        <w:rPr>
          <w:rFonts w:hint="eastAsia" w:hAnsi="宋体"/>
          <w:color w:val="auto"/>
          <w:spacing w:val="9"/>
          <w:kern w:val="0"/>
          <w:sz w:val="24"/>
          <w:szCs w:val="24"/>
          <w:fitText w:val="1050" w:id="354756512"/>
        </w:rPr>
        <w:t xml:space="preserve">地    </w:t>
      </w:r>
      <w:r>
        <w:rPr>
          <w:rFonts w:hint="eastAsia" w:hAnsi="宋体"/>
          <w:color w:val="auto"/>
          <w:spacing w:val="0"/>
          <w:kern w:val="0"/>
          <w:sz w:val="24"/>
          <w:szCs w:val="24"/>
          <w:fitText w:val="1050" w:id="354756512"/>
        </w:rPr>
        <w:t>址</w:t>
      </w:r>
      <w:r>
        <w:rPr>
          <w:rFonts w:hint="eastAsia" w:hAnsi="宋体"/>
          <w:color w:val="auto"/>
          <w:spacing w:val="-6"/>
          <w:sz w:val="24"/>
          <w:szCs w:val="24"/>
        </w:rPr>
        <w:t>：</w:t>
      </w:r>
      <w:r>
        <w:rPr>
          <w:rFonts w:hint="eastAsia" w:hAnsi="宋体"/>
          <w:color w:val="auto"/>
          <w:spacing w:val="-6"/>
          <w:sz w:val="24"/>
          <w:szCs w:val="24"/>
          <w:lang w:eastAsia="zh-CN"/>
        </w:rPr>
        <w:t>安康市高新区高新观澜8栋二单元801室</w:t>
      </w:r>
    </w:p>
    <w:p w14:paraId="3B99841F">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1"/>
        </w:rPr>
        <w:t xml:space="preserve">邮    </w:t>
      </w:r>
      <w:r>
        <w:rPr>
          <w:rFonts w:hint="eastAsia" w:hAnsi="宋体"/>
          <w:color w:val="auto"/>
          <w:spacing w:val="0"/>
          <w:kern w:val="0"/>
          <w:sz w:val="24"/>
          <w:szCs w:val="24"/>
          <w:fitText w:val="1050" w:id="1"/>
        </w:rPr>
        <w:t>编</w:t>
      </w:r>
      <w:r>
        <w:rPr>
          <w:rFonts w:hint="eastAsia" w:hAnsi="宋体"/>
          <w:color w:val="auto"/>
          <w:sz w:val="24"/>
          <w:szCs w:val="24"/>
        </w:rPr>
        <w:t>：725000</w:t>
      </w:r>
    </w:p>
    <w:p w14:paraId="33C71822">
      <w:pPr>
        <w:autoSpaceDE w:val="0"/>
        <w:autoSpaceDN w:val="0"/>
        <w:spacing w:line="440" w:lineRule="exact"/>
        <w:ind w:firstLine="129" w:firstLineChars="50"/>
        <w:rPr>
          <w:rFonts w:hint="eastAsia" w:hAnsi="宋体" w:eastAsia="宋体"/>
          <w:color w:val="auto"/>
          <w:sz w:val="24"/>
          <w:szCs w:val="24"/>
          <w:lang w:eastAsia="zh-CN"/>
        </w:rPr>
      </w:pPr>
      <w:r>
        <w:rPr>
          <w:rFonts w:hint="eastAsia" w:hAnsi="宋体"/>
          <w:color w:val="auto"/>
          <w:spacing w:val="9"/>
          <w:kern w:val="0"/>
          <w:sz w:val="24"/>
          <w:szCs w:val="24"/>
          <w:fitText w:val="1050" w:id="2"/>
        </w:rPr>
        <w:t xml:space="preserve">电    </w:t>
      </w:r>
      <w:r>
        <w:rPr>
          <w:rFonts w:hint="eastAsia" w:hAnsi="宋体"/>
          <w:color w:val="auto"/>
          <w:spacing w:val="0"/>
          <w:kern w:val="0"/>
          <w:sz w:val="24"/>
          <w:szCs w:val="24"/>
          <w:fitText w:val="1050" w:id="2"/>
        </w:rPr>
        <w:t>话</w:t>
      </w:r>
      <w:r>
        <w:rPr>
          <w:rFonts w:hint="eastAsia" w:hAnsi="宋体"/>
          <w:color w:val="auto"/>
          <w:sz w:val="24"/>
          <w:szCs w:val="24"/>
        </w:rPr>
        <w:t>：</w:t>
      </w:r>
      <w:r>
        <w:rPr>
          <w:rFonts w:hint="eastAsia" w:hAnsi="宋体"/>
          <w:color w:val="auto"/>
          <w:sz w:val="24"/>
          <w:szCs w:val="24"/>
          <w:lang w:eastAsia="zh-CN"/>
        </w:rPr>
        <w:t>13991519725</w:t>
      </w:r>
    </w:p>
    <w:p w14:paraId="0062889A">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3"/>
        </w:rPr>
        <w:t>公司名</w:t>
      </w:r>
      <w:r>
        <w:rPr>
          <w:rFonts w:hint="eastAsia" w:hAnsi="宋体"/>
          <w:color w:val="auto"/>
          <w:spacing w:val="0"/>
          <w:kern w:val="0"/>
          <w:sz w:val="24"/>
          <w:szCs w:val="24"/>
          <w:fitText w:val="1050" w:id="3"/>
        </w:rPr>
        <w:t>称</w:t>
      </w:r>
      <w:r>
        <w:rPr>
          <w:rFonts w:hint="eastAsia" w:hAnsi="宋体"/>
          <w:color w:val="auto"/>
          <w:sz w:val="24"/>
          <w:szCs w:val="24"/>
        </w:rPr>
        <w:t>：安康尚昊招标代理有限公司</w:t>
      </w:r>
    </w:p>
    <w:p w14:paraId="50F5B6C5">
      <w:pPr>
        <w:autoSpaceDE w:val="0"/>
        <w:autoSpaceDN w:val="0"/>
        <w:spacing w:line="440" w:lineRule="exact"/>
        <w:ind w:firstLine="135" w:firstLineChars="50"/>
        <w:rPr>
          <w:rFonts w:hAnsi="宋体"/>
          <w:color w:val="auto"/>
          <w:sz w:val="24"/>
          <w:szCs w:val="24"/>
        </w:rPr>
      </w:pPr>
      <w:r>
        <w:rPr>
          <w:rFonts w:hint="eastAsia" w:hAnsi="宋体"/>
          <w:color w:val="auto"/>
          <w:spacing w:val="15"/>
          <w:kern w:val="0"/>
          <w:sz w:val="24"/>
          <w:szCs w:val="24"/>
          <w:fitText w:val="1050" w:id="4"/>
        </w:rPr>
        <w:t>开户银</w:t>
      </w:r>
      <w:r>
        <w:rPr>
          <w:rFonts w:hint="eastAsia" w:hAnsi="宋体"/>
          <w:color w:val="auto"/>
          <w:spacing w:val="0"/>
          <w:kern w:val="0"/>
          <w:sz w:val="24"/>
          <w:szCs w:val="24"/>
          <w:fitText w:val="1050" w:id="4"/>
        </w:rPr>
        <w:t>行</w:t>
      </w:r>
      <w:r>
        <w:rPr>
          <w:rFonts w:hint="eastAsia" w:hAnsi="宋体"/>
          <w:color w:val="auto"/>
          <w:sz w:val="24"/>
          <w:szCs w:val="24"/>
        </w:rPr>
        <w:t>：中国建设银行股份有限公司安康分行营业部</w:t>
      </w:r>
    </w:p>
    <w:p w14:paraId="1E085404">
      <w:pPr>
        <w:autoSpaceDE w:val="0"/>
        <w:autoSpaceDN w:val="0"/>
        <w:spacing w:line="440" w:lineRule="exact"/>
        <w:ind w:firstLine="129" w:firstLineChars="50"/>
        <w:rPr>
          <w:rFonts w:hAnsi="宋体"/>
          <w:color w:val="auto"/>
          <w:sz w:val="24"/>
          <w:szCs w:val="24"/>
        </w:rPr>
      </w:pPr>
      <w:r>
        <w:rPr>
          <w:rFonts w:hint="eastAsia" w:hAnsi="宋体"/>
          <w:color w:val="auto"/>
          <w:spacing w:val="9"/>
          <w:kern w:val="0"/>
          <w:sz w:val="24"/>
          <w:szCs w:val="24"/>
          <w:fitText w:val="1050" w:id="5"/>
        </w:rPr>
        <w:t xml:space="preserve">账    </w:t>
      </w:r>
      <w:r>
        <w:rPr>
          <w:rFonts w:hint="eastAsia" w:hAnsi="宋体"/>
          <w:color w:val="auto"/>
          <w:spacing w:val="0"/>
          <w:kern w:val="0"/>
          <w:sz w:val="24"/>
          <w:szCs w:val="24"/>
          <w:fitText w:val="1050" w:id="5"/>
        </w:rPr>
        <w:t>号</w:t>
      </w:r>
      <w:r>
        <w:rPr>
          <w:rFonts w:hint="eastAsia" w:hAnsi="宋体"/>
          <w:color w:val="auto"/>
          <w:sz w:val="24"/>
          <w:szCs w:val="24"/>
        </w:rPr>
        <w:t>：</w:t>
      </w:r>
      <w:r>
        <w:rPr>
          <w:rFonts w:hint="eastAsia" w:ascii="宋体" w:hAnsi="宋体" w:cs="宋体"/>
          <w:color w:val="auto"/>
          <w:sz w:val="24"/>
          <w:szCs w:val="28"/>
        </w:rPr>
        <w:t>61050166371100000492</w:t>
      </w:r>
      <w:r>
        <w:rPr>
          <w:rFonts w:hint="eastAsia" w:hAnsi="宋体"/>
          <w:color w:val="auto"/>
          <w:sz w:val="24"/>
          <w:szCs w:val="24"/>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480060</wp:posOffset>
                </wp:positionV>
                <wp:extent cx="5372100" cy="635"/>
                <wp:effectExtent l="0" t="0" r="0" b="0"/>
                <wp:wrapNone/>
                <wp:docPr id="5" name="直接连接符 5"/>
                <wp:cNvGraphicFramePr/>
                <a:graphic xmlns:a="http://schemas.openxmlformats.org/drawingml/2006/main">
                  <a:graphicData uri="http://schemas.microsoft.com/office/word/2010/wordprocessingShape">
                    <wps:wsp>
                      <wps:cNvCnPr/>
                      <wps:spPr>
                        <a:xfrm>
                          <a:off x="0" y="0"/>
                          <a:ext cx="5372100" cy="635"/>
                        </a:xfrm>
                        <a:prstGeom prst="line">
                          <a:avLst/>
                        </a:prstGeom>
                        <a:ln w="19050" cap="flat" cmpd="sng">
                          <a:solidFill>
                            <a:srgbClr val="000000">
                              <a:alpha val="100000"/>
                            </a:srgbClr>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37.8pt;height:0.05pt;width:423pt;z-index:251659264;mso-width-relative:page;mso-height-relative:page;" filled="f" stroked="t" coordsize="21600,21600" o:gfxdata="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QPjTV0wAAAAYBAAAPAAAAAAAAAAEAIAAAACIAAABkcnMvZG93bnJldi54bWxQ&#10;SwECFAAUAAAACACHTuJAAMISAfwBAAD9AwAADgAAAAAAAAABACAAAAAiAQAAZHJzL2Uyb0RvYy54&#10;bWxQSwUGAAAAAAYABgBZAQAAkAUAAAAA&#10;">
                <v:fill on="f" focussize="0,0"/>
                <v:stroke weight="1.5pt" color="#000000" joinstyle="round"/>
                <v:imagedata o:title=""/>
                <o:lock v:ext="edit" aspectratio="f"/>
              </v:line>
            </w:pict>
          </mc:Fallback>
        </mc:AlternateContent>
      </w:r>
    </w:p>
    <w:p w14:paraId="2AE2108D">
      <w:pPr>
        <w:rPr>
          <w:rFonts w:hAnsi="宋体"/>
          <w:b/>
          <w:color w:val="auto"/>
          <w:sz w:val="32"/>
          <w:szCs w:val="32"/>
        </w:rPr>
      </w:pPr>
    </w:p>
    <w:bookmarkEnd w:id="163"/>
    <w:bookmarkEnd w:id="164"/>
    <w:bookmarkEnd w:id="165"/>
    <w:bookmarkEnd w:id="166"/>
    <w:bookmarkEnd w:id="167"/>
    <w:p w14:paraId="07EA4DA6">
      <w:pPr>
        <w:widowControl/>
        <w:jc w:val="left"/>
        <w:rPr>
          <w:rFonts w:ascii="宋体" w:hAnsi="宋体" w:cs="宋体"/>
          <w:b/>
          <w:color w:val="auto"/>
          <w:spacing w:val="6"/>
          <w:sz w:val="24"/>
          <w:szCs w:val="24"/>
        </w:rPr>
      </w:pPr>
    </w:p>
    <w:p w14:paraId="320D4F85">
      <w:pPr>
        <w:widowControl/>
        <w:jc w:val="left"/>
        <w:rPr>
          <w:rFonts w:ascii="宋体" w:hAnsi="宋体" w:cs="宋体"/>
          <w:b/>
          <w:color w:val="auto"/>
          <w:spacing w:val="6"/>
          <w:sz w:val="24"/>
          <w:szCs w:val="24"/>
        </w:rPr>
      </w:pPr>
    </w:p>
    <w:sectPr>
      <w:footerReference r:id="rId18" w:type="default"/>
      <w:pgSz w:w="11905" w:h="16838"/>
      <w:pgMar w:top="1247" w:right="1417" w:bottom="1247" w:left="1417" w:header="964" w:footer="992" w:gutter="0"/>
      <w:pgBorders>
        <w:top w:val="none" w:sz="0" w:space="0"/>
        <w:left w:val="none" w:sz="0" w:space="0"/>
        <w:bottom w:val="none" w:sz="0" w:space="0"/>
        <w:right w:val="none" w:sz="0" w:space="0"/>
      </w:pgBorders>
      <w:pgNumType w:fmt="decimal"/>
      <w:cols w:space="0" w:num="1"/>
      <w:rtlGutter w:val="0"/>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roman"/>
    <w:pitch w:val="default"/>
    <w:sig w:usb0="E4002EFF" w:usb1="C000247B" w:usb2="00000009" w:usb3="00000000" w:csb0="200001FF" w:csb1="00000000"/>
  </w:font>
  <w:font w:name="Cambria">
    <w:panose1 w:val="02040503050406030204"/>
    <w:charset w:val="00"/>
    <w:family w:val="modern"/>
    <w:pitch w:val="default"/>
    <w:sig w:usb0="E00006FF" w:usb1="420024FF" w:usb2="02000000" w:usb3="00000000" w:csb0="2000019F" w:csb1="00000000"/>
  </w:font>
  <w:font w:name="楷体">
    <w:panose1 w:val="02010609060101010101"/>
    <w:charset w:val="86"/>
    <w:family w:val="decorative"/>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decorative"/>
    <w:pitch w:val="default"/>
    <w:sig w:usb0="00000000" w:usb1="0000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新宋体">
    <w:panose1 w:val="02010609030101010101"/>
    <w:charset w:val="86"/>
    <w:family w:val="decorative"/>
    <w:pitch w:val="default"/>
    <w:sig w:usb0="00000283" w:usb1="288F0000" w:usb2="00000006" w:usb3="00000000" w:csb0="00040001" w:csb1="00000000"/>
  </w:font>
  <w:font w:name="TimesNewRomanPSMT">
    <w:altName w:val="Times New Roman"/>
    <w:panose1 w:val="00000000000000000000"/>
    <w:charset w:val="00"/>
    <w:family w:val="swiss"/>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Times New Roman (正文 CS 字体)">
    <w:altName w:val="宋体"/>
    <w:panose1 w:val="00000000000000000000"/>
    <w:charset w:val="86"/>
    <w:family w:val="roman"/>
    <w:pitch w:val="default"/>
    <w:sig w:usb0="00000000" w:usb1="00000000" w:usb2="00000000" w:usb3="00000000" w:csb0="00000000" w:csb1="00000000"/>
  </w:font>
  <w:font w:name="华文细黑">
    <w:panose1 w:val="02010600040101010101"/>
    <w:charset w:val="86"/>
    <w:family w:val="auto"/>
    <w:pitch w:val="default"/>
    <w:sig w:usb0="00000287" w:usb1="080F0000" w:usb2="00000000" w:usb3="00000000" w:csb0="0004009F" w:csb1="DFD70000"/>
  </w:font>
  <w:font w:name="华文仿宋">
    <w:panose1 w:val="02010600040101010101"/>
    <w:charset w:val="86"/>
    <w:family w:val="auto"/>
    <w:pitch w:val="default"/>
    <w:sig w:usb0="00000287" w:usb1="080F0000" w:usb2="00000000" w:usb3="00000000" w:csb0="0004009F" w:csb1="DFD70000"/>
  </w:font>
  <w:font w:name="ˎ̥">
    <w:altName w:val="Times New Roman"/>
    <w:panose1 w:val="00000000000000000000"/>
    <w:charset w:val="00"/>
    <w:family w:val="swiss"/>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B9F8C">
    <w:pPr>
      <w:pStyle w:val="28"/>
      <w:jc w:val="center"/>
    </w:pPr>
    <w:sdt>
      <w:sdtPr>
        <w:id w:val="-1667619469"/>
        <w:showingPlcHdr/>
      </w:sdtPr>
      <w:sdtContent>
        <w:r>
          <w:t xml:space="preserve">     </w:t>
        </w:r>
      </w:sdtContent>
    </w:sdt>
  </w:p>
  <w:p w14:paraId="4581D77B">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B111A">
    <w:pPr>
      <w:pStyle w:val="28"/>
    </w:pPr>
  </w:p>
  <w:p w14:paraId="17C01464">
    <w:pPr>
      <w:pStyle w:val="2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72BE04">
    <w:pPr>
      <w:pStyle w:val="28"/>
      <w:jc w:val="center"/>
    </w:pPr>
    <w:r>
      <w:rPr>
        <w:rFonts w:hint="eastAsia"/>
        <w:lang w:val="en-US" w:eastAsia="zh-CN"/>
      </w:rPr>
      <w:t xml:space="preserve"> </w:t>
    </w:r>
    <w:sdt>
      <w:sdtPr>
        <w:id w:val="-353192850"/>
      </w:sdtPr>
      <w:sdtContent>
        <w:r>
          <w:t xml:space="preserve">   </w:t>
        </w:r>
      </w:sdtContent>
    </w:sdt>
  </w:p>
  <w:p w14:paraId="1ABC6067">
    <w:pPr>
      <w:pStyle w:val="2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96526">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F9C302">
    <w:pPr>
      <w:pStyle w:val="28"/>
      <w:tabs>
        <w:tab w:val="clear" w:pos="4153"/>
      </w:tabs>
      <w:jc w:val="cente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C16F1C">
                          <w:pPr>
                            <w:pStyle w:val="2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3DC16F1C">
                    <w:pPr>
                      <w:pStyle w:val="28"/>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64</w:t>
                    </w:r>
                    <w:r>
                      <w:t>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906385">
    <w:pPr>
      <w:pStyle w:val="28"/>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E1EB3">
                          <w:pPr>
                            <w:pStyle w:val="28"/>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105</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343E1EB3">
                    <w:pPr>
                      <w:pStyle w:val="28"/>
                    </w:pPr>
                    <w:r>
                      <w:t xml:space="preserve">第 </w:t>
                    </w:r>
                    <w:r>
                      <w:fldChar w:fldCharType="begin"/>
                    </w:r>
                    <w:r>
                      <w:instrText xml:space="preserve"> PAGE  \* MERGEFORMAT </w:instrText>
                    </w:r>
                    <w:r>
                      <w:fldChar w:fldCharType="separate"/>
                    </w:r>
                    <w:r>
                      <w:t>28</w:t>
                    </w:r>
                    <w:r>
                      <w:fldChar w:fldCharType="end"/>
                    </w:r>
                    <w:r>
                      <w:t xml:space="preserve"> 页 共 </w:t>
                    </w:r>
                    <w:r>
                      <w:rPr>
                        <w:rFonts w:hint="eastAsia"/>
                        <w:lang w:val="en-US" w:eastAsia="zh-CN"/>
                      </w:rPr>
                      <w:t>105</w:t>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DD23F">
    <w:pPr>
      <w:spacing w:line="176" w:lineRule="auto"/>
      <w:ind w:left="443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4D4FEA">
                          <w:pPr>
                            <w:pStyle w:val="2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64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04D4FEA">
                    <w:pPr>
                      <w:pStyle w:val="2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64</w:t>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6D022">
    <w:pPr>
      <w:spacing w:line="176" w:lineRule="auto"/>
      <w:ind w:left="443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E039A1">
                          <w:pPr>
                            <w:pStyle w:val="2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64</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7E039A1">
                    <w:pPr>
                      <w:pStyle w:val="28"/>
                    </w:pPr>
                    <w:r>
                      <w:t xml:space="preserve">第 </w:t>
                    </w:r>
                    <w:r>
                      <w:fldChar w:fldCharType="begin"/>
                    </w:r>
                    <w:r>
                      <w:instrText xml:space="preserve"> PAGE  \* MERGEFORMAT </w:instrText>
                    </w:r>
                    <w:r>
                      <w:fldChar w:fldCharType="separate"/>
                    </w:r>
                    <w:r>
                      <w:t>26</w:t>
                    </w:r>
                    <w:r>
                      <w:fldChar w:fldCharType="end"/>
                    </w:r>
                    <w:r>
                      <w:t xml:space="preserve"> 页 共 </w:t>
                    </w:r>
                    <w:r>
                      <w:rPr>
                        <w:rFonts w:hint="eastAsia"/>
                        <w:lang w:val="en-US" w:eastAsia="zh-CN"/>
                      </w:rPr>
                      <w:t>64</w:t>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A20874">
    <w:pPr>
      <w:pStyle w:val="28"/>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CEF975">
                          <w:pPr>
                            <w:pStyle w:val="28"/>
                          </w:pPr>
                          <w:r>
                            <w:t xml:space="preserve">第 </w:t>
                          </w:r>
                          <w:r>
                            <w:fldChar w:fldCharType="begin"/>
                          </w:r>
                          <w:r>
                            <w:instrText xml:space="preserve"> PAGE  \* MERGEFORMAT </w:instrText>
                          </w:r>
                          <w:r>
                            <w:fldChar w:fldCharType="separate"/>
                          </w:r>
                          <w:r>
                            <w:t>53</w:t>
                          </w:r>
                          <w:r>
                            <w:fldChar w:fldCharType="end"/>
                          </w:r>
                          <w:r>
                            <w:t xml:space="preserve"> 页 共 </w:t>
                          </w:r>
                          <w:r>
                            <w:rPr>
                              <w:rFonts w:hint="eastAsia"/>
                              <w:lang w:val="en-US" w:eastAsia="zh-CN"/>
                            </w:rPr>
                            <w:t>64</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60CEF975">
                    <w:pPr>
                      <w:pStyle w:val="28"/>
                    </w:pPr>
                    <w:r>
                      <w:t xml:space="preserve">第 </w:t>
                    </w:r>
                    <w:r>
                      <w:fldChar w:fldCharType="begin"/>
                    </w:r>
                    <w:r>
                      <w:instrText xml:space="preserve"> PAGE  \* MERGEFORMAT </w:instrText>
                    </w:r>
                    <w:r>
                      <w:fldChar w:fldCharType="separate"/>
                    </w:r>
                    <w:r>
                      <w:t>53</w:t>
                    </w:r>
                    <w:r>
                      <w:fldChar w:fldCharType="end"/>
                    </w:r>
                    <w:r>
                      <w:t xml:space="preserve"> 页 共 </w:t>
                    </w:r>
                    <w:r>
                      <w:rPr>
                        <w:rFonts w:hint="eastAsia"/>
                        <w:lang w:val="en-US" w:eastAsia="zh-CN"/>
                      </w:rPr>
                      <w:t>64</w:t>
                    </w:r>
                    <w:r>
                      <w:t>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C6BC8">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3A33B7">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E856AD">
    <w:pPr>
      <w:pStyle w:val="30"/>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CC4E09">
    <w:pPr>
      <w:pStyle w:val="30"/>
      <w:jc w:val="both"/>
    </w:pPr>
    <w:r>
      <w:rPr>
        <w:rFonts w:hint="eastAsia"/>
      </w:rPr>
      <w:t>项目名称：</w:t>
    </w:r>
    <w:r>
      <w:rPr>
        <w:rFonts w:hint="eastAsia"/>
        <w:lang w:eastAsia="zh-CN"/>
      </w:rPr>
      <w:t>安康市初级中学生成式人工智能学科融合智慧教室项目（二次）</w:t>
    </w:r>
    <w:r>
      <w:t xml:space="preserve"> </w:t>
    </w:r>
    <w:r>
      <w:rPr>
        <w:rFonts w:hint="eastAsia"/>
      </w:rPr>
      <w:t xml:space="preserve">   项目编号：</w:t>
    </w:r>
    <w:r>
      <w:rPr>
        <w:rFonts w:hint="eastAsia"/>
        <w:lang w:eastAsia="zh-CN"/>
      </w:rPr>
      <w:t>AKSH2026-ZGK-024-2</w:t>
    </w:r>
    <w:r>
      <w:rPr>
        <w:rFonts w:hint="eastAsia"/>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14CEA">
    <w:pPr>
      <w:pStyle w:val="30"/>
      <w:jc w:val="both"/>
    </w:pPr>
    <w:r>
      <w:rPr>
        <w:rFonts w:hint="eastAsia"/>
      </w:rPr>
      <w:t>项目名称：</w:t>
    </w:r>
    <w:r>
      <w:rPr>
        <w:rFonts w:hint="eastAsia"/>
        <w:lang w:eastAsia="zh-CN"/>
      </w:rPr>
      <w:t>安康市初级中学生成式人工智能学科融合智慧教室项目（二次）</w:t>
    </w:r>
    <w:r>
      <w:t xml:space="preserve"> </w:t>
    </w:r>
    <w:r>
      <w:rPr>
        <w:rFonts w:hint="eastAsia"/>
      </w:rPr>
      <w:t xml:space="preserve">       </w:t>
    </w:r>
    <w:r>
      <w:rPr>
        <w:rFonts w:hint="eastAsia"/>
        <w:lang w:val="en-US" w:eastAsia="zh-CN"/>
      </w:rPr>
      <w:t xml:space="preserve">          </w:t>
    </w:r>
    <w:r>
      <w:rPr>
        <w:rFonts w:hint="eastAsia"/>
      </w:rPr>
      <w:t xml:space="preserve">项目编号： </w:t>
    </w:r>
    <w:r>
      <w:rPr>
        <w:rFonts w:hint="eastAsia"/>
        <w:lang w:eastAsia="zh-CN"/>
      </w:rPr>
      <w:t>AKSH2026-ZGK-024-2</w:t>
    </w:r>
    <w:r>
      <w:rPr>
        <w:rFonts w:hint="eastAsia"/>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28A71">
    <w:pPr>
      <w:pStyle w:val="30"/>
      <w:jc w:val="left"/>
      <w:rPr>
        <w:rFonts w:hint="eastAsia" w:eastAsia="宋体"/>
        <w:lang w:eastAsia="zh-CN"/>
      </w:rPr>
    </w:pPr>
    <w:r>
      <w:rPr>
        <w:rFonts w:hint="eastAsia"/>
      </w:rPr>
      <w:t>项目名称：</w:t>
    </w:r>
    <w:r>
      <w:rPr>
        <w:rFonts w:hint="eastAsia"/>
        <w:lang w:eastAsia="zh-CN"/>
      </w:rPr>
      <w:t>安康市初级中学生成式人工智能学科融合智慧教室项目（二次）</w:t>
    </w:r>
    <w:r>
      <w:t xml:space="preserve"> </w:t>
    </w:r>
    <w:r>
      <w:rPr>
        <w:rFonts w:hint="eastAsia"/>
      </w:rPr>
      <w:t xml:space="preserve">    </w:t>
    </w:r>
    <w:r>
      <w:rPr>
        <w:rFonts w:hint="eastAsia"/>
        <w:lang w:val="en-US" w:eastAsia="zh-CN"/>
      </w:rPr>
      <w:t xml:space="preserve">        </w:t>
    </w:r>
    <w:r>
      <w:rPr>
        <w:rFonts w:hint="eastAsia"/>
      </w:rPr>
      <w:t xml:space="preserve">项目编号： </w:t>
    </w:r>
    <w:r>
      <w:rPr>
        <w:rFonts w:hint="eastAsia"/>
        <w:lang w:eastAsia="zh-CN"/>
      </w:rPr>
      <w:t>AKSH2026-ZGK-024-2</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B8E616">
    <w:pPr>
      <w:pStyle w:val="30"/>
      <w:jc w:val="left"/>
      <w:rPr>
        <w:rFonts w:hint="eastAsia" w:eastAsia="宋体"/>
        <w:lang w:eastAsia="zh-CN"/>
      </w:rPr>
    </w:pPr>
    <w:r>
      <w:rPr>
        <w:rFonts w:hint="eastAsia"/>
      </w:rPr>
      <w:t>项目名称：</w:t>
    </w:r>
    <w:r>
      <w:rPr>
        <w:rFonts w:hint="eastAsia"/>
        <w:lang w:eastAsia="zh-CN"/>
      </w:rPr>
      <w:t>安康市初级中学生成式人工智能学科融合智慧教室项目（二次）</w:t>
    </w:r>
    <w:r>
      <w:t xml:space="preserve"> </w:t>
    </w:r>
    <w:r>
      <w:rPr>
        <w:rFonts w:hint="eastAsia"/>
      </w:rPr>
      <w:t xml:space="preserve">   项目编号： </w:t>
    </w:r>
    <w:r>
      <w:rPr>
        <w:rFonts w:hint="eastAsia"/>
        <w:lang w:eastAsia="zh-CN"/>
      </w:rPr>
      <w:t>AKSH2026-ZGK-024-2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BED3A9"/>
    <w:multiLevelType w:val="singleLevel"/>
    <w:tmpl w:val="8ABED3A9"/>
    <w:lvl w:ilvl="0" w:tentative="0">
      <w:start w:val="7"/>
      <w:numFmt w:val="chineseCounting"/>
      <w:suff w:val="nothing"/>
      <w:lvlText w:val="%1、"/>
      <w:lvlJc w:val="left"/>
      <w:rPr>
        <w:rFonts w:hint="eastAsia"/>
      </w:rPr>
    </w:lvl>
  </w:abstractNum>
  <w:abstractNum w:abstractNumId="1">
    <w:nsid w:val="8AF2238F"/>
    <w:multiLevelType w:val="multilevel"/>
    <w:tmpl w:val="8AF2238F"/>
    <w:lvl w:ilvl="0" w:tentative="0">
      <w:start w:val="1"/>
      <w:numFmt w:val="decimal"/>
      <w:isLgl/>
      <w:suff w:val="space"/>
      <w:lvlText w:val="第%1章 "/>
      <w:lvlJc w:val="left"/>
      <w:pPr>
        <w:tabs>
          <w:tab w:val="left" w:pos="0"/>
        </w:tabs>
        <w:ind w:left="20" w:hanging="20"/>
      </w:pPr>
      <w:rPr>
        <w:rFonts w:hint="default" w:ascii="Times New Roman" w:hAnsi="Times New Roman" w:eastAsia="微软雅黑" w:cs="微软雅黑"/>
        <w:b/>
        <w:bCs/>
        <w:sz w:val="36"/>
        <w:szCs w:val="36"/>
      </w:rPr>
    </w:lvl>
    <w:lvl w:ilvl="1" w:tentative="0">
      <w:start w:val="1"/>
      <w:numFmt w:val="decimal"/>
      <w:pStyle w:val="164"/>
      <w:isLgl/>
      <w:suff w:val="space"/>
      <w:lvlText w:val="%1.%2"/>
      <w:lvlJc w:val="left"/>
      <w:pPr>
        <w:tabs>
          <w:tab w:val="left" w:pos="0"/>
        </w:tabs>
        <w:ind w:left="283" w:firstLine="0"/>
      </w:pPr>
      <w:rPr>
        <w:rFonts w:hint="default" w:ascii="Times New Roman" w:hAnsi="Times New Roman" w:eastAsia="微软雅黑" w:cs="微软雅黑"/>
        <w:b/>
        <w:bCs/>
        <w:sz w:val="30"/>
        <w:szCs w:val="30"/>
      </w:rPr>
    </w:lvl>
    <w:lvl w:ilvl="2" w:tentative="0">
      <w:start w:val="1"/>
      <w:numFmt w:val="decimal"/>
      <w:isLgl/>
      <w:suff w:val="space"/>
      <w:lvlText w:val="%1.%2.%3"/>
      <w:lvlJc w:val="left"/>
      <w:pPr>
        <w:tabs>
          <w:tab w:val="left" w:pos="0"/>
        </w:tabs>
        <w:ind w:left="2160" w:hanging="1593"/>
      </w:pPr>
      <w:rPr>
        <w:rFonts w:hint="default" w:ascii="Times New Roman" w:hAnsi="Times New Roman" w:eastAsia="微软雅黑" w:cs="微软雅黑"/>
        <w:b/>
        <w:bCs/>
        <w:sz w:val="30"/>
        <w:szCs w:val="30"/>
      </w:rPr>
    </w:lvl>
    <w:lvl w:ilvl="3" w:tentative="0">
      <w:start w:val="1"/>
      <w:numFmt w:val="decimal"/>
      <w:isLgl/>
      <w:suff w:val="space"/>
      <w:lvlText w:val="%1.%2.%3.%4."/>
      <w:lvlJc w:val="left"/>
      <w:pPr>
        <w:ind w:left="864" w:hanging="294"/>
      </w:pPr>
      <w:rPr>
        <w:rFonts w:hint="eastAsia"/>
      </w:rPr>
    </w:lvl>
    <w:lvl w:ilvl="4" w:tentative="0">
      <w:start w:val="1"/>
      <w:numFmt w:val="none"/>
      <w:lvlText w:val="%1.%2.%3"/>
      <w:lvlJc w:val="left"/>
      <w:pPr>
        <w:ind w:left="1008" w:hanging="1008"/>
      </w:pPr>
      <w:rPr>
        <w:rFonts w:hint="default" w:ascii="宋体" w:hAnsi="宋体" w:eastAsia="宋体" w:cs="宋体"/>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2">
    <w:nsid w:val="B2FFFD71"/>
    <w:multiLevelType w:val="singleLevel"/>
    <w:tmpl w:val="B2FFFD71"/>
    <w:lvl w:ilvl="0" w:tentative="0">
      <w:start w:val="1"/>
      <w:numFmt w:val="decimal"/>
      <w:suff w:val="space"/>
      <w:lvlText w:val="%1."/>
      <w:lvlJc w:val="left"/>
    </w:lvl>
  </w:abstractNum>
  <w:abstractNum w:abstractNumId="3">
    <w:nsid w:val="BC438CF2"/>
    <w:multiLevelType w:val="singleLevel"/>
    <w:tmpl w:val="BC438CF2"/>
    <w:lvl w:ilvl="0" w:tentative="0">
      <w:start w:val="1"/>
      <w:numFmt w:val="decimal"/>
      <w:lvlText w:val="%1."/>
      <w:lvlJc w:val="left"/>
      <w:pPr>
        <w:tabs>
          <w:tab w:val="left" w:pos="312"/>
        </w:tabs>
      </w:pPr>
    </w:lvl>
  </w:abstractNum>
  <w:abstractNum w:abstractNumId="4">
    <w:nsid w:val="CBDF4BAE"/>
    <w:multiLevelType w:val="singleLevel"/>
    <w:tmpl w:val="CBDF4BAE"/>
    <w:lvl w:ilvl="0" w:tentative="0">
      <w:start w:val="1"/>
      <w:numFmt w:val="decimal"/>
      <w:lvlText w:val="%1"/>
      <w:lvlJc w:val="left"/>
      <w:pPr>
        <w:tabs>
          <w:tab w:val="left" w:pos="420"/>
        </w:tabs>
        <w:ind w:left="425" w:leftChars="0" w:hanging="425" w:firstLineChars="0"/>
      </w:pPr>
      <w:rPr>
        <w:rFonts w:hint="default"/>
      </w:rPr>
    </w:lvl>
  </w:abstractNum>
  <w:abstractNum w:abstractNumId="5">
    <w:nsid w:val="E64C7FC1"/>
    <w:multiLevelType w:val="singleLevel"/>
    <w:tmpl w:val="E64C7FC1"/>
    <w:lvl w:ilvl="0" w:tentative="0">
      <w:start w:val="1"/>
      <w:numFmt w:val="chineseCounting"/>
      <w:suff w:val="nothing"/>
      <w:lvlText w:val="%1、"/>
      <w:lvlJc w:val="left"/>
      <w:rPr>
        <w:rFonts w:hint="eastAsia"/>
      </w:rPr>
    </w:lvl>
  </w:abstractNum>
  <w:abstractNum w:abstractNumId="6">
    <w:nsid w:val="F9E01BBC"/>
    <w:multiLevelType w:val="singleLevel"/>
    <w:tmpl w:val="F9E01BBC"/>
    <w:lvl w:ilvl="0" w:tentative="0">
      <w:start w:val="2"/>
      <w:numFmt w:val="chineseCounting"/>
      <w:suff w:val="nothing"/>
      <w:lvlText w:val="%1、"/>
      <w:lvlJc w:val="left"/>
      <w:rPr>
        <w:rFonts w:hint="eastAsia"/>
      </w:rPr>
    </w:lvl>
  </w:abstractNum>
  <w:abstractNum w:abstractNumId="7">
    <w:nsid w:val="2910B4B6"/>
    <w:multiLevelType w:val="singleLevel"/>
    <w:tmpl w:val="2910B4B6"/>
    <w:lvl w:ilvl="0" w:tentative="0">
      <w:start w:val="4"/>
      <w:numFmt w:val="chineseCounting"/>
      <w:suff w:val="space"/>
      <w:lvlText w:val="第%1章"/>
      <w:lvlJc w:val="left"/>
      <w:rPr>
        <w:rFonts w:hint="eastAsia"/>
      </w:rPr>
    </w:lvl>
  </w:abstractNum>
  <w:abstractNum w:abstractNumId="8">
    <w:nsid w:val="776A65AA"/>
    <w:multiLevelType w:val="multilevel"/>
    <w:tmpl w:val="776A65AA"/>
    <w:lvl w:ilvl="0" w:tentative="0">
      <w:start w:val="1"/>
      <w:numFmt w:val="bullet"/>
      <w:pStyle w:val="122"/>
      <w:lvlText w:val=""/>
      <w:lvlJc w:val="left"/>
      <w:pPr>
        <w:ind w:left="900" w:hanging="420"/>
      </w:pPr>
      <w:rPr>
        <w:rFonts w:hint="default" w:ascii="Wingdings" w:hAnsi="Wingdings"/>
      </w:rPr>
    </w:lvl>
    <w:lvl w:ilvl="1" w:tentative="0">
      <w:start w:val="1"/>
      <w:numFmt w:val="bullet"/>
      <w:lvlText w:val=""/>
      <w:lvlJc w:val="left"/>
      <w:pPr>
        <w:ind w:left="1320" w:hanging="420"/>
      </w:pPr>
      <w:rPr>
        <w:rFonts w:hint="default" w:ascii="Wingdings" w:hAnsi="Wingdings"/>
      </w:rPr>
    </w:lvl>
    <w:lvl w:ilvl="2" w:tentative="0">
      <w:start w:val="1"/>
      <w:numFmt w:val="bullet"/>
      <w:lvlText w:val=""/>
      <w:lvlJc w:val="left"/>
      <w:pPr>
        <w:ind w:left="1740" w:hanging="420"/>
      </w:pPr>
      <w:rPr>
        <w:rFonts w:hint="default" w:ascii="Wingdings" w:hAnsi="Wingdings"/>
      </w:rPr>
    </w:lvl>
    <w:lvl w:ilvl="3" w:tentative="0">
      <w:start w:val="1"/>
      <w:numFmt w:val="bullet"/>
      <w:lvlText w:val=""/>
      <w:lvlJc w:val="left"/>
      <w:pPr>
        <w:ind w:left="2160" w:hanging="420"/>
      </w:pPr>
      <w:rPr>
        <w:rFonts w:hint="default" w:ascii="Wingdings" w:hAnsi="Wingdings"/>
      </w:rPr>
    </w:lvl>
    <w:lvl w:ilvl="4" w:tentative="0">
      <w:start w:val="1"/>
      <w:numFmt w:val="bullet"/>
      <w:lvlText w:val=""/>
      <w:lvlJc w:val="left"/>
      <w:pPr>
        <w:ind w:left="2580" w:hanging="420"/>
      </w:pPr>
      <w:rPr>
        <w:rFonts w:hint="default" w:ascii="Wingdings" w:hAnsi="Wingdings"/>
      </w:rPr>
    </w:lvl>
    <w:lvl w:ilvl="5" w:tentative="0">
      <w:start w:val="1"/>
      <w:numFmt w:val="bullet"/>
      <w:lvlText w:val=""/>
      <w:lvlJc w:val="left"/>
      <w:pPr>
        <w:ind w:left="3000" w:hanging="420"/>
      </w:pPr>
      <w:rPr>
        <w:rFonts w:hint="default" w:ascii="Wingdings" w:hAnsi="Wingdings"/>
      </w:rPr>
    </w:lvl>
    <w:lvl w:ilvl="6" w:tentative="0">
      <w:start w:val="1"/>
      <w:numFmt w:val="bullet"/>
      <w:lvlText w:val=""/>
      <w:lvlJc w:val="left"/>
      <w:pPr>
        <w:ind w:left="3420" w:hanging="420"/>
      </w:pPr>
      <w:rPr>
        <w:rFonts w:hint="default" w:ascii="Wingdings" w:hAnsi="Wingdings"/>
      </w:rPr>
    </w:lvl>
    <w:lvl w:ilvl="7" w:tentative="0">
      <w:start w:val="1"/>
      <w:numFmt w:val="bullet"/>
      <w:lvlText w:val=""/>
      <w:lvlJc w:val="left"/>
      <w:pPr>
        <w:ind w:left="3840" w:hanging="420"/>
      </w:pPr>
      <w:rPr>
        <w:rFonts w:hint="default" w:ascii="Wingdings" w:hAnsi="Wingdings"/>
      </w:rPr>
    </w:lvl>
    <w:lvl w:ilvl="8" w:tentative="0">
      <w:start w:val="1"/>
      <w:numFmt w:val="bullet"/>
      <w:lvlText w:val=""/>
      <w:lvlJc w:val="left"/>
      <w:pPr>
        <w:ind w:left="4260" w:hanging="420"/>
      </w:pPr>
      <w:rPr>
        <w:rFonts w:hint="default" w:ascii="Wingdings" w:hAnsi="Wingdings"/>
      </w:rPr>
    </w:lvl>
  </w:abstractNum>
  <w:num w:numId="1">
    <w:abstractNumId w:val="8"/>
  </w:num>
  <w:num w:numId="2">
    <w:abstractNumId w:val="1"/>
  </w:num>
  <w:num w:numId="3">
    <w:abstractNumId w:val="4"/>
  </w:num>
  <w:num w:numId="4">
    <w:abstractNumId w:val="3"/>
  </w:num>
  <w:num w:numId="5">
    <w:abstractNumId w:val="7"/>
  </w:num>
  <w:num w:numId="6">
    <w:abstractNumId w:val="6"/>
  </w:num>
  <w:num w:numId="7">
    <w:abstractNumId w:val="0"/>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bordersDoNotSurroundHeader w:val="0"/>
  <w:bordersDoNotSurroundFooter w:val="0"/>
  <w:hideSpellingErrors/>
  <w:documentProtection w:edit="forms" w:enforcement="1" w:cryptProviderType="rsaFull" w:cryptAlgorithmClass="hash" w:cryptAlgorithmType="typeAny" w:cryptAlgorithmSid="4" w:cryptSpinCount="0" w:hash="LQ5OR9qN3VjE3e5CAsjPHFksAK8=" w:salt="QZ3c4XN7JRe3m0qLRsrpPA=="/>
  <w:defaultTabStop w:val="420"/>
  <w:drawingGridHorizontalSpacing w:val="210"/>
  <w:drawingGridVerticalSpacing w:val="163"/>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g1OGE3YTllNWRkNjgwY2M5ZDEwMmY0ODQzZDFhY2IifQ=="/>
  </w:docVars>
  <w:rsids>
    <w:rsidRoot w:val="00E1428B"/>
    <w:rsid w:val="00003981"/>
    <w:rsid w:val="00003C43"/>
    <w:rsid w:val="00004DD9"/>
    <w:rsid w:val="00006642"/>
    <w:rsid w:val="00006D12"/>
    <w:rsid w:val="0000792C"/>
    <w:rsid w:val="00007EF0"/>
    <w:rsid w:val="00010668"/>
    <w:rsid w:val="00012228"/>
    <w:rsid w:val="0001518E"/>
    <w:rsid w:val="00015F20"/>
    <w:rsid w:val="00017810"/>
    <w:rsid w:val="0002062D"/>
    <w:rsid w:val="0002088A"/>
    <w:rsid w:val="00023AC0"/>
    <w:rsid w:val="000246AB"/>
    <w:rsid w:val="00027397"/>
    <w:rsid w:val="00030797"/>
    <w:rsid w:val="00032E89"/>
    <w:rsid w:val="00033132"/>
    <w:rsid w:val="00033262"/>
    <w:rsid w:val="00033819"/>
    <w:rsid w:val="00034015"/>
    <w:rsid w:val="00034B0D"/>
    <w:rsid w:val="000363B5"/>
    <w:rsid w:val="00036785"/>
    <w:rsid w:val="00037ADE"/>
    <w:rsid w:val="00041058"/>
    <w:rsid w:val="0004143A"/>
    <w:rsid w:val="0004242D"/>
    <w:rsid w:val="00044BD7"/>
    <w:rsid w:val="000457F1"/>
    <w:rsid w:val="00045F2E"/>
    <w:rsid w:val="00046E66"/>
    <w:rsid w:val="000478B2"/>
    <w:rsid w:val="000509E2"/>
    <w:rsid w:val="00051D3F"/>
    <w:rsid w:val="00055149"/>
    <w:rsid w:val="00056143"/>
    <w:rsid w:val="00057D6F"/>
    <w:rsid w:val="00057F22"/>
    <w:rsid w:val="0006059A"/>
    <w:rsid w:val="000638D4"/>
    <w:rsid w:val="0006550F"/>
    <w:rsid w:val="00070D26"/>
    <w:rsid w:val="00071385"/>
    <w:rsid w:val="00073012"/>
    <w:rsid w:val="000736AC"/>
    <w:rsid w:val="00073A3F"/>
    <w:rsid w:val="00074C99"/>
    <w:rsid w:val="00076F91"/>
    <w:rsid w:val="000776C0"/>
    <w:rsid w:val="00077B6A"/>
    <w:rsid w:val="0008127C"/>
    <w:rsid w:val="00082139"/>
    <w:rsid w:val="0008415E"/>
    <w:rsid w:val="000906A7"/>
    <w:rsid w:val="00091687"/>
    <w:rsid w:val="00091953"/>
    <w:rsid w:val="0009291F"/>
    <w:rsid w:val="00093B85"/>
    <w:rsid w:val="00094AEE"/>
    <w:rsid w:val="0009521C"/>
    <w:rsid w:val="00095B89"/>
    <w:rsid w:val="00096B21"/>
    <w:rsid w:val="00097412"/>
    <w:rsid w:val="000A1993"/>
    <w:rsid w:val="000A320E"/>
    <w:rsid w:val="000A5300"/>
    <w:rsid w:val="000B0998"/>
    <w:rsid w:val="000B186E"/>
    <w:rsid w:val="000B40FA"/>
    <w:rsid w:val="000B44C8"/>
    <w:rsid w:val="000B5617"/>
    <w:rsid w:val="000B5728"/>
    <w:rsid w:val="000B6185"/>
    <w:rsid w:val="000C1241"/>
    <w:rsid w:val="000C1B78"/>
    <w:rsid w:val="000C1C37"/>
    <w:rsid w:val="000C4377"/>
    <w:rsid w:val="000C5931"/>
    <w:rsid w:val="000C634A"/>
    <w:rsid w:val="000D1ACC"/>
    <w:rsid w:val="000D2933"/>
    <w:rsid w:val="000D336F"/>
    <w:rsid w:val="000D3FAE"/>
    <w:rsid w:val="000D6F09"/>
    <w:rsid w:val="000D7914"/>
    <w:rsid w:val="000E0E71"/>
    <w:rsid w:val="000E1D71"/>
    <w:rsid w:val="000E2EE5"/>
    <w:rsid w:val="000E3416"/>
    <w:rsid w:val="000E44F8"/>
    <w:rsid w:val="000E561D"/>
    <w:rsid w:val="000E62ED"/>
    <w:rsid w:val="000F0781"/>
    <w:rsid w:val="000F11B3"/>
    <w:rsid w:val="000F209A"/>
    <w:rsid w:val="000F2738"/>
    <w:rsid w:val="000F31D6"/>
    <w:rsid w:val="000F4967"/>
    <w:rsid w:val="000F4F4D"/>
    <w:rsid w:val="000F4F5D"/>
    <w:rsid w:val="000F6AC9"/>
    <w:rsid w:val="0010039D"/>
    <w:rsid w:val="00101267"/>
    <w:rsid w:val="00103A2B"/>
    <w:rsid w:val="00105426"/>
    <w:rsid w:val="001059FA"/>
    <w:rsid w:val="00106BF9"/>
    <w:rsid w:val="00110842"/>
    <w:rsid w:val="00110FE5"/>
    <w:rsid w:val="00112867"/>
    <w:rsid w:val="00122221"/>
    <w:rsid w:val="00123227"/>
    <w:rsid w:val="00124001"/>
    <w:rsid w:val="00124844"/>
    <w:rsid w:val="001275C1"/>
    <w:rsid w:val="001277EF"/>
    <w:rsid w:val="00134BD6"/>
    <w:rsid w:val="00134E24"/>
    <w:rsid w:val="001361B9"/>
    <w:rsid w:val="00137875"/>
    <w:rsid w:val="00140AB2"/>
    <w:rsid w:val="00143530"/>
    <w:rsid w:val="00144CC7"/>
    <w:rsid w:val="00145191"/>
    <w:rsid w:val="001467B4"/>
    <w:rsid w:val="001473C4"/>
    <w:rsid w:val="001479DF"/>
    <w:rsid w:val="0015046F"/>
    <w:rsid w:val="001505FF"/>
    <w:rsid w:val="00153D2D"/>
    <w:rsid w:val="0016000C"/>
    <w:rsid w:val="00160981"/>
    <w:rsid w:val="00162292"/>
    <w:rsid w:val="0016511A"/>
    <w:rsid w:val="001715B3"/>
    <w:rsid w:val="001722DD"/>
    <w:rsid w:val="00174CD1"/>
    <w:rsid w:val="00175A4D"/>
    <w:rsid w:val="00181247"/>
    <w:rsid w:val="001820F3"/>
    <w:rsid w:val="00182300"/>
    <w:rsid w:val="00182442"/>
    <w:rsid w:val="00183D81"/>
    <w:rsid w:val="001879BC"/>
    <w:rsid w:val="00187CF4"/>
    <w:rsid w:val="00187DEC"/>
    <w:rsid w:val="00187ECA"/>
    <w:rsid w:val="00194206"/>
    <w:rsid w:val="00194566"/>
    <w:rsid w:val="00194F3B"/>
    <w:rsid w:val="00196580"/>
    <w:rsid w:val="001A11C5"/>
    <w:rsid w:val="001A13F4"/>
    <w:rsid w:val="001A3FD3"/>
    <w:rsid w:val="001A5EF0"/>
    <w:rsid w:val="001A7729"/>
    <w:rsid w:val="001A77AE"/>
    <w:rsid w:val="001B3677"/>
    <w:rsid w:val="001B5CBF"/>
    <w:rsid w:val="001B70F5"/>
    <w:rsid w:val="001B76F0"/>
    <w:rsid w:val="001B7956"/>
    <w:rsid w:val="001C30F6"/>
    <w:rsid w:val="001C33CF"/>
    <w:rsid w:val="001C3A7D"/>
    <w:rsid w:val="001C7C74"/>
    <w:rsid w:val="001C7FA8"/>
    <w:rsid w:val="001D0198"/>
    <w:rsid w:val="001D0C9D"/>
    <w:rsid w:val="001D2BAE"/>
    <w:rsid w:val="001D7779"/>
    <w:rsid w:val="001E17BD"/>
    <w:rsid w:val="001E5986"/>
    <w:rsid w:val="001E6ECD"/>
    <w:rsid w:val="001E7F58"/>
    <w:rsid w:val="001F09E1"/>
    <w:rsid w:val="001F2974"/>
    <w:rsid w:val="001F487A"/>
    <w:rsid w:val="001F49A2"/>
    <w:rsid w:val="001F6938"/>
    <w:rsid w:val="002018D0"/>
    <w:rsid w:val="00201E15"/>
    <w:rsid w:val="002022A8"/>
    <w:rsid w:val="00202EE3"/>
    <w:rsid w:val="002050F1"/>
    <w:rsid w:val="00206B72"/>
    <w:rsid w:val="002074E1"/>
    <w:rsid w:val="002075A3"/>
    <w:rsid w:val="002126FC"/>
    <w:rsid w:val="00216575"/>
    <w:rsid w:val="00216D88"/>
    <w:rsid w:val="002170C6"/>
    <w:rsid w:val="0021764A"/>
    <w:rsid w:val="0022031A"/>
    <w:rsid w:val="002215BA"/>
    <w:rsid w:val="0022258D"/>
    <w:rsid w:val="00223D68"/>
    <w:rsid w:val="0022425E"/>
    <w:rsid w:val="00225207"/>
    <w:rsid w:val="00225DB4"/>
    <w:rsid w:val="0023114B"/>
    <w:rsid w:val="00231424"/>
    <w:rsid w:val="002314F1"/>
    <w:rsid w:val="0023385B"/>
    <w:rsid w:val="00233B80"/>
    <w:rsid w:val="00236BA3"/>
    <w:rsid w:val="002430C4"/>
    <w:rsid w:val="00243C75"/>
    <w:rsid w:val="00243E9B"/>
    <w:rsid w:val="00244D15"/>
    <w:rsid w:val="00250F2B"/>
    <w:rsid w:val="00251056"/>
    <w:rsid w:val="0025323B"/>
    <w:rsid w:val="002534CF"/>
    <w:rsid w:val="00256226"/>
    <w:rsid w:val="002570BF"/>
    <w:rsid w:val="002575DE"/>
    <w:rsid w:val="002579F0"/>
    <w:rsid w:val="00261E6D"/>
    <w:rsid w:val="00263107"/>
    <w:rsid w:val="00264891"/>
    <w:rsid w:val="00265464"/>
    <w:rsid w:val="00270C3D"/>
    <w:rsid w:val="00271B65"/>
    <w:rsid w:val="002765BB"/>
    <w:rsid w:val="002775DE"/>
    <w:rsid w:val="00280420"/>
    <w:rsid w:val="002869B4"/>
    <w:rsid w:val="00287A5B"/>
    <w:rsid w:val="00287E3C"/>
    <w:rsid w:val="00287EEB"/>
    <w:rsid w:val="00290DA4"/>
    <w:rsid w:val="00294414"/>
    <w:rsid w:val="00296E9F"/>
    <w:rsid w:val="00297709"/>
    <w:rsid w:val="002979F2"/>
    <w:rsid w:val="002A0510"/>
    <w:rsid w:val="002A1EB1"/>
    <w:rsid w:val="002A2988"/>
    <w:rsid w:val="002A3187"/>
    <w:rsid w:val="002A3484"/>
    <w:rsid w:val="002A35A9"/>
    <w:rsid w:val="002A3856"/>
    <w:rsid w:val="002A43E2"/>
    <w:rsid w:val="002A5436"/>
    <w:rsid w:val="002B1E43"/>
    <w:rsid w:val="002B425F"/>
    <w:rsid w:val="002B47DF"/>
    <w:rsid w:val="002B6487"/>
    <w:rsid w:val="002C0D8D"/>
    <w:rsid w:val="002C2DDC"/>
    <w:rsid w:val="002C5193"/>
    <w:rsid w:val="002C7950"/>
    <w:rsid w:val="002D1B6B"/>
    <w:rsid w:val="002D1BB3"/>
    <w:rsid w:val="002E004C"/>
    <w:rsid w:val="002E1193"/>
    <w:rsid w:val="002E3187"/>
    <w:rsid w:val="002E4F64"/>
    <w:rsid w:val="002E61F5"/>
    <w:rsid w:val="002F1B27"/>
    <w:rsid w:val="002F236E"/>
    <w:rsid w:val="002F3B8E"/>
    <w:rsid w:val="002F4CEB"/>
    <w:rsid w:val="002F6357"/>
    <w:rsid w:val="002F6D99"/>
    <w:rsid w:val="002F78FA"/>
    <w:rsid w:val="003018C1"/>
    <w:rsid w:val="003029D6"/>
    <w:rsid w:val="003047C7"/>
    <w:rsid w:val="00305235"/>
    <w:rsid w:val="00306B10"/>
    <w:rsid w:val="003123F7"/>
    <w:rsid w:val="00312741"/>
    <w:rsid w:val="003133D1"/>
    <w:rsid w:val="00313555"/>
    <w:rsid w:val="003142E2"/>
    <w:rsid w:val="003151E1"/>
    <w:rsid w:val="00315AEF"/>
    <w:rsid w:val="00315CEC"/>
    <w:rsid w:val="00320399"/>
    <w:rsid w:val="003224E4"/>
    <w:rsid w:val="00322749"/>
    <w:rsid w:val="00323076"/>
    <w:rsid w:val="0032346B"/>
    <w:rsid w:val="003237B2"/>
    <w:rsid w:val="00324728"/>
    <w:rsid w:val="00325456"/>
    <w:rsid w:val="003254FA"/>
    <w:rsid w:val="00326B66"/>
    <w:rsid w:val="00330026"/>
    <w:rsid w:val="00330AA2"/>
    <w:rsid w:val="00331476"/>
    <w:rsid w:val="00331758"/>
    <w:rsid w:val="00332BD5"/>
    <w:rsid w:val="0033306E"/>
    <w:rsid w:val="00336541"/>
    <w:rsid w:val="00336A9B"/>
    <w:rsid w:val="00336C0B"/>
    <w:rsid w:val="00340FFB"/>
    <w:rsid w:val="00342EDA"/>
    <w:rsid w:val="00343C8A"/>
    <w:rsid w:val="00346E5A"/>
    <w:rsid w:val="0035193E"/>
    <w:rsid w:val="0035257F"/>
    <w:rsid w:val="003532A5"/>
    <w:rsid w:val="00355BD1"/>
    <w:rsid w:val="00355FFD"/>
    <w:rsid w:val="0035738F"/>
    <w:rsid w:val="003609F4"/>
    <w:rsid w:val="00362076"/>
    <w:rsid w:val="00362345"/>
    <w:rsid w:val="00363963"/>
    <w:rsid w:val="003654C3"/>
    <w:rsid w:val="00365611"/>
    <w:rsid w:val="00366031"/>
    <w:rsid w:val="003679EB"/>
    <w:rsid w:val="00370FC7"/>
    <w:rsid w:val="00372947"/>
    <w:rsid w:val="00373550"/>
    <w:rsid w:val="003751BB"/>
    <w:rsid w:val="003849B1"/>
    <w:rsid w:val="00385F7A"/>
    <w:rsid w:val="003865C3"/>
    <w:rsid w:val="00391DA8"/>
    <w:rsid w:val="00392250"/>
    <w:rsid w:val="003943D5"/>
    <w:rsid w:val="00394FA6"/>
    <w:rsid w:val="00395AF8"/>
    <w:rsid w:val="0039618D"/>
    <w:rsid w:val="00397580"/>
    <w:rsid w:val="003A1335"/>
    <w:rsid w:val="003A199D"/>
    <w:rsid w:val="003A1A6D"/>
    <w:rsid w:val="003A3778"/>
    <w:rsid w:val="003B033B"/>
    <w:rsid w:val="003B13E8"/>
    <w:rsid w:val="003B5BE4"/>
    <w:rsid w:val="003C0B94"/>
    <w:rsid w:val="003C3182"/>
    <w:rsid w:val="003C3E23"/>
    <w:rsid w:val="003C4D92"/>
    <w:rsid w:val="003C6B90"/>
    <w:rsid w:val="003D1065"/>
    <w:rsid w:val="003D3333"/>
    <w:rsid w:val="003D56D8"/>
    <w:rsid w:val="003D781D"/>
    <w:rsid w:val="003E1CD6"/>
    <w:rsid w:val="003E399D"/>
    <w:rsid w:val="003E3A67"/>
    <w:rsid w:val="003E3E7A"/>
    <w:rsid w:val="003E4852"/>
    <w:rsid w:val="003E5853"/>
    <w:rsid w:val="003E668A"/>
    <w:rsid w:val="003F15EB"/>
    <w:rsid w:val="003F2E09"/>
    <w:rsid w:val="003F3BD0"/>
    <w:rsid w:val="003F481F"/>
    <w:rsid w:val="003F58E6"/>
    <w:rsid w:val="003F642C"/>
    <w:rsid w:val="003F7AEC"/>
    <w:rsid w:val="003F7BC3"/>
    <w:rsid w:val="00400877"/>
    <w:rsid w:val="004019A2"/>
    <w:rsid w:val="00403E58"/>
    <w:rsid w:val="0040414A"/>
    <w:rsid w:val="004047E1"/>
    <w:rsid w:val="0040681B"/>
    <w:rsid w:val="004074CE"/>
    <w:rsid w:val="00412C36"/>
    <w:rsid w:val="00412DE2"/>
    <w:rsid w:val="00413351"/>
    <w:rsid w:val="0041490F"/>
    <w:rsid w:val="00416255"/>
    <w:rsid w:val="004174B0"/>
    <w:rsid w:val="00420AE5"/>
    <w:rsid w:val="00421C1C"/>
    <w:rsid w:val="004220C6"/>
    <w:rsid w:val="0042296F"/>
    <w:rsid w:val="00424488"/>
    <w:rsid w:val="00426324"/>
    <w:rsid w:val="00433595"/>
    <w:rsid w:val="00435E75"/>
    <w:rsid w:val="00436C93"/>
    <w:rsid w:val="00441758"/>
    <w:rsid w:val="00445E56"/>
    <w:rsid w:val="00445F14"/>
    <w:rsid w:val="00446732"/>
    <w:rsid w:val="00446CFB"/>
    <w:rsid w:val="00451837"/>
    <w:rsid w:val="00451984"/>
    <w:rsid w:val="004529F9"/>
    <w:rsid w:val="00454962"/>
    <w:rsid w:val="00455EA1"/>
    <w:rsid w:val="004560AF"/>
    <w:rsid w:val="004565D6"/>
    <w:rsid w:val="00456DC0"/>
    <w:rsid w:val="00460ED8"/>
    <w:rsid w:val="00462F85"/>
    <w:rsid w:val="00463C72"/>
    <w:rsid w:val="0046594D"/>
    <w:rsid w:val="0046722B"/>
    <w:rsid w:val="00472CF1"/>
    <w:rsid w:val="00473393"/>
    <w:rsid w:val="004752A1"/>
    <w:rsid w:val="00475C5A"/>
    <w:rsid w:val="00476E69"/>
    <w:rsid w:val="00483EBB"/>
    <w:rsid w:val="0048415F"/>
    <w:rsid w:val="00484465"/>
    <w:rsid w:val="004845B5"/>
    <w:rsid w:val="00486557"/>
    <w:rsid w:val="004866B4"/>
    <w:rsid w:val="004878DC"/>
    <w:rsid w:val="004925CA"/>
    <w:rsid w:val="00493703"/>
    <w:rsid w:val="00495853"/>
    <w:rsid w:val="004958E8"/>
    <w:rsid w:val="004A10F8"/>
    <w:rsid w:val="004A43B1"/>
    <w:rsid w:val="004A4F0B"/>
    <w:rsid w:val="004A555C"/>
    <w:rsid w:val="004A6F0F"/>
    <w:rsid w:val="004A72B1"/>
    <w:rsid w:val="004B2246"/>
    <w:rsid w:val="004B279C"/>
    <w:rsid w:val="004B6256"/>
    <w:rsid w:val="004B72EA"/>
    <w:rsid w:val="004C2BB6"/>
    <w:rsid w:val="004C2E37"/>
    <w:rsid w:val="004C3741"/>
    <w:rsid w:val="004C6EC7"/>
    <w:rsid w:val="004C6F30"/>
    <w:rsid w:val="004C76C8"/>
    <w:rsid w:val="004C7BFD"/>
    <w:rsid w:val="004D12AC"/>
    <w:rsid w:val="004D19BF"/>
    <w:rsid w:val="004D1F21"/>
    <w:rsid w:val="004D5CE2"/>
    <w:rsid w:val="004D6460"/>
    <w:rsid w:val="004D6E6E"/>
    <w:rsid w:val="004E1FA1"/>
    <w:rsid w:val="004E48E2"/>
    <w:rsid w:val="004E570A"/>
    <w:rsid w:val="004E655B"/>
    <w:rsid w:val="004F0C70"/>
    <w:rsid w:val="004F2C5F"/>
    <w:rsid w:val="004F2EC8"/>
    <w:rsid w:val="004F348C"/>
    <w:rsid w:val="004F4220"/>
    <w:rsid w:val="004F4E0B"/>
    <w:rsid w:val="004F70CD"/>
    <w:rsid w:val="004F7195"/>
    <w:rsid w:val="00500B40"/>
    <w:rsid w:val="005015AD"/>
    <w:rsid w:val="005017EE"/>
    <w:rsid w:val="00505A17"/>
    <w:rsid w:val="0050669B"/>
    <w:rsid w:val="00507BDA"/>
    <w:rsid w:val="00511D92"/>
    <w:rsid w:val="0051446D"/>
    <w:rsid w:val="005217C6"/>
    <w:rsid w:val="005235F2"/>
    <w:rsid w:val="00523F9C"/>
    <w:rsid w:val="0053012E"/>
    <w:rsid w:val="00530ABC"/>
    <w:rsid w:val="00532CCE"/>
    <w:rsid w:val="0053530F"/>
    <w:rsid w:val="00536005"/>
    <w:rsid w:val="0053698A"/>
    <w:rsid w:val="00536C11"/>
    <w:rsid w:val="00537D84"/>
    <w:rsid w:val="00543E8A"/>
    <w:rsid w:val="0054634F"/>
    <w:rsid w:val="0055199D"/>
    <w:rsid w:val="0055417F"/>
    <w:rsid w:val="005543B4"/>
    <w:rsid w:val="005552CD"/>
    <w:rsid w:val="00555DF7"/>
    <w:rsid w:val="005573C0"/>
    <w:rsid w:val="00557A71"/>
    <w:rsid w:val="00557AD6"/>
    <w:rsid w:val="0056040B"/>
    <w:rsid w:val="00560FFD"/>
    <w:rsid w:val="005656EE"/>
    <w:rsid w:val="00565F85"/>
    <w:rsid w:val="00567EB6"/>
    <w:rsid w:val="005700B9"/>
    <w:rsid w:val="005707C1"/>
    <w:rsid w:val="005720E1"/>
    <w:rsid w:val="005748EB"/>
    <w:rsid w:val="00575932"/>
    <w:rsid w:val="00575FC9"/>
    <w:rsid w:val="005774A9"/>
    <w:rsid w:val="005817BD"/>
    <w:rsid w:val="00581DB7"/>
    <w:rsid w:val="00583153"/>
    <w:rsid w:val="005838EB"/>
    <w:rsid w:val="00584959"/>
    <w:rsid w:val="00585048"/>
    <w:rsid w:val="005856AB"/>
    <w:rsid w:val="005859F7"/>
    <w:rsid w:val="005876D8"/>
    <w:rsid w:val="0059059D"/>
    <w:rsid w:val="00590ED1"/>
    <w:rsid w:val="00591BE5"/>
    <w:rsid w:val="0059297B"/>
    <w:rsid w:val="00593A73"/>
    <w:rsid w:val="00596ACE"/>
    <w:rsid w:val="005976E5"/>
    <w:rsid w:val="005A0B5D"/>
    <w:rsid w:val="005A0B8A"/>
    <w:rsid w:val="005A1106"/>
    <w:rsid w:val="005A44F5"/>
    <w:rsid w:val="005A4D9C"/>
    <w:rsid w:val="005A578A"/>
    <w:rsid w:val="005A600B"/>
    <w:rsid w:val="005B0935"/>
    <w:rsid w:val="005B1E45"/>
    <w:rsid w:val="005B5DD5"/>
    <w:rsid w:val="005B6309"/>
    <w:rsid w:val="005B78DB"/>
    <w:rsid w:val="005C063F"/>
    <w:rsid w:val="005C2A0C"/>
    <w:rsid w:val="005C2F33"/>
    <w:rsid w:val="005C4170"/>
    <w:rsid w:val="005C4C49"/>
    <w:rsid w:val="005C4E28"/>
    <w:rsid w:val="005C635F"/>
    <w:rsid w:val="005C6DA8"/>
    <w:rsid w:val="005C6F56"/>
    <w:rsid w:val="005D05E4"/>
    <w:rsid w:val="005D0C08"/>
    <w:rsid w:val="005D26A3"/>
    <w:rsid w:val="005D2ED6"/>
    <w:rsid w:val="005D33F0"/>
    <w:rsid w:val="005D4D5C"/>
    <w:rsid w:val="005D629A"/>
    <w:rsid w:val="005D6457"/>
    <w:rsid w:val="005D718F"/>
    <w:rsid w:val="005D75AE"/>
    <w:rsid w:val="005D7B50"/>
    <w:rsid w:val="005E07C9"/>
    <w:rsid w:val="005E3061"/>
    <w:rsid w:val="005E4B15"/>
    <w:rsid w:val="005E5B82"/>
    <w:rsid w:val="005E5CAE"/>
    <w:rsid w:val="005E6B6A"/>
    <w:rsid w:val="005E74FD"/>
    <w:rsid w:val="005F00A9"/>
    <w:rsid w:val="005F11DB"/>
    <w:rsid w:val="005F1D70"/>
    <w:rsid w:val="005F2639"/>
    <w:rsid w:val="005F26C6"/>
    <w:rsid w:val="005F29D3"/>
    <w:rsid w:val="005F42B8"/>
    <w:rsid w:val="005F4E67"/>
    <w:rsid w:val="005F69D1"/>
    <w:rsid w:val="005F6A39"/>
    <w:rsid w:val="00601402"/>
    <w:rsid w:val="0060181E"/>
    <w:rsid w:val="00611867"/>
    <w:rsid w:val="00611FE3"/>
    <w:rsid w:val="006128F8"/>
    <w:rsid w:val="0062264E"/>
    <w:rsid w:val="00622C1C"/>
    <w:rsid w:val="00622F96"/>
    <w:rsid w:val="00623A4B"/>
    <w:rsid w:val="006248B1"/>
    <w:rsid w:val="00624B74"/>
    <w:rsid w:val="00626E85"/>
    <w:rsid w:val="006302CB"/>
    <w:rsid w:val="00630BDF"/>
    <w:rsid w:val="00633B3F"/>
    <w:rsid w:val="00635358"/>
    <w:rsid w:val="0063570E"/>
    <w:rsid w:val="0063729C"/>
    <w:rsid w:val="006403FF"/>
    <w:rsid w:val="006417C9"/>
    <w:rsid w:val="0064286E"/>
    <w:rsid w:val="00642D5F"/>
    <w:rsid w:val="00645D92"/>
    <w:rsid w:val="00647C9C"/>
    <w:rsid w:val="00647D4D"/>
    <w:rsid w:val="006523E1"/>
    <w:rsid w:val="00654479"/>
    <w:rsid w:val="00654BAE"/>
    <w:rsid w:val="00654C44"/>
    <w:rsid w:val="00656231"/>
    <w:rsid w:val="00656EF0"/>
    <w:rsid w:val="00656FDA"/>
    <w:rsid w:val="006614FC"/>
    <w:rsid w:val="00663E02"/>
    <w:rsid w:val="00667CA4"/>
    <w:rsid w:val="00670293"/>
    <w:rsid w:val="006739F2"/>
    <w:rsid w:val="00675D3E"/>
    <w:rsid w:val="0067682C"/>
    <w:rsid w:val="0068080E"/>
    <w:rsid w:val="00681019"/>
    <w:rsid w:val="0068421B"/>
    <w:rsid w:val="00684B3A"/>
    <w:rsid w:val="00685B0D"/>
    <w:rsid w:val="00686CD6"/>
    <w:rsid w:val="0068707D"/>
    <w:rsid w:val="006907EF"/>
    <w:rsid w:val="00690A50"/>
    <w:rsid w:val="0069138A"/>
    <w:rsid w:val="006957F2"/>
    <w:rsid w:val="0069584D"/>
    <w:rsid w:val="00696DE0"/>
    <w:rsid w:val="0069744B"/>
    <w:rsid w:val="0069799F"/>
    <w:rsid w:val="006A0283"/>
    <w:rsid w:val="006A2894"/>
    <w:rsid w:val="006A2DC2"/>
    <w:rsid w:val="006A3D2A"/>
    <w:rsid w:val="006A68BB"/>
    <w:rsid w:val="006B1663"/>
    <w:rsid w:val="006B1FFE"/>
    <w:rsid w:val="006B31C3"/>
    <w:rsid w:val="006B3E9A"/>
    <w:rsid w:val="006B760E"/>
    <w:rsid w:val="006C1A8C"/>
    <w:rsid w:val="006C245D"/>
    <w:rsid w:val="006C38A5"/>
    <w:rsid w:val="006C4537"/>
    <w:rsid w:val="006C4A88"/>
    <w:rsid w:val="006C668E"/>
    <w:rsid w:val="006C77AA"/>
    <w:rsid w:val="006D11A3"/>
    <w:rsid w:val="006D2BBF"/>
    <w:rsid w:val="006D3542"/>
    <w:rsid w:val="006D3A45"/>
    <w:rsid w:val="006D638E"/>
    <w:rsid w:val="006D6501"/>
    <w:rsid w:val="006D6ACC"/>
    <w:rsid w:val="006D71A4"/>
    <w:rsid w:val="006E2873"/>
    <w:rsid w:val="006E38BA"/>
    <w:rsid w:val="006E77BF"/>
    <w:rsid w:val="006F1DFA"/>
    <w:rsid w:val="006F5744"/>
    <w:rsid w:val="006F75B2"/>
    <w:rsid w:val="006F7998"/>
    <w:rsid w:val="00700AC1"/>
    <w:rsid w:val="00700FB4"/>
    <w:rsid w:val="00702F1B"/>
    <w:rsid w:val="007038DE"/>
    <w:rsid w:val="007050A7"/>
    <w:rsid w:val="007058BE"/>
    <w:rsid w:val="0070719E"/>
    <w:rsid w:val="00713011"/>
    <w:rsid w:val="007140E2"/>
    <w:rsid w:val="00714778"/>
    <w:rsid w:val="00714FB9"/>
    <w:rsid w:val="0072298F"/>
    <w:rsid w:val="00722FAF"/>
    <w:rsid w:val="00723EA1"/>
    <w:rsid w:val="00724570"/>
    <w:rsid w:val="00725945"/>
    <w:rsid w:val="0072648F"/>
    <w:rsid w:val="00727080"/>
    <w:rsid w:val="00727BBD"/>
    <w:rsid w:val="00732078"/>
    <w:rsid w:val="00732BDC"/>
    <w:rsid w:val="007341D2"/>
    <w:rsid w:val="007344E8"/>
    <w:rsid w:val="007414D0"/>
    <w:rsid w:val="007422AB"/>
    <w:rsid w:val="007427E5"/>
    <w:rsid w:val="007436A2"/>
    <w:rsid w:val="00746D70"/>
    <w:rsid w:val="00747078"/>
    <w:rsid w:val="00747F55"/>
    <w:rsid w:val="00750713"/>
    <w:rsid w:val="00750B73"/>
    <w:rsid w:val="00750C12"/>
    <w:rsid w:val="00750C5C"/>
    <w:rsid w:val="0075160D"/>
    <w:rsid w:val="007532A5"/>
    <w:rsid w:val="0075476E"/>
    <w:rsid w:val="007558EC"/>
    <w:rsid w:val="00755EA0"/>
    <w:rsid w:val="00756756"/>
    <w:rsid w:val="00757270"/>
    <w:rsid w:val="00757F4E"/>
    <w:rsid w:val="007620CB"/>
    <w:rsid w:val="0076286C"/>
    <w:rsid w:val="0076346B"/>
    <w:rsid w:val="00763B56"/>
    <w:rsid w:val="00763FD9"/>
    <w:rsid w:val="007649FB"/>
    <w:rsid w:val="00764ECC"/>
    <w:rsid w:val="00766707"/>
    <w:rsid w:val="00770C3C"/>
    <w:rsid w:val="00772F8C"/>
    <w:rsid w:val="00774D2C"/>
    <w:rsid w:val="00775260"/>
    <w:rsid w:val="00775B23"/>
    <w:rsid w:val="00782CB9"/>
    <w:rsid w:val="007830A4"/>
    <w:rsid w:val="007833D5"/>
    <w:rsid w:val="00784F7B"/>
    <w:rsid w:val="00793393"/>
    <w:rsid w:val="0079551C"/>
    <w:rsid w:val="007A502E"/>
    <w:rsid w:val="007A6F46"/>
    <w:rsid w:val="007A71CA"/>
    <w:rsid w:val="007A7B0B"/>
    <w:rsid w:val="007B23BB"/>
    <w:rsid w:val="007B31E7"/>
    <w:rsid w:val="007B56B0"/>
    <w:rsid w:val="007B6358"/>
    <w:rsid w:val="007B67DE"/>
    <w:rsid w:val="007C009B"/>
    <w:rsid w:val="007C1737"/>
    <w:rsid w:val="007C4189"/>
    <w:rsid w:val="007C56EF"/>
    <w:rsid w:val="007C5C29"/>
    <w:rsid w:val="007C5CF8"/>
    <w:rsid w:val="007D09ED"/>
    <w:rsid w:val="007D48F9"/>
    <w:rsid w:val="007D4B53"/>
    <w:rsid w:val="007D5C1D"/>
    <w:rsid w:val="007D66FB"/>
    <w:rsid w:val="007E2156"/>
    <w:rsid w:val="007E26C8"/>
    <w:rsid w:val="007E3631"/>
    <w:rsid w:val="007E4781"/>
    <w:rsid w:val="007E738C"/>
    <w:rsid w:val="007E7730"/>
    <w:rsid w:val="007F0828"/>
    <w:rsid w:val="007F0A46"/>
    <w:rsid w:val="007F3C2D"/>
    <w:rsid w:val="007F5A6D"/>
    <w:rsid w:val="007F65F9"/>
    <w:rsid w:val="007F70AE"/>
    <w:rsid w:val="00801629"/>
    <w:rsid w:val="00801A75"/>
    <w:rsid w:val="00802D04"/>
    <w:rsid w:val="00804222"/>
    <w:rsid w:val="00805562"/>
    <w:rsid w:val="00807741"/>
    <w:rsid w:val="00810192"/>
    <w:rsid w:val="0081150D"/>
    <w:rsid w:val="00811F2E"/>
    <w:rsid w:val="00812370"/>
    <w:rsid w:val="00816181"/>
    <w:rsid w:val="00816EA3"/>
    <w:rsid w:val="008174EB"/>
    <w:rsid w:val="0082143F"/>
    <w:rsid w:val="0082345A"/>
    <w:rsid w:val="008244D0"/>
    <w:rsid w:val="00824751"/>
    <w:rsid w:val="00825FDA"/>
    <w:rsid w:val="0082760A"/>
    <w:rsid w:val="00831721"/>
    <w:rsid w:val="008321F6"/>
    <w:rsid w:val="00832378"/>
    <w:rsid w:val="00832F05"/>
    <w:rsid w:val="00833B40"/>
    <w:rsid w:val="008347AD"/>
    <w:rsid w:val="0084059A"/>
    <w:rsid w:val="00842878"/>
    <w:rsid w:val="008462D4"/>
    <w:rsid w:val="008511BB"/>
    <w:rsid w:val="00851433"/>
    <w:rsid w:val="008530BA"/>
    <w:rsid w:val="008542F5"/>
    <w:rsid w:val="00854FCB"/>
    <w:rsid w:val="00855D0B"/>
    <w:rsid w:val="008567EB"/>
    <w:rsid w:val="0086528E"/>
    <w:rsid w:val="00865C8A"/>
    <w:rsid w:val="00866BF7"/>
    <w:rsid w:val="0086705F"/>
    <w:rsid w:val="008707C5"/>
    <w:rsid w:val="00870876"/>
    <w:rsid w:val="00872340"/>
    <w:rsid w:val="008731DD"/>
    <w:rsid w:val="00873B25"/>
    <w:rsid w:val="008746E0"/>
    <w:rsid w:val="008770B7"/>
    <w:rsid w:val="00882A95"/>
    <w:rsid w:val="008831C5"/>
    <w:rsid w:val="00883A36"/>
    <w:rsid w:val="00884722"/>
    <w:rsid w:val="00884999"/>
    <w:rsid w:val="00884C81"/>
    <w:rsid w:val="00886236"/>
    <w:rsid w:val="008871D8"/>
    <w:rsid w:val="00890C36"/>
    <w:rsid w:val="00891F7A"/>
    <w:rsid w:val="008935D7"/>
    <w:rsid w:val="00893C65"/>
    <w:rsid w:val="00894639"/>
    <w:rsid w:val="00894D3C"/>
    <w:rsid w:val="00894FC2"/>
    <w:rsid w:val="0089692D"/>
    <w:rsid w:val="008A14EB"/>
    <w:rsid w:val="008A21BE"/>
    <w:rsid w:val="008A4330"/>
    <w:rsid w:val="008A63FD"/>
    <w:rsid w:val="008A751C"/>
    <w:rsid w:val="008B1F1F"/>
    <w:rsid w:val="008C45CB"/>
    <w:rsid w:val="008C53B2"/>
    <w:rsid w:val="008C6378"/>
    <w:rsid w:val="008C63DC"/>
    <w:rsid w:val="008D189D"/>
    <w:rsid w:val="008D2D98"/>
    <w:rsid w:val="008D6D6A"/>
    <w:rsid w:val="008D794A"/>
    <w:rsid w:val="008D7A61"/>
    <w:rsid w:val="008E0F92"/>
    <w:rsid w:val="008E17B0"/>
    <w:rsid w:val="008E223C"/>
    <w:rsid w:val="008E48A6"/>
    <w:rsid w:val="008E6953"/>
    <w:rsid w:val="008E71B3"/>
    <w:rsid w:val="008E7CF5"/>
    <w:rsid w:val="008E7E69"/>
    <w:rsid w:val="008F0876"/>
    <w:rsid w:val="008F13B1"/>
    <w:rsid w:val="008F217E"/>
    <w:rsid w:val="008F30B8"/>
    <w:rsid w:val="008F5DF3"/>
    <w:rsid w:val="008F610F"/>
    <w:rsid w:val="008F7DC4"/>
    <w:rsid w:val="0090113C"/>
    <w:rsid w:val="00903788"/>
    <w:rsid w:val="00903F6D"/>
    <w:rsid w:val="00904B41"/>
    <w:rsid w:val="00904BFA"/>
    <w:rsid w:val="00904EC2"/>
    <w:rsid w:val="00906C29"/>
    <w:rsid w:val="00907A5F"/>
    <w:rsid w:val="00910AF8"/>
    <w:rsid w:val="00910CFD"/>
    <w:rsid w:val="00911130"/>
    <w:rsid w:val="009126D3"/>
    <w:rsid w:val="00914403"/>
    <w:rsid w:val="00914F13"/>
    <w:rsid w:val="00916082"/>
    <w:rsid w:val="00917D90"/>
    <w:rsid w:val="009217FB"/>
    <w:rsid w:val="009242E1"/>
    <w:rsid w:val="00924383"/>
    <w:rsid w:val="00924A17"/>
    <w:rsid w:val="00924B1B"/>
    <w:rsid w:val="00924E9B"/>
    <w:rsid w:val="009261CA"/>
    <w:rsid w:val="00927A10"/>
    <w:rsid w:val="0093039B"/>
    <w:rsid w:val="0093256D"/>
    <w:rsid w:val="00934260"/>
    <w:rsid w:val="00936065"/>
    <w:rsid w:val="00937FB4"/>
    <w:rsid w:val="00940C0B"/>
    <w:rsid w:val="00941BDE"/>
    <w:rsid w:val="00943846"/>
    <w:rsid w:val="00943852"/>
    <w:rsid w:val="00943E89"/>
    <w:rsid w:val="009449D6"/>
    <w:rsid w:val="00946197"/>
    <w:rsid w:val="0095059B"/>
    <w:rsid w:val="0095073A"/>
    <w:rsid w:val="00952525"/>
    <w:rsid w:val="009526CD"/>
    <w:rsid w:val="00954D2D"/>
    <w:rsid w:val="009556A2"/>
    <w:rsid w:val="00956887"/>
    <w:rsid w:val="00957C9D"/>
    <w:rsid w:val="00962593"/>
    <w:rsid w:val="00962994"/>
    <w:rsid w:val="00964633"/>
    <w:rsid w:val="00964D99"/>
    <w:rsid w:val="009653D3"/>
    <w:rsid w:val="00966340"/>
    <w:rsid w:val="00966407"/>
    <w:rsid w:val="00966436"/>
    <w:rsid w:val="00970754"/>
    <w:rsid w:val="00971FD5"/>
    <w:rsid w:val="009731AB"/>
    <w:rsid w:val="00973594"/>
    <w:rsid w:val="00974182"/>
    <w:rsid w:val="00976BE9"/>
    <w:rsid w:val="00984548"/>
    <w:rsid w:val="00984EC0"/>
    <w:rsid w:val="00984FCC"/>
    <w:rsid w:val="00985737"/>
    <w:rsid w:val="00985CBD"/>
    <w:rsid w:val="00986629"/>
    <w:rsid w:val="0098745D"/>
    <w:rsid w:val="00990857"/>
    <w:rsid w:val="00996656"/>
    <w:rsid w:val="009A2D6D"/>
    <w:rsid w:val="009A316B"/>
    <w:rsid w:val="009A441D"/>
    <w:rsid w:val="009A4783"/>
    <w:rsid w:val="009A4BB5"/>
    <w:rsid w:val="009A684A"/>
    <w:rsid w:val="009A69B1"/>
    <w:rsid w:val="009A71EA"/>
    <w:rsid w:val="009A7C5D"/>
    <w:rsid w:val="009B0203"/>
    <w:rsid w:val="009B0703"/>
    <w:rsid w:val="009B21EF"/>
    <w:rsid w:val="009B4481"/>
    <w:rsid w:val="009B50F9"/>
    <w:rsid w:val="009B51AF"/>
    <w:rsid w:val="009B6C03"/>
    <w:rsid w:val="009C055D"/>
    <w:rsid w:val="009C0CB2"/>
    <w:rsid w:val="009C3BCB"/>
    <w:rsid w:val="009D079F"/>
    <w:rsid w:val="009D11DC"/>
    <w:rsid w:val="009D1302"/>
    <w:rsid w:val="009D17B2"/>
    <w:rsid w:val="009D1890"/>
    <w:rsid w:val="009D1DD7"/>
    <w:rsid w:val="009D253A"/>
    <w:rsid w:val="009D3D38"/>
    <w:rsid w:val="009D3DEF"/>
    <w:rsid w:val="009D555F"/>
    <w:rsid w:val="009D55AC"/>
    <w:rsid w:val="009D7E25"/>
    <w:rsid w:val="009E035D"/>
    <w:rsid w:val="009E19F1"/>
    <w:rsid w:val="009E5086"/>
    <w:rsid w:val="009E51B7"/>
    <w:rsid w:val="009E542A"/>
    <w:rsid w:val="009E55A8"/>
    <w:rsid w:val="009F04EF"/>
    <w:rsid w:val="009F1E68"/>
    <w:rsid w:val="009F4457"/>
    <w:rsid w:val="00A00FC2"/>
    <w:rsid w:val="00A01804"/>
    <w:rsid w:val="00A04ADE"/>
    <w:rsid w:val="00A05A1C"/>
    <w:rsid w:val="00A1043E"/>
    <w:rsid w:val="00A10561"/>
    <w:rsid w:val="00A10640"/>
    <w:rsid w:val="00A12AB7"/>
    <w:rsid w:val="00A13104"/>
    <w:rsid w:val="00A14E95"/>
    <w:rsid w:val="00A150B7"/>
    <w:rsid w:val="00A174C2"/>
    <w:rsid w:val="00A1762D"/>
    <w:rsid w:val="00A20077"/>
    <w:rsid w:val="00A2369C"/>
    <w:rsid w:val="00A264FE"/>
    <w:rsid w:val="00A300EE"/>
    <w:rsid w:val="00A3022F"/>
    <w:rsid w:val="00A30913"/>
    <w:rsid w:val="00A30D4B"/>
    <w:rsid w:val="00A34BBC"/>
    <w:rsid w:val="00A3510C"/>
    <w:rsid w:val="00A353E4"/>
    <w:rsid w:val="00A35A0C"/>
    <w:rsid w:val="00A35E8C"/>
    <w:rsid w:val="00A36E64"/>
    <w:rsid w:val="00A3723A"/>
    <w:rsid w:val="00A374CC"/>
    <w:rsid w:val="00A41080"/>
    <w:rsid w:val="00A41952"/>
    <w:rsid w:val="00A426E9"/>
    <w:rsid w:val="00A465F9"/>
    <w:rsid w:val="00A5146D"/>
    <w:rsid w:val="00A52756"/>
    <w:rsid w:val="00A5646E"/>
    <w:rsid w:val="00A6181E"/>
    <w:rsid w:val="00A62AD2"/>
    <w:rsid w:val="00A63CB8"/>
    <w:rsid w:val="00A64CD0"/>
    <w:rsid w:val="00A65EE2"/>
    <w:rsid w:val="00A66ADB"/>
    <w:rsid w:val="00A720D0"/>
    <w:rsid w:val="00A73228"/>
    <w:rsid w:val="00A73BDF"/>
    <w:rsid w:val="00A758AC"/>
    <w:rsid w:val="00A76400"/>
    <w:rsid w:val="00A7765B"/>
    <w:rsid w:val="00A80106"/>
    <w:rsid w:val="00A819AA"/>
    <w:rsid w:val="00A831F0"/>
    <w:rsid w:val="00A84198"/>
    <w:rsid w:val="00A85ECD"/>
    <w:rsid w:val="00A864D5"/>
    <w:rsid w:val="00A869E9"/>
    <w:rsid w:val="00A86FC9"/>
    <w:rsid w:val="00A87973"/>
    <w:rsid w:val="00A90875"/>
    <w:rsid w:val="00A920D2"/>
    <w:rsid w:val="00A92AFC"/>
    <w:rsid w:val="00A9373F"/>
    <w:rsid w:val="00A94634"/>
    <w:rsid w:val="00A946E5"/>
    <w:rsid w:val="00AA12E0"/>
    <w:rsid w:val="00AA3A60"/>
    <w:rsid w:val="00AA760D"/>
    <w:rsid w:val="00AB11FA"/>
    <w:rsid w:val="00AB39A4"/>
    <w:rsid w:val="00AB4DB8"/>
    <w:rsid w:val="00AB560B"/>
    <w:rsid w:val="00AB635D"/>
    <w:rsid w:val="00AB73AF"/>
    <w:rsid w:val="00AC31A0"/>
    <w:rsid w:val="00AC386B"/>
    <w:rsid w:val="00AC4B67"/>
    <w:rsid w:val="00AC63B9"/>
    <w:rsid w:val="00AC66BC"/>
    <w:rsid w:val="00AD17B9"/>
    <w:rsid w:val="00AD3729"/>
    <w:rsid w:val="00AD47FC"/>
    <w:rsid w:val="00AD62E0"/>
    <w:rsid w:val="00AE0DBD"/>
    <w:rsid w:val="00AE10F2"/>
    <w:rsid w:val="00AE1740"/>
    <w:rsid w:val="00AE1D79"/>
    <w:rsid w:val="00AE2574"/>
    <w:rsid w:val="00AE30A3"/>
    <w:rsid w:val="00AE3594"/>
    <w:rsid w:val="00AE42B3"/>
    <w:rsid w:val="00AE679C"/>
    <w:rsid w:val="00AE72DF"/>
    <w:rsid w:val="00AF1FB1"/>
    <w:rsid w:val="00AF3EC3"/>
    <w:rsid w:val="00AF5B2B"/>
    <w:rsid w:val="00AF5B49"/>
    <w:rsid w:val="00AF69B5"/>
    <w:rsid w:val="00AF6F0B"/>
    <w:rsid w:val="00AF7BCE"/>
    <w:rsid w:val="00B00A2B"/>
    <w:rsid w:val="00B03A83"/>
    <w:rsid w:val="00B04836"/>
    <w:rsid w:val="00B100F4"/>
    <w:rsid w:val="00B11195"/>
    <w:rsid w:val="00B1673B"/>
    <w:rsid w:val="00B16DF0"/>
    <w:rsid w:val="00B177F8"/>
    <w:rsid w:val="00B2057F"/>
    <w:rsid w:val="00B2136F"/>
    <w:rsid w:val="00B2213B"/>
    <w:rsid w:val="00B22FC9"/>
    <w:rsid w:val="00B2471C"/>
    <w:rsid w:val="00B24DF6"/>
    <w:rsid w:val="00B250A3"/>
    <w:rsid w:val="00B269DE"/>
    <w:rsid w:val="00B26E75"/>
    <w:rsid w:val="00B27295"/>
    <w:rsid w:val="00B2799A"/>
    <w:rsid w:val="00B30A01"/>
    <w:rsid w:val="00B31AC8"/>
    <w:rsid w:val="00B32124"/>
    <w:rsid w:val="00B3732D"/>
    <w:rsid w:val="00B3773E"/>
    <w:rsid w:val="00B40B18"/>
    <w:rsid w:val="00B40CAF"/>
    <w:rsid w:val="00B42102"/>
    <w:rsid w:val="00B42871"/>
    <w:rsid w:val="00B4296A"/>
    <w:rsid w:val="00B4479A"/>
    <w:rsid w:val="00B47B8D"/>
    <w:rsid w:val="00B502CE"/>
    <w:rsid w:val="00B5185B"/>
    <w:rsid w:val="00B52197"/>
    <w:rsid w:val="00B53269"/>
    <w:rsid w:val="00B538D8"/>
    <w:rsid w:val="00B53A04"/>
    <w:rsid w:val="00B540EE"/>
    <w:rsid w:val="00B547A4"/>
    <w:rsid w:val="00B55775"/>
    <w:rsid w:val="00B56427"/>
    <w:rsid w:val="00B570CA"/>
    <w:rsid w:val="00B57D61"/>
    <w:rsid w:val="00B60A97"/>
    <w:rsid w:val="00B64953"/>
    <w:rsid w:val="00B65672"/>
    <w:rsid w:val="00B7118D"/>
    <w:rsid w:val="00B73F87"/>
    <w:rsid w:val="00B74875"/>
    <w:rsid w:val="00B74F2E"/>
    <w:rsid w:val="00B7714B"/>
    <w:rsid w:val="00B77D60"/>
    <w:rsid w:val="00B81CD2"/>
    <w:rsid w:val="00B82AE7"/>
    <w:rsid w:val="00B85491"/>
    <w:rsid w:val="00B854A6"/>
    <w:rsid w:val="00B8611C"/>
    <w:rsid w:val="00B92BE3"/>
    <w:rsid w:val="00B9585C"/>
    <w:rsid w:val="00B95B4F"/>
    <w:rsid w:val="00B973BB"/>
    <w:rsid w:val="00B97B19"/>
    <w:rsid w:val="00BA0F94"/>
    <w:rsid w:val="00BA13A2"/>
    <w:rsid w:val="00BA21BC"/>
    <w:rsid w:val="00BA2DC9"/>
    <w:rsid w:val="00BA3A55"/>
    <w:rsid w:val="00BA42B9"/>
    <w:rsid w:val="00BA4916"/>
    <w:rsid w:val="00BA68A8"/>
    <w:rsid w:val="00BA72A0"/>
    <w:rsid w:val="00BB023E"/>
    <w:rsid w:val="00BB1ADC"/>
    <w:rsid w:val="00BB2A2D"/>
    <w:rsid w:val="00BB44D9"/>
    <w:rsid w:val="00BB635E"/>
    <w:rsid w:val="00BB6697"/>
    <w:rsid w:val="00BC0DBB"/>
    <w:rsid w:val="00BC1E42"/>
    <w:rsid w:val="00BC3F30"/>
    <w:rsid w:val="00BC5CCE"/>
    <w:rsid w:val="00BD0341"/>
    <w:rsid w:val="00BD1A85"/>
    <w:rsid w:val="00BD1DCB"/>
    <w:rsid w:val="00BD3A64"/>
    <w:rsid w:val="00BD3F1C"/>
    <w:rsid w:val="00BD41FA"/>
    <w:rsid w:val="00BD53D2"/>
    <w:rsid w:val="00BD5C72"/>
    <w:rsid w:val="00BD6CED"/>
    <w:rsid w:val="00BD7114"/>
    <w:rsid w:val="00BD7541"/>
    <w:rsid w:val="00BD75F8"/>
    <w:rsid w:val="00BD7D93"/>
    <w:rsid w:val="00BE12D0"/>
    <w:rsid w:val="00BE1964"/>
    <w:rsid w:val="00BE2D64"/>
    <w:rsid w:val="00BE4D3F"/>
    <w:rsid w:val="00BE6D76"/>
    <w:rsid w:val="00BE7199"/>
    <w:rsid w:val="00BF22A4"/>
    <w:rsid w:val="00BF2C5C"/>
    <w:rsid w:val="00BF2DF4"/>
    <w:rsid w:val="00BF3729"/>
    <w:rsid w:val="00BF6B3D"/>
    <w:rsid w:val="00C009CB"/>
    <w:rsid w:val="00C019BD"/>
    <w:rsid w:val="00C0252C"/>
    <w:rsid w:val="00C02B89"/>
    <w:rsid w:val="00C0334D"/>
    <w:rsid w:val="00C04A85"/>
    <w:rsid w:val="00C06349"/>
    <w:rsid w:val="00C07FE4"/>
    <w:rsid w:val="00C13021"/>
    <w:rsid w:val="00C13032"/>
    <w:rsid w:val="00C13DCB"/>
    <w:rsid w:val="00C160C8"/>
    <w:rsid w:val="00C1690D"/>
    <w:rsid w:val="00C17E02"/>
    <w:rsid w:val="00C21AF6"/>
    <w:rsid w:val="00C22C02"/>
    <w:rsid w:val="00C24C11"/>
    <w:rsid w:val="00C26E6B"/>
    <w:rsid w:val="00C30C84"/>
    <w:rsid w:val="00C30E5E"/>
    <w:rsid w:val="00C317AF"/>
    <w:rsid w:val="00C33588"/>
    <w:rsid w:val="00C34CF4"/>
    <w:rsid w:val="00C34E64"/>
    <w:rsid w:val="00C3508F"/>
    <w:rsid w:val="00C358AA"/>
    <w:rsid w:val="00C3611C"/>
    <w:rsid w:val="00C36427"/>
    <w:rsid w:val="00C365CA"/>
    <w:rsid w:val="00C408C2"/>
    <w:rsid w:val="00C41AC5"/>
    <w:rsid w:val="00C51AEA"/>
    <w:rsid w:val="00C51E5B"/>
    <w:rsid w:val="00C52686"/>
    <w:rsid w:val="00C531A6"/>
    <w:rsid w:val="00C573BE"/>
    <w:rsid w:val="00C602C0"/>
    <w:rsid w:val="00C60648"/>
    <w:rsid w:val="00C61907"/>
    <w:rsid w:val="00C631BF"/>
    <w:rsid w:val="00C64249"/>
    <w:rsid w:val="00C646C6"/>
    <w:rsid w:val="00C65C0B"/>
    <w:rsid w:val="00C66F69"/>
    <w:rsid w:val="00C71995"/>
    <w:rsid w:val="00C75D20"/>
    <w:rsid w:val="00C76848"/>
    <w:rsid w:val="00C7737A"/>
    <w:rsid w:val="00C80ABC"/>
    <w:rsid w:val="00C83E89"/>
    <w:rsid w:val="00C83EB7"/>
    <w:rsid w:val="00C84A3F"/>
    <w:rsid w:val="00C86100"/>
    <w:rsid w:val="00C86497"/>
    <w:rsid w:val="00C86556"/>
    <w:rsid w:val="00C932EA"/>
    <w:rsid w:val="00C94784"/>
    <w:rsid w:val="00C94CF8"/>
    <w:rsid w:val="00C95C7F"/>
    <w:rsid w:val="00C9690F"/>
    <w:rsid w:val="00C976C5"/>
    <w:rsid w:val="00CA350E"/>
    <w:rsid w:val="00CA7CD9"/>
    <w:rsid w:val="00CB0FA6"/>
    <w:rsid w:val="00CB1111"/>
    <w:rsid w:val="00CB1B7B"/>
    <w:rsid w:val="00CB3A27"/>
    <w:rsid w:val="00CC00DB"/>
    <w:rsid w:val="00CC09B2"/>
    <w:rsid w:val="00CC102A"/>
    <w:rsid w:val="00CC3194"/>
    <w:rsid w:val="00CC39B3"/>
    <w:rsid w:val="00CC4DDB"/>
    <w:rsid w:val="00CC6987"/>
    <w:rsid w:val="00CC77D3"/>
    <w:rsid w:val="00CC7C1D"/>
    <w:rsid w:val="00CC7C66"/>
    <w:rsid w:val="00CD251C"/>
    <w:rsid w:val="00CD3167"/>
    <w:rsid w:val="00CD6A55"/>
    <w:rsid w:val="00CD6D9C"/>
    <w:rsid w:val="00CE1220"/>
    <w:rsid w:val="00CE1782"/>
    <w:rsid w:val="00CE25D0"/>
    <w:rsid w:val="00CE5185"/>
    <w:rsid w:val="00CE5C6B"/>
    <w:rsid w:val="00CE62B2"/>
    <w:rsid w:val="00CE6C9C"/>
    <w:rsid w:val="00CF056A"/>
    <w:rsid w:val="00CF1534"/>
    <w:rsid w:val="00CF32AE"/>
    <w:rsid w:val="00CF37CF"/>
    <w:rsid w:val="00CF6E27"/>
    <w:rsid w:val="00D03037"/>
    <w:rsid w:val="00D04853"/>
    <w:rsid w:val="00D06770"/>
    <w:rsid w:val="00D075E6"/>
    <w:rsid w:val="00D07B74"/>
    <w:rsid w:val="00D10E16"/>
    <w:rsid w:val="00D13A15"/>
    <w:rsid w:val="00D167B4"/>
    <w:rsid w:val="00D16FF2"/>
    <w:rsid w:val="00D2054D"/>
    <w:rsid w:val="00D20E83"/>
    <w:rsid w:val="00D22C20"/>
    <w:rsid w:val="00D23242"/>
    <w:rsid w:val="00D27A23"/>
    <w:rsid w:val="00D27A29"/>
    <w:rsid w:val="00D30B02"/>
    <w:rsid w:val="00D34A0A"/>
    <w:rsid w:val="00D35FEA"/>
    <w:rsid w:val="00D3680C"/>
    <w:rsid w:val="00D36838"/>
    <w:rsid w:val="00D4052A"/>
    <w:rsid w:val="00D409F3"/>
    <w:rsid w:val="00D42A6F"/>
    <w:rsid w:val="00D459CA"/>
    <w:rsid w:val="00D4663C"/>
    <w:rsid w:val="00D508AA"/>
    <w:rsid w:val="00D531F3"/>
    <w:rsid w:val="00D54351"/>
    <w:rsid w:val="00D5580C"/>
    <w:rsid w:val="00D6131F"/>
    <w:rsid w:val="00D64B36"/>
    <w:rsid w:val="00D65AE4"/>
    <w:rsid w:val="00D66D45"/>
    <w:rsid w:val="00D66DC0"/>
    <w:rsid w:val="00D676CE"/>
    <w:rsid w:val="00D72BB5"/>
    <w:rsid w:val="00D739F7"/>
    <w:rsid w:val="00D773B5"/>
    <w:rsid w:val="00D803F3"/>
    <w:rsid w:val="00D814E7"/>
    <w:rsid w:val="00D81C12"/>
    <w:rsid w:val="00D82158"/>
    <w:rsid w:val="00D83F85"/>
    <w:rsid w:val="00D83FD8"/>
    <w:rsid w:val="00D8433D"/>
    <w:rsid w:val="00D84706"/>
    <w:rsid w:val="00D84AFA"/>
    <w:rsid w:val="00D85245"/>
    <w:rsid w:val="00D852E4"/>
    <w:rsid w:val="00D8617B"/>
    <w:rsid w:val="00D87B46"/>
    <w:rsid w:val="00D94599"/>
    <w:rsid w:val="00D947EA"/>
    <w:rsid w:val="00D95DE9"/>
    <w:rsid w:val="00DA2459"/>
    <w:rsid w:val="00DA2818"/>
    <w:rsid w:val="00DA432E"/>
    <w:rsid w:val="00DA6644"/>
    <w:rsid w:val="00DB037D"/>
    <w:rsid w:val="00DB128F"/>
    <w:rsid w:val="00DB1305"/>
    <w:rsid w:val="00DB2239"/>
    <w:rsid w:val="00DB2F79"/>
    <w:rsid w:val="00DB5C71"/>
    <w:rsid w:val="00DB7409"/>
    <w:rsid w:val="00DC0714"/>
    <w:rsid w:val="00DC2B68"/>
    <w:rsid w:val="00DC41D0"/>
    <w:rsid w:val="00DC4FB6"/>
    <w:rsid w:val="00DD186F"/>
    <w:rsid w:val="00DD2A2E"/>
    <w:rsid w:val="00DD58B2"/>
    <w:rsid w:val="00DD6174"/>
    <w:rsid w:val="00DD72C7"/>
    <w:rsid w:val="00DD74ED"/>
    <w:rsid w:val="00DD7FDD"/>
    <w:rsid w:val="00DE0D26"/>
    <w:rsid w:val="00DE0FEE"/>
    <w:rsid w:val="00DE158C"/>
    <w:rsid w:val="00DE1C6B"/>
    <w:rsid w:val="00DE2C71"/>
    <w:rsid w:val="00DE383A"/>
    <w:rsid w:val="00DE54B6"/>
    <w:rsid w:val="00DE7680"/>
    <w:rsid w:val="00DF0256"/>
    <w:rsid w:val="00DF18FE"/>
    <w:rsid w:val="00DF1A3B"/>
    <w:rsid w:val="00DF1D5C"/>
    <w:rsid w:val="00DF24A6"/>
    <w:rsid w:val="00DF590E"/>
    <w:rsid w:val="00DF5E20"/>
    <w:rsid w:val="00DF6EEF"/>
    <w:rsid w:val="00DF6FA9"/>
    <w:rsid w:val="00E00B2F"/>
    <w:rsid w:val="00E019C4"/>
    <w:rsid w:val="00E0532E"/>
    <w:rsid w:val="00E05B62"/>
    <w:rsid w:val="00E07527"/>
    <w:rsid w:val="00E1000A"/>
    <w:rsid w:val="00E10E91"/>
    <w:rsid w:val="00E13751"/>
    <w:rsid w:val="00E13D85"/>
    <w:rsid w:val="00E1428B"/>
    <w:rsid w:val="00E14350"/>
    <w:rsid w:val="00E15110"/>
    <w:rsid w:val="00E164BF"/>
    <w:rsid w:val="00E16DF5"/>
    <w:rsid w:val="00E22E1D"/>
    <w:rsid w:val="00E24F7C"/>
    <w:rsid w:val="00E25156"/>
    <w:rsid w:val="00E272CC"/>
    <w:rsid w:val="00E30220"/>
    <w:rsid w:val="00E30231"/>
    <w:rsid w:val="00E304CD"/>
    <w:rsid w:val="00E3154C"/>
    <w:rsid w:val="00E32452"/>
    <w:rsid w:val="00E32C62"/>
    <w:rsid w:val="00E345FF"/>
    <w:rsid w:val="00E34A09"/>
    <w:rsid w:val="00E37EC6"/>
    <w:rsid w:val="00E40A21"/>
    <w:rsid w:val="00E41912"/>
    <w:rsid w:val="00E43A4A"/>
    <w:rsid w:val="00E44AC6"/>
    <w:rsid w:val="00E45EDD"/>
    <w:rsid w:val="00E475F3"/>
    <w:rsid w:val="00E50B98"/>
    <w:rsid w:val="00E50E26"/>
    <w:rsid w:val="00E50E45"/>
    <w:rsid w:val="00E55E53"/>
    <w:rsid w:val="00E56835"/>
    <w:rsid w:val="00E638F8"/>
    <w:rsid w:val="00E64AD9"/>
    <w:rsid w:val="00E67F9F"/>
    <w:rsid w:val="00E71AFE"/>
    <w:rsid w:val="00E7583E"/>
    <w:rsid w:val="00E76E5B"/>
    <w:rsid w:val="00E7799A"/>
    <w:rsid w:val="00E81786"/>
    <w:rsid w:val="00E82FF8"/>
    <w:rsid w:val="00E86AD0"/>
    <w:rsid w:val="00E87B92"/>
    <w:rsid w:val="00E940E3"/>
    <w:rsid w:val="00E94D9E"/>
    <w:rsid w:val="00E9675A"/>
    <w:rsid w:val="00E96A54"/>
    <w:rsid w:val="00E96A7B"/>
    <w:rsid w:val="00E97ED5"/>
    <w:rsid w:val="00EA29E5"/>
    <w:rsid w:val="00EA5229"/>
    <w:rsid w:val="00EA5D49"/>
    <w:rsid w:val="00EA6655"/>
    <w:rsid w:val="00EA7218"/>
    <w:rsid w:val="00EB1FFF"/>
    <w:rsid w:val="00EB2178"/>
    <w:rsid w:val="00EB3492"/>
    <w:rsid w:val="00EB69D7"/>
    <w:rsid w:val="00EB76AE"/>
    <w:rsid w:val="00EB7EE3"/>
    <w:rsid w:val="00EC211F"/>
    <w:rsid w:val="00EC2240"/>
    <w:rsid w:val="00EC30C9"/>
    <w:rsid w:val="00EC3D9D"/>
    <w:rsid w:val="00EC4D66"/>
    <w:rsid w:val="00EC5108"/>
    <w:rsid w:val="00EC6932"/>
    <w:rsid w:val="00EC715E"/>
    <w:rsid w:val="00ED1A81"/>
    <w:rsid w:val="00ED2908"/>
    <w:rsid w:val="00ED2CF0"/>
    <w:rsid w:val="00ED3229"/>
    <w:rsid w:val="00ED4183"/>
    <w:rsid w:val="00ED4F88"/>
    <w:rsid w:val="00ED5C3D"/>
    <w:rsid w:val="00ED78EE"/>
    <w:rsid w:val="00EE0B59"/>
    <w:rsid w:val="00EE1F64"/>
    <w:rsid w:val="00EE22E4"/>
    <w:rsid w:val="00EE3516"/>
    <w:rsid w:val="00EE4ACA"/>
    <w:rsid w:val="00EE5B80"/>
    <w:rsid w:val="00EE62E3"/>
    <w:rsid w:val="00EE7A7D"/>
    <w:rsid w:val="00EF2464"/>
    <w:rsid w:val="00EF25F9"/>
    <w:rsid w:val="00EF2A37"/>
    <w:rsid w:val="00EF3C33"/>
    <w:rsid w:val="00EF5B64"/>
    <w:rsid w:val="00EF6120"/>
    <w:rsid w:val="00EF66D8"/>
    <w:rsid w:val="00F00218"/>
    <w:rsid w:val="00F01F8E"/>
    <w:rsid w:val="00F02329"/>
    <w:rsid w:val="00F03254"/>
    <w:rsid w:val="00F037E3"/>
    <w:rsid w:val="00F06E38"/>
    <w:rsid w:val="00F10509"/>
    <w:rsid w:val="00F1529F"/>
    <w:rsid w:val="00F17E58"/>
    <w:rsid w:val="00F20250"/>
    <w:rsid w:val="00F211B8"/>
    <w:rsid w:val="00F23A75"/>
    <w:rsid w:val="00F2433B"/>
    <w:rsid w:val="00F25D50"/>
    <w:rsid w:val="00F26329"/>
    <w:rsid w:val="00F27636"/>
    <w:rsid w:val="00F3290B"/>
    <w:rsid w:val="00F3339D"/>
    <w:rsid w:val="00F36241"/>
    <w:rsid w:val="00F368B0"/>
    <w:rsid w:val="00F36F0C"/>
    <w:rsid w:val="00F42D57"/>
    <w:rsid w:val="00F45A88"/>
    <w:rsid w:val="00F46D49"/>
    <w:rsid w:val="00F5132E"/>
    <w:rsid w:val="00F520EF"/>
    <w:rsid w:val="00F52251"/>
    <w:rsid w:val="00F54023"/>
    <w:rsid w:val="00F555D3"/>
    <w:rsid w:val="00F5560A"/>
    <w:rsid w:val="00F577A0"/>
    <w:rsid w:val="00F577C7"/>
    <w:rsid w:val="00F6006B"/>
    <w:rsid w:val="00F60571"/>
    <w:rsid w:val="00F617BD"/>
    <w:rsid w:val="00F61925"/>
    <w:rsid w:val="00F61C9B"/>
    <w:rsid w:val="00F63080"/>
    <w:rsid w:val="00F63E83"/>
    <w:rsid w:val="00F64591"/>
    <w:rsid w:val="00F652CE"/>
    <w:rsid w:val="00F65910"/>
    <w:rsid w:val="00F738F1"/>
    <w:rsid w:val="00F745DB"/>
    <w:rsid w:val="00F770CC"/>
    <w:rsid w:val="00F80A46"/>
    <w:rsid w:val="00F822C3"/>
    <w:rsid w:val="00F825CA"/>
    <w:rsid w:val="00F83072"/>
    <w:rsid w:val="00F83C42"/>
    <w:rsid w:val="00F83E07"/>
    <w:rsid w:val="00F83FFD"/>
    <w:rsid w:val="00F8487E"/>
    <w:rsid w:val="00F84E5B"/>
    <w:rsid w:val="00F904BE"/>
    <w:rsid w:val="00F90FC3"/>
    <w:rsid w:val="00F915EA"/>
    <w:rsid w:val="00F9272D"/>
    <w:rsid w:val="00F939AC"/>
    <w:rsid w:val="00F93F5C"/>
    <w:rsid w:val="00F94630"/>
    <w:rsid w:val="00F94C1D"/>
    <w:rsid w:val="00F952C3"/>
    <w:rsid w:val="00F95DCC"/>
    <w:rsid w:val="00F962E6"/>
    <w:rsid w:val="00F96F06"/>
    <w:rsid w:val="00FA10AC"/>
    <w:rsid w:val="00FA18B1"/>
    <w:rsid w:val="00FA1A83"/>
    <w:rsid w:val="00FA6337"/>
    <w:rsid w:val="00FA6AB5"/>
    <w:rsid w:val="00FA7E50"/>
    <w:rsid w:val="00FB52D4"/>
    <w:rsid w:val="00FB7F38"/>
    <w:rsid w:val="00FC0A31"/>
    <w:rsid w:val="00FC1191"/>
    <w:rsid w:val="00FC2C49"/>
    <w:rsid w:val="00FC452D"/>
    <w:rsid w:val="00FC505A"/>
    <w:rsid w:val="00FC516C"/>
    <w:rsid w:val="00FC6F27"/>
    <w:rsid w:val="00FD05A6"/>
    <w:rsid w:val="00FD1159"/>
    <w:rsid w:val="00FD31B8"/>
    <w:rsid w:val="00FD381D"/>
    <w:rsid w:val="00FD4F73"/>
    <w:rsid w:val="00FD57D2"/>
    <w:rsid w:val="00FD7754"/>
    <w:rsid w:val="00FE036A"/>
    <w:rsid w:val="00FE1A35"/>
    <w:rsid w:val="00FE3355"/>
    <w:rsid w:val="00FE55E4"/>
    <w:rsid w:val="00FE599B"/>
    <w:rsid w:val="00FF37DD"/>
    <w:rsid w:val="00FF3D1F"/>
    <w:rsid w:val="00FF483B"/>
    <w:rsid w:val="00FF546A"/>
    <w:rsid w:val="00FF6085"/>
    <w:rsid w:val="00FF6C69"/>
    <w:rsid w:val="00FF73CF"/>
    <w:rsid w:val="00FF79AE"/>
    <w:rsid w:val="00FF7BDD"/>
    <w:rsid w:val="01317F69"/>
    <w:rsid w:val="013C3C36"/>
    <w:rsid w:val="01527EDF"/>
    <w:rsid w:val="0194674A"/>
    <w:rsid w:val="01964270"/>
    <w:rsid w:val="019E3FAB"/>
    <w:rsid w:val="01B370EF"/>
    <w:rsid w:val="01BB4817"/>
    <w:rsid w:val="01C4676A"/>
    <w:rsid w:val="01CA73E2"/>
    <w:rsid w:val="01CC026F"/>
    <w:rsid w:val="01E7508C"/>
    <w:rsid w:val="01F62E28"/>
    <w:rsid w:val="020016E9"/>
    <w:rsid w:val="021533E7"/>
    <w:rsid w:val="021B5783"/>
    <w:rsid w:val="022841F2"/>
    <w:rsid w:val="02447828"/>
    <w:rsid w:val="025C7268"/>
    <w:rsid w:val="026711A0"/>
    <w:rsid w:val="026D327B"/>
    <w:rsid w:val="02727A5F"/>
    <w:rsid w:val="029562D6"/>
    <w:rsid w:val="02B705C5"/>
    <w:rsid w:val="02BD75DA"/>
    <w:rsid w:val="02C70E02"/>
    <w:rsid w:val="02D70B22"/>
    <w:rsid w:val="02DA3B5D"/>
    <w:rsid w:val="02DA4630"/>
    <w:rsid w:val="02E132C9"/>
    <w:rsid w:val="02FE3E7B"/>
    <w:rsid w:val="03010138"/>
    <w:rsid w:val="03044FC9"/>
    <w:rsid w:val="03086EB0"/>
    <w:rsid w:val="03393105"/>
    <w:rsid w:val="03500C6E"/>
    <w:rsid w:val="0361265C"/>
    <w:rsid w:val="03817ACA"/>
    <w:rsid w:val="03884AFD"/>
    <w:rsid w:val="03887BE8"/>
    <w:rsid w:val="03906A9D"/>
    <w:rsid w:val="0392549E"/>
    <w:rsid w:val="03AD3BAD"/>
    <w:rsid w:val="03BB1D6C"/>
    <w:rsid w:val="03D72A11"/>
    <w:rsid w:val="03E94B2B"/>
    <w:rsid w:val="04111893"/>
    <w:rsid w:val="041E7CD6"/>
    <w:rsid w:val="04386613"/>
    <w:rsid w:val="0442138C"/>
    <w:rsid w:val="04461C11"/>
    <w:rsid w:val="04650547"/>
    <w:rsid w:val="047D553E"/>
    <w:rsid w:val="049802FF"/>
    <w:rsid w:val="04E039DF"/>
    <w:rsid w:val="04E62E18"/>
    <w:rsid w:val="04F810FA"/>
    <w:rsid w:val="05040900"/>
    <w:rsid w:val="050D65F7"/>
    <w:rsid w:val="05137986"/>
    <w:rsid w:val="051577B1"/>
    <w:rsid w:val="051756C8"/>
    <w:rsid w:val="052B4CCF"/>
    <w:rsid w:val="052B676F"/>
    <w:rsid w:val="0530634F"/>
    <w:rsid w:val="05311296"/>
    <w:rsid w:val="05726DA2"/>
    <w:rsid w:val="05852631"/>
    <w:rsid w:val="05AA2098"/>
    <w:rsid w:val="05AD1B89"/>
    <w:rsid w:val="05C9596A"/>
    <w:rsid w:val="05D11D1B"/>
    <w:rsid w:val="063B237E"/>
    <w:rsid w:val="0644188F"/>
    <w:rsid w:val="06547385"/>
    <w:rsid w:val="068B1073"/>
    <w:rsid w:val="06BA5D1F"/>
    <w:rsid w:val="06DC2725"/>
    <w:rsid w:val="06E31EE5"/>
    <w:rsid w:val="06E37055"/>
    <w:rsid w:val="070B4DB8"/>
    <w:rsid w:val="07133B0D"/>
    <w:rsid w:val="07195727"/>
    <w:rsid w:val="072440CC"/>
    <w:rsid w:val="07664B72"/>
    <w:rsid w:val="07726BE5"/>
    <w:rsid w:val="077F333A"/>
    <w:rsid w:val="078037FC"/>
    <w:rsid w:val="078A2687"/>
    <w:rsid w:val="07D009B9"/>
    <w:rsid w:val="07D71B1F"/>
    <w:rsid w:val="07ED2710"/>
    <w:rsid w:val="07FE2B6F"/>
    <w:rsid w:val="0806505B"/>
    <w:rsid w:val="08137E2A"/>
    <w:rsid w:val="0822060B"/>
    <w:rsid w:val="08380F53"/>
    <w:rsid w:val="083D65AA"/>
    <w:rsid w:val="083D71F3"/>
    <w:rsid w:val="0848051E"/>
    <w:rsid w:val="084B19DB"/>
    <w:rsid w:val="08AC25CB"/>
    <w:rsid w:val="08B864ED"/>
    <w:rsid w:val="08BC4407"/>
    <w:rsid w:val="08EC556F"/>
    <w:rsid w:val="09023BBB"/>
    <w:rsid w:val="091B2E00"/>
    <w:rsid w:val="09694018"/>
    <w:rsid w:val="098E0E75"/>
    <w:rsid w:val="098E70F8"/>
    <w:rsid w:val="09931868"/>
    <w:rsid w:val="09A07C31"/>
    <w:rsid w:val="09C274CE"/>
    <w:rsid w:val="0A24499B"/>
    <w:rsid w:val="0A312D88"/>
    <w:rsid w:val="0A314B36"/>
    <w:rsid w:val="0A660436"/>
    <w:rsid w:val="0A6C46DD"/>
    <w:rsid w:val="0A77078C"/>
    <w:rsid w:val="0A79028B"/>
    <w:rsid w:val="0A900EBB"/>
    <w:rsid w:val="0AB5428E"/>
    <w:rsid w:val="0AC84057"/>
    <w:rsid w:val="0B043FF8"/>
    <w:rsid w:val="0B2508ED"/>
    <w:rsid w:val="0B2E5519"/>
    <w:rsid w:val="0B301440"/>
    <w:rsid w:val="0B574A70"/>
    <w:rsid w:val="0B616545"/>
    <w:rsid w:val="0B7A0DC2"/>
    <w:rsid w:val="0B8D66E4"/>
    <w:rsid w:val="0B9335CE"/>
    <w:rsid w:val="0BC10625"/>
    <w:rsid w:val="0BCB4B16"/>
    <w:rsid w:val="0BE0516D"/>
    <w:rsid w:val="0BF73C9B"/>
    <w:rsid w:val="0C021ADF"/>
    <w:rsid w:val="0C42226D"/>
    <w:rsid w:val="0C9D2956"/>
    <w:rsid w:val="0CC667D9"/>
    <w:rsid w:val="0D07725B"/>
    <w:rsid w:val="0D0C188A"/>
    <w:rsid w:val="0D186E2A"/>
    <w:rsid w:val="0D2546FA"/>
    <w:rsid w:val="0D366907"/>
    <w:rsid w:val="0D4C1913"/>
    <w:rsid w:val="0D4E21F9"/>
    <w:rsid w:val="0D576FA9"/>
    <w:rsid w:val="0D67772E"/>
    <w:rsid w:val="0D7876C3"/>
    <w:rsid w:val="0D894C89"/>
    <w:rsid w:val="0D8D2129"/>
    <w:rsid w:val="0DB55A7E"/>
    <w:rsid w:val="0DD13CE0"/>
    <w:rsid w:val="0DD438C0"/>
    <w:rsid w:val="0E0662D9"/>
    <w:rsid w:val="0E2F0704"/>
    <w:rsid w:val="0EB16BA4"/>
    <w:rsid w:val="0EE92096"/>
    <w:rsid w:val="0F072309"/>
    <w:rsid w:val="0F0E2EB6"/>
    <w:rsid w:val="0F0F31C4"/>
    <w:rsid w:val="0F2033CB"/>
    <w:rsid w:val="0F2413E1"/>
    <w:rsid w:val="0F3A1831"/>
    <w:rsid w:val="0F5D461F"/>
    <w:rsid w:val="0F616053"/>
    <w:rsid w:val="0F7E0A58"/>
    <w:rsid w:val="0F841FD0"/>
    <w:rsid w:val="0F8A67D7"/>
    <w:rsid w:val="0F8B4CE8"/>
    <w:rsid w:val="0F973E29"/>
    <w:rsid w:val="0F9A61F8"/>
    <w:rsid w:val="0FEE11A8"/>
    <w:rsid w:val="0FEE34C9"/>
    <w:rsid w:val="0FF3288D"/>
    <w:rsid w:val="100F0B58"/>
    <w:rsid w:val="101271B8"/>
    <w:rsid w:val="101D0862"/>
    <w:rsid w:val="1020063C"/>
    <w:rsid w:val="102F7D69"/>
    <w:rsid w:val="103F5AD3"/>
    <w:rsid w:val="10441B98"/>
    <w:rsid w:val="10464F13"/>
    <w:rsid w:val="10484987"/>
    <w:rsid w:val="10563548"/>
    <w:rsid w:val="1062712E"/>
    <w:rsid w:val="10667503"/>
    <w:rsid w:val="10947D4C"/>
    <w:rsid w:val="109A323E"/>
    <w:rsid w:val="10D47113"/>
    <w:rsid w:val="1115020A"/>
    <w:rsid w:val="111E1B8C"/>
    <w:rsid w:val="112A39C6"/>
    <w:rsid w:val="1148100C"/>
    <w:rsid w:val="115A7068"/>
    <w:rsid w:val="118643DE"/>
    <w:rsid w:val="11C05CFF"/>
    <w:rsid w:val="11D5023C"/>
    <w:rsid w:val="11EB7CC0"/>
    <w:rsid w:val="12114ED0"/>
    <w:rsid w:val="121A05A5"/>
    <w:rsid w:val="12244414"/>
    <w:rsid w:val="122D2087"/>
    <w:rsid w:val="124D097B"/>
    <w:rsid w:val="125C6E10"/>
    <w:rsid w:val="125F420A"/>
    <w:rsid w:val="1298640D"/>
    <w:rsid w:val="12BD6952"/>
    <w:rsid w:val="12C91342"/>
    <w:rsid w:val="12CB4E1B"/>
    <w:rsid w:val="12F2507E"/>
    <w:rsid w:val="130848A2"/>
    <w:rsid w:val="132C2B3C"/>
    <w:rsid w:val="133236CD"/>
    <w:rsid w:val="133F397A"/>
    <w:rsid w:val="13412662"/>
    <w:rsid w:val="135D2E40"/>
    <w:rsid w:val="13612DC7"/>
    <w:rsid w:val="136E2957"/>
    <w:rsid w:val="137B2057"/>
    <w:rsid w:val="13B159FB"/>
    <w:rsid w:val="13B642FE"/>
    <w:rsid w:val="13B83AA1"/>
    <w:rsid w:val="13DA623E"/>
    <w:rsid w:val="13DD2D88"/>
    <w:rsid w:val="13FA41EA"/>
    <w:rsid w:val="13FC4E9C"/>
    <w:rsid w:val="1421285A"/>
    <w:rsid w:val="144F617D"/>
    <w:rsid w:val="145D4C37"/>
    <w:rsid w:val="146B6E96"/>
    <w:rsid w:val="148D505F"/>
    <w:rsid w:val="149005BB"/>
    <w:rsid w:val="149C7998"/>
    <w:rsid w:val="14A34882"/>
    <w:rsid w:val="14A979BF"/>
    <w:rsid w:val="14B330E7"/>
    <w:rsid w:val="14E417AE"/>
    <w:rsid w:val="14F74BCE"/>
    <w:rsid w:val="15093368"/>
    <w:rsid w:val="15134B34"/>
    <w:rsid w:val="151B6B0E"/>
    <w:rsid w:val="1521547E"/>
    <w:rsid w:val="15283C70"/>
    <w:rsid w:val="152A0F41"/>
    <w:rsid w:val="1531238C"/>
    <w:rsid w:val="153B2EB2"/>
    <w:rsid w:val="155468E1"/>
    <w:rsid w:val="1557611D"/>
    <w:rsid w:val="156009C5"/>
    <w:rsid w:val="15853F88"/>
    <w:rsid w:val="158A79C8"/>
    <w:rsid w:val="159348F7"/>
    <w:rsid w:val="15A0706E"/>
    <w:rsid w:val="15BF7081"/>
    <w:rsid w:val="15C56B16"/>
    <w:rsid w:val="15D13671"/>
    <w:rsid w:val="15F05638"/>
    <w:rsid w:val="15FA2BC8"/>
    <w:rsid w:val="160B6B83"/>
    <w:rsid w:val="163C02E5"/>
    <w:rsid w:val="164E56C9"/>
    <w:rsid w:val="1650767C"/>
    <w:rsid w:val="166E0EC0"/>
    <w:rsid w:val="168D251B"/>
    <w:rsid w:val="16B32572"/>
    <w:rsid w:val="16B8739E"/>
    <w:rsid w:val="16C96424"/>
    <w:rsid w:val="16D01B7A"/>
    <w:rsid w:val="16D91CA3"/>
    <w:rsid w:val="16E137FE"/>
    <w:rsid w:val="17080C40"/>
    <w:rsid w:val="17141A67"/>
    <w:rsid w:val="172B2E02"/>
    <w:rsid w:val="17B52555"/>
    <w:rsid w:val="17D830F9"/>
    <w:rsid w:val="17DB4F81"/>
    <w:rsid w:val="17DF2F33"/>
    <w:rsid w:val="180A3513"/>
    <w:rsid w:val="18187335"/>
    <w:rsid w:val="182B0D89"/>
    <w:rsid w:val="1866007F"/>
    <w:rsid w:val="187047E3"/>
    <w:rsid w:val="18763BB0"/>
    <w:rsid w:val="187E62DA"/>
    <w:rsid w:val="18874485"/>
    <w:rsid w:val="189A5EB5"/>
    <w:rsid w:val="18ED2570"/>
    <w:rsid w:val="18FE2432"/>
    <w:rsid w:val="1909717A"/>
    <w:rsid w:val="190A6B14"/>
    <w:rsid w:val="194431F1"/>
    <w:rsid w:val="19501DA2"/>
    <w:rsid w:val="19762565"/>
    <w:rsid w:val="197A7CAD"/>
    <w:rsid w:val="1996103A"/>
    <w:rsid w:val="19C44F9F"/>
    <w:rsid w:val="19E82D37"/>
    <w:rsid w:val="1A02204B"/>
    <w:rsid w:val="1A3E7A59"/>
    <w:rsid w:val="1A705206"/>
    <w:rsid w:val="1A9101EA"/>
    <w:rsid w:val="1AB37429"/>
    <w:rsid w:val="1ADF238C"/>
    <w:rsid w:val="1AE02931"/>
    <w:rsid w:val="1AF56B46"/>
    <w:rsid w:val="1B124510"/>
    <w:rsid w:val="1B171BDB"/>
    <w:rsid w:val="1B3D2A8F"/>
    <w:rsid w:val="1B4F7512"/>
    <w:rsid w:val="1BA57A16"/>
    <w:rsid w:val="1BB029F2"/>
    <w:rsid w:val="1BB67573"/>
    <w:rsid w:val="1BBB5228"/>
    <w:rsid w:val="1BCA303C"/>
    <w:rsid w:val="1C0F0A4F"/>
    <w:rsid w:val="1C7B4336"/>
    <w:rsid w:val="1C820C62"/>
    <w:rsid w:val="1CB17D58"/>
    <w:rsid w:val="1CB3587E"/>
    <w:rsid w:val="1CCC6940"/>
    <w:rsid w:val="1CE92105"/>
    <w:rsid w:val="1CF32807"/>
    <w:rsid w:val="1D1A01F7"/>
    <w:rsid w:val="1D1D3702"/>
    <w:rsid w:val="1D2574AF"/>
    <w:rsid w:val="1D3B2A09"/>
    <w:rsid w:val="1D5A03F0"/>
    <w:rsid w:val="1DA532A0"/>
    <w:rsid w:val="1DC65B7C"/>
    <w:rsid w:val="1DF60118"/>
    <w:rsid w:val="1E070385"/>
    <w:rsid w:val="1E1E7106"/>
    <w:rsid w:val="1E3A21A8"/>
    <w:rsid w:val="1E3F67EE"/>
    <w:rsid w:val="1E803249"/>
    <w:rsid w:val="1E9D67E6"/>
    <w:rsid w:val="1EB06519"/>
    <w:rsid w:val="1EBD0C36"/>
    <w:rsid w:val="1EDB10BC"/>
    <w:rsid w:val="1EF2383B"/>
    <w:rsid w:val="1F04226A"/>
    <w:rsid w:val="1F316F2E"/>
    <w:rsid w:val="1F7E4A0C"/>
    <w:rsid w:val="1F9D32B1"/>
    <w:rsid w:val="1FA070BA"/>
    <w:rsid w:val="1FAE6DB2"/>
    <w:rsid w:val="1FC16504"/>
    <w:rsid w:val="1FC20CD8"/>
    <w:rsid w:val="20084133"/>
    <w:rsid w:val="20193657"/>
    <w:rsid w:val="206B373F"/>
    <w:rsid w:val="20734A0D"/>
    <w:rsid w:val="20783067"/>
    <w:rsid w:val="20CC5161"/>
    <w:rsid w:val="20F57957"/>
    <w:rsid w:val="212136FE"/>
    <w:rsid w:val="21341CA3"/>
    <w:rsid w:val="21354AB4"/>
    <w:rsid w:val="21563314"/>
    <w:rsid w:val="21792C6D"/>
    <w:rsid w:val="21C45494"/>
    <w:rsid w:val="21D32D74"/>
    <w:rsid w:val="21DC7F00"/>
    <w:rsid w:val="22512113"/>
    <w:rsid w:val="225278E7"/>
    <w:rsid w:val="22887A1B"/>
    <w:rsid w:val="22B16C5C"/>
    <w:rsid w:val="22C854A6"/>
    <w:rsid w:val="22CA3438"/>
    <w:rsid w:val="22DD2675"/>
    <w:rsid w:val="22E207D1"/>
    <w:rsid w:val="22EF1622"/>
    <w:rsid w:val="22F44DE1"/>
    <w:rsid w:val="2335523F"/>
    <w:rsid w:val="237C5C07"/>
    <w:rsid w:val="23813BD0"/>
    <w:rsid w:val="23AB1F52"/>
    <w:rsid w:val="23B26890"/>
    <w:rsid w:val="23EE3640"/>
    <w:rsid w:val="24505925"/>
    <w:rsid w:val="24571CAC"/>
    <w:rsid w:val="24653902"/>
    <w:rsid w:val="246A6B74"/>
    <w:rsid w:val="247D26BC"/>
    <w:rsid w:val="248752B8"/>
    <w:rsid w:val="24966BE6"/>
    <w:rsid w:val="24BB6D29"/>
    <w:rsid w:val="24DF2635"/>
    <w:rsid w:val="24E011DB"/>
    <w:rsid w:val="25017F1F"/>
    <w:rsid w:val="2521146A"/>
    <w:rsid w:val="25564924"/>
    <w:rsid w:val="25697422"/>
    <w:rsid w:val="25942819"/>
    <w:rsid w:val="25A77F4A"/>
    <w:rsid w:val="25DF42D0"/>
    <w:rsid w:val="25F26AC1"/>
    <w:rsid w:val="260333D3"/>
    <w:rsid w:val="26061115"/>
    <w:rsid w:val="26103D41"/>
    <w:rsid w:val="261826FE"/>
    <w:rsid w:val="262F241A"/>
    <w:rsid w:val="26324BE9"/>
    <w:rsid w:val="263D7FA9"/>
    <w:rsid w:val="26516D73"/>
    <w:rsid w:val="265F6558"/>
    <w:rsid w:val="266A3452"/>
    <w:rsid w:val="266B4134"/>
    <w:rsid w:val="26785D65"/>
    <w:rsid w:val="2689369D"/>
    <w:rsid w:val="26D1527F"/>
    <w:rsid w:val="26DB7EAB"/>
    <w:rsid w:val="26EA6341"/>
    <w:rsid w:val="270D4A23"/>
    <w:rsid w:val="27167136"/>
    <w:rsid w:val="27343A60"/>
    <w:rsid w:val="27604BCE"/>
    <w:rsid w:val="276959E5"/>
    <w:rsid w:val="27A43722"/>
    <w:rsid w:val="27C43B53"/>
    <w:rsid w:val="27C46B92"/>
    <w:rsid w:val="27E55EA8"/>
    <w:rsid w:val="27E64D5A"/>
    <w:rsid w:val="27F830DB"/>
    <w:rsid w:val="27F84A8D"/>
    <w:rsid w:val="281178FD"/>
    <w:rsid w:val="28167645"/>
    <w:rsid w:val="281E3F7A"/>
    <w:rsid w:val="28201707"/>
    <w:rsid w:val="28201C28"/>
    <w:rsid w:val="282905FA"/>
    <w:rsid w:val="28595C3D"/>
    <w:rsid w:val="287C62C3"/>
    <w:rsid w:val="289A1AC3"/>
    <w:rsid w:val="28C00C29"/>
    <w:rsid w:val="28C8445F"/>
    <w:rsid w:val="28FB0A17"/>
    <w:rsid w:val="28FD18FA"/>
    <w:rsid w:val="2903193C"/>
    <w:rsid w:val="290F208E"/>
    <w:rsid w:val="2910333F"/>
    <w:rsid w:val="291D29FD"/>
    <w:rsid w:val="2932400A"/>
    <w:rsid w:val="296200D6"/>
    <w:rsid w:val="297C0B04"/>
    <w:rsid w:val="29826D04"/>
    <w:rsid w:val="298A7967"/>
    <w:rsid w:val="299F04AA"/>
    <w:rsid w:val="29AA1DB7"/>
    <w:rsid w:val="29C27DF5"/>
    <w:rsid w:val="29C335A2"/>
    <w:rsid w:val="29D84B76"/>
    <w:rsid w:val="29E96D83"/>
    <w:rsid w:val="29F85218"/>
    <w:rsid w:val="29F97523"/>
    <w:rsid w:val="2A063887"/>
    <w:rsid w:val="2A0C7216"/>
    <w:rsid w:val="2A1F10FD"/>
    <w:rsid w:val="2A7444C6"/>
    <w:rsid w:val="2A8D0009"/>
    <w:rsid w:val="2A9E191C"/>
    <w:rsid w:val="2AA84549"/>
    <w:rsid w:val="2AAB5F9D"/>
    <w:rsid w:val="2AB566B1"/>
    <w:rsid w:val="2ACF0DDC"/>
    <w:rsid w:val="2AD4533E"/>
    <w:rsid w:val="2AE17A5A"/>
    <w:rsid w:val="2AE5579D"/>
    <w:rsid w:val="2AE719C9"/>
    <w:rsid w:val="2B1E68BB"/>
    <w:rsid w:val="2B230073"/>
    <w:rsid w:val="2B2A31B0"/>
    <w:rsid w:val="2B2E2B9F"/>
    <w:rsid w:val="2B54647E"/>
    <w:rsid w:val="2B724A52"/>
    <w:rsid w:val="2B8A3811"/>
    <w:rsid w:val="2BCF1FA9"/>
    <w:rsid w:val="2BE714F6"/>
    <w:rsid w:val="2BE912BD"/>
    <w:rsid w:val="2C1B6F9C"/>
    <w:rsid w:val="2C4E2573"/>
    <w:rsid w:val="2C581F9E"/>
    <w:rsid w:val="2C5E6AB1"/>
    <w:rsid w:val="2C622E1D"/>
    <w:rsid w:val="2C62781B"/>
    <w:rsid w:val="2C730B86"/>
    <w:rsid w:val="2C7C6F54"/>
    <w:rsid w:val="2C9F197B"/>
    <w:rsid w:val="2CAD1CFA"/>
    <w:rsid w:val="2CB9783D"/>
    <w:rsid w:val="2CC62F30"/>
    <w:rsid w:val="2CDA29B3"/>
    <w:rsid w:val="2CF73565"/>
    <w:rsid w:val="2D0E1633"/>
    <w:rsid w:val="2D23554A"/>
    <w:rsid w:val="2D3F5F6E"/>
    <w:rsid w:val="2D483DC1"/>
    <w:rsid w:val="2D4D491F"/>
    <w:rsid w:val="2D4F1FF5"/>
    <w:rsid w:val="2D6E2ED1"/>
    <w:rsid w:val="2D7010AB"/>
    <w:rsid w:val="2D7A264B"/>
    <w:rsid w:val="2D84285B"/>
    <w:rsid w:val="2D8877C1"/>
    <w:rsid w:val="2DAA2693"/>
    <w:rsid w:val="2DD37B2E"/>
    <w:rsid w:val="2DDB450F"/>
    <w:rsid w:val="2E1819E5"/>
    <w:rsid w:val="2E183793"/>
    <w:rsid w:val="2E4614BE"/>
    <w:rsid w:val="2E5549E7"/>
    <w:rsid w:val="2E60513A"/>
    <w:rsid w:val="2E696DC2"/>
    <w:rsid w:val="2E9372BE"/>
    <w:rsid w:val="2EBC4A66"/>
    <w:rsid w:val="2EDE1034"/>
    <w:rsid w:val="2EE744FB"/>
    <w:rsid w:val="2F460CB8"/>
    <w:rsid w:val="2F5C3B54"/>
    <w:rsid w:val="2F601896"/>
    <w:rsid w:val="2F7E1D1C"/>
    <w:rsid w:val="2F8D05F5"/>
    <w:rsid w:val="2F990904"/>
    <w:rsid w:val="2FC736C3"/>
    <w:rsid w:val="2FCF07C9"/>
    <w:rsid w:val="2FDB2CCA"/>
    <w:rsid w:val="2FF224B1"/>
    <w:rsid w:val="30016F41"/>
    <w:rsid w:val="30626E27"/>
    <w:rsid w:val="306C7DC6"/>
    <w:rsid w:val="307E3463"/>
    <w:rsid w:val="30912A84"/>
    <w:rsid w:val="309D08C8"/>
    <w:rsid w:val="309E3961"/>
    <w:rsid w:val="30B55C11"/>
    <w:rsid w:val="30CE7F71"/>
    <w:rsid w:val="30F35D66"/>
    <w:rsid w:val="30F524B2"/>
    <w:rsid w:val="3115138F"/>
    <w:rsid w:val="31201FAC"/>
    <w:rsid w:val="313D392C"/>
    <w:rsid w:val="316D33DC"/>
    <w:rsid w:val="317A2FB4"/>
    <w:rsid w:val="318268C7"/>
    <w:rsid w:val="31C41564"/>
    <w:rsid w:val="31EE5A75"/>
    <w:rsid w:val="31F47A7B"/>
    <w:rsid w:val="32270449"/>
    <w:rsid w:val="3231002A"/>
    <w:rsid w:val="326130F1"/>
    <w:rsid w:val="328E04C8"/>
    <w:rsid w:val="32BA306B"/>
    <w:rsid w:val="32BC7CE1"/>
    <w:rsid w:val="32D0150D"/>
    <w:rsid w:val="330D5C27"/>
    <w:rsid w:val="3310712F"/>
    <w:rsid w:val="331806F9"/>
    <w:rsid w:val="33310C6E"/>
    <w:rsid w:val="335127C1"/>
    <w:rsid w:val="3354241D"/>
    <w:rsid w:val="335544A0"/>
    <w:rsid w:val="3364747B"/>
    <w:rsid w:val="337F6063"/>
    <w:rsid w:val="339F04B3"/>
    <w:rsid w:val="33A302B5"/>
    <w:rsid w:val="33A42E80"/>
    <w:rsid w:val="33B007C6"/>
    <w:rsid w:val="33BA52ED"/>
    <w:rsid w:val="34056568"/>
    <w:rsid w:val="34140889"/>
    <w:rsid w:val="341434AF"/>
    <w:rsid w:val="34286128"/>
    <w:rsid w:val="343A0CCE"/>
    <w:rsid w:val="346561BD"/>
    <w:rsid w:val="34761214"/>
    <w:rsid w:val="348731F3"/>
    <w:rsid w:val="34B508A3"/>
    <w:rsid w:val="34CE2DFE"/>
    <w:rsid w:val="352C35C1"/>
    <w:rsid w:val="35303AB8"/>
    <w:rsid w:val="35621267"/>
    <w:rsid w:val="35690C6E"/>
    <w:rsid w:val="35AD5109"/>
    <w:rsid w:val="360D204B"/>
    <w:rsid w:val="361138EA"/>
    <w:rsid w:val="361B6516"/>
    <w:rsid w:val="364315C9"/>
    <w:rsid w:val="364A0BAA"/>
    <w:rsid w:val="36525CB0"/>
    <w:rsid w:val="369E54F7"/>
    <w:rsid w:val="36D30B9F"/>
    <w:rsid w:val="36E52680"/>
    <w:rsid w:val="36E76FF6"/>
    <w:rsid w:val="371279DA"/>
    <w:rsid w:val="371E6647"/>
    <w:rsid w:val="373B63F3"/>
    <w:rsid w:val="37517D16"/>
    <w:rsid w:val="377203B8"/>
    <w:rsid w:val="377F1935"/>
    <w:rsid w:val="378123A9"/>
    <w:rsid w:val="378253E3"/>
    <w:rsid w:val="379C5435"/>
    <w:rsid w:val="37C46192"/>
    <w:rsid w:val="37CB1B45"/>
    <w:rsid w:val="37D937C6"/>
    <w:rsid w:val="37E55F42"/>
    <w:rsid w:val="37F76B0F"/>
    <w:rsid w:val="38064FA4"/>
    <w:rsid w:val="380F0F17"/>
    <w:rsid w:val="381A3346"/>
    <w:rsid w:val="3825542A"/>
    <w:rsid w:val="384004B6"/>
    <w:rsid w:val="385B5313"/>
    <w:rsid w:val="386D2BC2"/>
    <w:rsid w:val="389F6131"/>
    <w:rsid w:val="38AC78FA"/>
    <w:rsid w:val="38BC68E1"/>
    <w:rsid w:val="38CF35E8"/>
    <w:rsid w:val="38ED5568"/>
    <w:rsid w:val="38F3370B"/>
    <w:rsid w:val="390A63CE"/>
    <w:rsid w:val="391334D5"/>
    <w:rsid w:val="39165194"/>
    <w:rsid w:val="393954A2"/>
    <w:rsid w:val="393A6CCD"/>
    <w:rsid w:val="39461AFC"/>
    <w:rsid w:val="39761CB6"/>
    <w:rsid w:val="39B47B2D"/>
    <w:rsid w:val="39CC0040"/>
    <w:rsid w:val="3A3159AA"/>
    <w:rsid w:val="3A5F11C7"/>
    <w:rsid w:val="3A6F5083"/>
    <w:rsid w:val="3A992349"/>
    <w:rsid w:val="3A995C5C"/>
    <w:rsid w:val="3AA50AA5"/>
    <w:rsid w:val="3AAA7E69"/>
    <w:rsid w:val="3AAD56EA"/>
    <w:rsid w:val="3AB15803"/>
    <w:rsid w:val="3ADB0022"/>
    <w:rsid w:val="3ADD023E"/>
    <w:rsid w:val="3B1B2B15"/>
    <w:rsid w:val="3B35400D"/>
    <w:rsid w:val="3B602C1D"/>
    <w:rsid w:val="3B765F9D"/>
    <w:rsid w:val="3B8035E7"/>
    <w:rsid w:val="3B8C6DE4"/>
    <w:rsid w:val="3B940DC0"/>
    <w:rsid w:val="3BC35686"/>
    <w:rsid w:val="3BC67797"/>
    <w:rsid w:val="3BD146E7"/>
    <w:rsid w:val="3BE64ED1"/>
    <w:rsid w:val="3BE904E8"/>
    <w:rsid w:val="3BF21AC7"/>
    <w:rsid w:val="3C26337F"/>
    <w:rsid w:val="3C761770"/>
    <w:rsid w:val="3C7626F9"/>
    <w:rsid w:val="3CA8487C"/>
    <w:rsid w:val="3CA94D11"/>
    <w:rsid w:val="3CBA09ED"/>
    <w:rsid w:val="3CBF151C"/>
    <w:rsid w:val="3CC05722"/>
    <w:rsid w:val="3CCB3E6A"/>
    <w:rsid w:val="3CE21B3C"/>
    <w:rsid w:val="3CE2394A"/>
    <w:rsid w:val="3CF03B2D"/>
    <w:rsid w:val="3D0012AD"/>
    <w:rsid w:val="3D141263"/>
    <w:rsid w:val="3D1B32A0"/>
    <w:rsid w:val="3D2959BD"/>
    <w:rsid w:val="3D2A6241"/>
    <w:rsid w:val="3D5B544A"/>
    <w:rsid w:val="3D78424E"/>
    <w:rsid w:val="3D903464"/>
    <w:rsid w:val="3D913562"/>
    <w:rsid w:val="3D934D3C"/>
    <w:rsid w:val="3D951CDE"/>
    <w:rsid w:val="3DA111C5"/>
    <w:rsid w:val="3DDB658B"/>
    <w:rsid w:val="3DF80EEB"/>
    <w:rsid w:val="3DFC598E"/>
    <w:rsid w:val="3E155F41"/>
    <w:rsid w:val="3E1A70B4"/>
    <w:rsid w:val="3E253A4B"/>
    <w:rsid w:val="3E4D7489"/>
    <w:rsid w:val="3E5C2D45"/>
    <w:rsid w:val="3E75078E"/>
    <w:rsid w:val="3E7F7EDF"/>
    <w:rsid w:val="3E813CFB"/>
    <w:rsid w:val="3E9A1FA2"/>
    <w:rsid w:val="3EAF1C78"/>
    <w:rsid w:val="3EB412B6"/>
    <w:rsid w:val="3EB94B1E"/>
    <w:rsid w:val="3EDE4585"/>
    <w:rsid w:val="3EE419D1"/>
    <w:rsid w:val="3EE922DA"/>
    <w:rsid w:val="3F012022"/>
    <w:rsid w:val="3F042BB6"/>
    <w:rsid w:val="3F125FDD"/>
    <w:rsid w:val="3F1735F3"/>
    <w:rsid w:val="3F397A0D"/>
    <w:rsid w:val="3F473ED8"/>
    <w:rsid w:val="3F5E1222"/>
    <w:rsid w:val="3F60143E"/>
    <w:rsid w:val="3F6902F3"/>
    <w:rsid w:val="3F7C4B4C"/>
    <w:rsid w:val="3F852231"/>
    <w:rsid w:val="3FBB0422"/>
    <w:rsid w:val="3FEF7E2D"/>
    <w:rsid w:val="40024869"/>
    <w:rsid w:val="40224945"/>
    <w:rsid w:val="402A3737"/>
    <w:rsid w:val="403326AF"/>
    <w:rsid w:val="403B1563"/>
    <w:rsid w:val="40520D87"/>
    <w:rsid w:val="405B0507"/>
    <w:rsid w:val="4061721C"/>
    <w:rsid w:val="408847A8"/>
    <w:rsid w:val="40A31D12"/>
    <w:rsid w:val="40B03CFF"/>
    <w:rsid w:val="40C36D2D"/>
    <w:rsid w:val="40D0325C"/>
    <w:rsid w:val="411A73CB"/>
    <w:rsid w:val="412169AB"/>
    <w:rsid w:val="41285F8B"/>
    <w:rsid w:val="414F3518"/>
    <w:rsid w:val="415A77DC"/>
    <w:rsid w:val="419C78CB"/>
    <w:rsid w:val="41A0777E"/>
    <w:rsid w:val="41B65345"/>
    <w:rsid w:val="41F61BE6"/>
    <w:rsid w:val="42100EF9"/>
    <w:rsid w:val="42200A4B"/>
    <w:rsid w:val="42784E67"/>
    <w:rsid w:val="42867CEC"/>
    <w:rsid w:val="42890CAC"/>
    <w:rsid w:val="428B1E08"/>
    <w:rsid w:val="42A67168"/>
    <w:rsid w:val="42B06238"/>
    <w:rsid w:val="42C121F4"/>
    <w:rsid w:val="42D27F5D"/>
    <w:rsid w:val="42F02AD9"/>
    <w:rsid w:val="42FE6FA4"/>
    <w:rsid w:val="430B1247"/>
    <w:rsid w:val="430B7208"/>
    <w:rsid w:val="432D3B6D"/>
    <w:rsid w:val="433378A9"/>
    <w:rsid w:val="4338149A"/>
    <w:rsid w:val="43721740"/>
    <w:rsid w:val="43741A13"/>
    <w:rsid w:val="437E1E93"/>
    <w:rsid w:val="4383394D"/>
    <w:rsid w:val="438D20D6"/>
    <w:rsid w:val="439A5004"/>
    <w:rsid w:val="43C065DE"/>
    <w:rsid w:val="43FA1FCE"/>
    <w:rsid w:val="43FB7987"/>
    <w:rsid w:val="440651A1"/>
    <w:rsid w:val="44223EC9"/>
    <w:rsid w:val="442C34C0"/>
    <w:rsid w:val="443F0530"/>
    <w:rsid w:val="444419DA"/>
    <w:rsid w:val="445C25BE"/>
    <w:rsid w:val="44617141"/>
    <w:rsid w:val="446B68BB"/>
    <w:rsid w:val="448B0D0B"/>
    <w:rsid w:val="44B1239B"/>
    <w:rsid w:val="44B26298"/>
    <w:rsid w:val="44B410D1"/>
    <w:rsid w:val="44CF6CF6"/>
    <w:rsid w:val="44D96855"/>
    <w:rsid w:val="44E126D9"/>
    <w:rsid w:val="44E80E1C"/>
    <w:rsid w:val="44EE3FA4"/>
    <w:rsid w:val="44F14AC6"/>
    <w:rsid w:val="450500D3"/>
    <w:rsid w:val="45090720"/>
    <w:rsid w:val="451707F1"/>
    <w:rsid w:val="45321187"/>
    <w:rsid w:val="45350C77"/>
    <w:rsid w:val="453A628D"/>
    <w:rsid w:val="455A248C"/>
    <w:rsid w:val="4569052D"/>
    <w:rsid w:val="45795008"/>
    <w:rsid w:val="4588320C"/>
    <w:rsid w:val="458F2584"/>
    <w:rsid w:val="45AE1DBE"/>
    <w:rsid w:val="45BD3146"/>
    <w:rsid w:val="45C07D97"/>
    <w:rsid w:val="45D27114"/>
    <w:rsid w:val="45EC3A2B"/>
    <w:rsid w:val="45F814B5"/>
    <w:rsid w:val="461245A8"/>
    <w:rsid w:val="4618037D"/>
    <w:rsid w:val="463A355F"/>
    <w:rsid w:val="46696E2A"/>
    <w:rsid w:val="467852BF"/>
    <w:rsid w:val="469A136D"/>
    <w:rsid w:val="46B5206F"/>
    <w:rsid w:val="46C422B2"/>
    <w:rsid w:val="46CD55AD"/>
    <w:rsid w:val="4740010B"/>
    <w:rsid w:val="47486A40"/>
    <w:rsid w:val="474E532D"/>
    <w:rsid w:val="47561410"/>
    <w:rsid w:val="47A53896"/>
    <w:rsid w:val="483E3C58"/>
    <w:rsid w:val="48483BC9"/>
    <w:rsid w:val="48757D08"/>
    <w:rsid w:val="48762939"/>
    <w:rsid w:val="48981C49"/>
    <w:rsid w:val="489B4111"/>
    <w:rsid w:val="48B337A5"/>
    <w:rsid w:val="48BB1493"/>
    <w:rsid w:val="48BF2D31"/>
    <w:rsid w:val="48D36756"/>
    <w:rsid w:val="49091B30"/>
    <w:rsid w:val="49155047"/>
    <w:rsid w:val="491D5CAA"/>
    <w:rsid w:val="4923076E"/>
    <w:rsid w:val="49300EA3"/>
    <w:rsid w:val="493259EA"/>
    <w:rsid w:val="493828F5"/>
    <w:rsid w:val="494616A5"/>
    <w:rsid w:val="49555444"/>
    <w:rsid w:val="495A6039"/>
    <w:rsid w:val="49861236"/>
    <w:rsid w:val="49B93C25"/>
    <w:rsid w:val="4A1452FF"/>
    <w:rsid w:val="4A1B48DF"/>
    <w:rsid w:val="4A370FED"/>
    <w:rsid w:val="4A3B0ADD"/>
    <w:rsid w:val="4A3B288C"/>
    <w:rsid w:val="4A4200BE"/>
    <w:rsid w:val="4A4379F5"/>
    <w:rsid w:val="4A4E2333"/>
    <w:rsid w:val="4A5D5BA5"/>
    <w:rsid w:val="4AA666BF"/>
    <w:rsid w:val="4AAA358D"/>
    <w:rsid w:val="4AC35206"/>
    <w:rsid w:val="4B013AD5"/>
    <w:rsid w:val="4B08065D"/>
    <w:rsid w:val="4B0C6E2E"/>
    <w:rsid w:val="4B1674A3"/>
    <w:rsid w:val="4B2C1F12"/>
    <w:rsid w:val="4B823BEB"/>
    <w:rsid w:val="4B9304A5"/>
    <w:rsid w:val="4B940CA8"/>
    <w:rsid w:val="4B95051F"/>
    <w:rsid w:val="4B95619F"/>
    <w:rsid w:val="4B9762C0"/>
    <w:rsid w:val="4B9C56B2"/>
    <w:rsid w:val="4B9D75BF"/>
    <w:rsid w:val="4BAE52DF"/>
    <w:rsid w:val="4BD765E4"/>
    <w:rsid w:val="4BE41E5E"/>
    <w:rsid w:val="4C057739"/>
    <w:rsid w:val="4C166112"/>
    <w:rsid w:val="4C26756B"/>
    <w:rsid w:val="4C2D6550"/>
    <w:rsid w:val="4C334CEA"/>
    <w:rsid w:val="4C3E2B07"/>
    <w:rsid w:val="4C3E48B5"/>
    <w:rsid w:val="4C5C1FC6"/>
    <w:rsid w:val="4C5D11DF"/>
    <w:rsid w:val="4C6A6C8B"/>
    <w:rsid w:val="4CB126E4"/>
    <w:rsid w:val="4CB15087"/>
    <w:rsid w:val="4CB77F5E"/>
    <w:rsid w:val="4CD945DE"/>
    <w:rsid w:val="4CE27936"/>
    <w:rsid w:val="4CE64065"/>
    <w:rsid w:val="4CEE62DB"/>
    <w:rsid w:val="4D027691"/>
    <w:rsid w:val="4D0C73A7"/>
    <w:rsid w:val="4D3A1520"/>
    <w:rsid w:val="4D453A21"/>
    <w:rsid w:val="4D673998"/>
    <w:rsid w:val="4D706CF0"/>
    <w:rsid w:val="4D84279B"/>
    <w:rsid w:val="4DA63D1B"/>
    <w:rsid w:val="4DAB7454"/>
    <w:rsid w:val="4DAC5384"/>
    <w:rsid w:val="4DE60E8C"/>
    <w:rsid w:val="4E5A580B"/>
    <w:rsid w:val="4E6F7990"/>
    <w:rsid w:val="4E7B4F3A"/>
    <w:rsid w:val="4E8011B5"/>
    <w:rsid w:val="4E8E1FCA"/>
    <w:rsid w:val="4E9E788D"/>
    <w:rsid w:val="4EAA7FE0"/>
    <w:rsid w:val="4EB62E28"/>
    <w:rsid w:val="4EB75B07"/>
    <w:rsid w:val="4EDF2558"/>
    <w:rsid w:val="4EFD0A57"/>
    <w:rsid w:val="4F033DD3"/>
    <w:rsid w:val="4F4C553B"/>
    <w:rsid w:val="4F714FA1"/>
    <w:rsid w:val="4F7D73AB"/>
    <w:rsid w:val="4F991D31"/>
    <w:rsid w:val="4FCE41A2"/>
    <w:rsid w:val="4FFF1FDF"/>
    <w:rsid w:val="50113135"/>
    <w:rsid w:val="502618E8"/>
    <w:rsid w:val="50390136"/>
    <w:rsid w:val="504306EC"/>
    <w:rsid w:val="504A1A7A"/>
    <w:rsid w:val="504F2640"/>
    <w:rsid w:val="50630D8E"/>
    <w:rsid w:val="507C59AC"/>
    <w:rsid w:val="50820C41"/>
    <w:rsid w:val="50846D7F"/>
    <w:rsid w:val="509251CF"/>
    <w:rsid w:val="50B10CAA"/>
    <w:rsid w:val="50B652BC"/>
    <w:rsid w:val="50D6330E"/>
    <w:rsid w:val="50F814D6"/>
    <w:rsid w:val="51165E00"/>
    <w:rsid w:val="514566E6"/>
    <w:rsid w:val="516721B8"/>
    <w:rsid w:val="517D19DC"/>
    <w:rsid w:val="51D319A9"/>
    <w:rsid w:val="51F37EF0"/>
    <w:rsid w:val="520771DE"/>
    <w:rsid w:val="520878FD"/>
    <w:rsid w:val="52304CF0"/>
    <w:rsid w:val="52493EA9"/>
    <w:rsid w:val="52662470"/>
    <w:rsid w:val="52A82F45"/>
    <w:rsid w:val="52E95517"/>
    <w:rsid w:val="53047CF1"/>
    <w:rsid w:val="533127DC"/>
    <w:rsid w:val="536B449C"/>
    <w:rsid w:val="538A6632"/>
    <w:rsid w:val="53A17E1C"/>
    <w:rsid w:val="53B065EF"/>
    <w:rsid w:val="53C733E2"/>
    <w:rsid w:val="53DB0105"/>
    <w:rsid w:val="53EC109A"/>
    <w:rsid w:val="53EE096F"/>
    <w:rsid w:val="53F046E7"/>
    <w:rsid w:val="53F561A1"/>
    <w:rsid w:val="53FB1691"/>
    <w:rsid w:val="540900A8"/>
    <w:rsid w:val="541A1764"/>
    <w:rsid w:val="5438608E"/>
    <w:rsid w:val="54412AF3"/>
    <w:rsid w:val="544755A6"/>
    <w:rsid w:val="54493DF7"/>
    <w:rsid w:val="545A290F"/>
    <w:rsid w:val="545B4FC9"/>
    <w:rsid w:val="54972DB4"/>
    <w:rsid w:val="54AD582C"/>
    <w:rsid w:val="54D32647"/>
    <w:rsid w:val="54E717BC"/>
    <w:rsid w:val="55052414"/>
    <w:rsid w:val="551122F9"/>
    <w:rsid w:val="55136110"/>
    <w:rsid w:val="551E7032"/>
    <w:rsid w:val="55322ADD"/>
    <w:rsid w:val="55524BDB"/>
    <w:rsid w:val="55A0038E"/>
    <w:rsid w:val="55BF3A37"/>
    <w:rsid w:val="55C23E61"/>
    <w:rsid w:val="55C8432B"/>
    <w:rsid w:val="55E83AFC"/>
    <w:rsid w:val="5611104A"/>
    <w:rsid w:val="561D5950"/>
    <w:rsid w:val="562D079A"/>
    <w:rsid w:val="56393328"/>
    <w:rsid w:val="565743B8"/>
    <w:rsid w:val="56582ADA"/>
    <w:rsid w:val="566B6453"/>
    <w:rsid w:val="567C4958"/>
    <w:rsid w:val="56837A94"/>
    <w:rsid w:val="56A67132"/>
    <w:rsid w:val="570D55B0"/>
    <w:rsid w:val="57390153"/>
    <w:rsid w:val="573A62F1"/>
    <w:rsid w:val="574F1047"/>
    <w:rsid w:val="575651A9"/>
    <w:rsid w:val="57644B05"/>
    <w:rsid w:val="57891442"/>
    <w:rsid w:val="57A5003F"/>
    <w:rsid w:val="57B40121"/>
    <w:rsid w:val="57B83007"/>
    <w:rsid w:val="57BF2954"/>
    <w:rsid w:val="57C830BF"/>
    <w:rsid w:val="57DC287B"/>
    <w:rsid w:val="58022C3B"/>
    <w:rsid w:val="58105801"/>
    <w:rsid w:val="581B3CFC"/>
    <w:rsid w:val="58366D88"/>
    <w:rsid w:val="583A0626"/>
    <w:rsid w:val="585150F0"/>
    <w:rsid w:val="58615BB3"/>
    <w:rsid w:val="588E0972"/>
    <w:rsid w:val="58AC6EEA"/>
    <w:rsid w:val="58B634E6"/>
    <w:rsid w:val="590F3445"/>
    <w:rsid w:val="59175C31"/>
    <w:rsid w:val="59486DC6"/>
    <w:rsid w:val="595E20F3"/>
    <w:rsid w:val="5968741C"/>
    <w:rsid w:val="59741916"/>
    <w:rsid w:val="59B63CDD"/>
    <w:rsid w:val="59C8549D"/>
    <w:rsid w:val="59D97A75"/>
    <w:rsid w:val="5A5B3709"/>
    <w:rsid w:val="5AAF4A42"/>
    <w:rsid w:val="5AB67D0C"/>
    <w:rsid w:val="5ABA4881"/>
    <w:rsid w:val="5AF4520D"/>
    <w:rsid w:val="5B163AF9"/>
    <w:rsid w:val="5B174C4F"/>
    <w:rsid w:val="5B266C40"/>
    <w:rsid w:val="5B4E6197"/>
    <w:rsid w:val="5B520425"/>
    <w:rsid w:val="5B5C6B06"/>
    <w:rsid w:val="5B7901FE"/>
    <w:rsid w:val="5B7E33BE"/>
    <w:rsid w:val="5B90055D"/>
    <w:rsid w:val="5B917759"/>
    <w:rsid w:val="5BCF1086"/>
    <w:rsid w:val="5BD6561E"/>
    <w:rsid w:val="5C0E77C9"/>
    <w:rsid w:val="5C2E04A2"/>
    <w:rsid w:val="5C4001D5"/>
    <w:rsid w:val="5C403D31"/>
    <w:rsid w:val="5C466933"/>
    <w:rsid w:val="5CA60DC1"/>
    <w:rsid w:val="5CB16383"/>
    <w:rsid w:val="5CC91F79"/>
    <w:rsid w:val="5CE04CBD"/>
    <w:rsid w:val="5CE45005"/>
    <w:rsid w:val="5CE67C21"/>
    <w:rsid w:val="5CF9164A"/>
    <w:rsid w:val="5D047455"/>
    <w:rsid w:val="5D0B6282"/>
    <w:rsid w:val="5D462510"/>
    <w:rsid w:val="5D4C2123"/>
    <w:rsid w:val="5D825F58"/>
    <w:rsid w:val="5D856B6C"/>
    <w:rsid w:val="5D8D1B29"/>
    <w:rsid w:val="5DBB3FB7"/>
    <w:rsid w:val="5DC8384A"/>
    <w:rsid w:val="5DCD3CEB"/>
    <w:rsid w:val="5E13627E"/>
    <w:rsid w:val="5E372767"/>
    <w:rsid w:val="5E652175"/>
    <w:rsid w:val="5E912514"/>
    <w:rsid w:val="5E9C4698"/>
    <w:rsid w:val="5EA363A2"/>
    <w:rsid w:val="5EAA7B88"/>
    <w:rsid w:val="5EB76C7A"/>
    <w:rsid w:val="5EC84BC1"/>
    <w:rsid w:val="5EF37463"/>
    <w:rsid w:val="5F131BD1"/>
    <w:rsid w:val="5F185003"/>
    <w:rsid w:val="5F1C0A86"/>
    <w:rsid w:val="5F7563E8"/>
    <w:rsid w:val="5F8246D4"/>
    <w:rsid w:val="5F8540A2"/>
    <w:rsid w:val="5F8A7959"/>
    <w:rsid w:val="5FBF2720"/>
    <w:rsid w:val="5FCD46E7"/>
    <w:rsid w:val="5FD01ED6"/>
    <w:rsid w:val="5FE22172"/>
    <w:rsid w:val="602F2A3B"/>
    <w:rsid w:val="605A363B"/>
    <w:rsid w:val="606721D5"/>
    <w:rsid w:val="60795A64"/>
    <w:rsid w:val="60800A68"/>
    <w:rsid w:val="609C40FA"/>
    <w:rsid w:val="609E371C"/>
    <w:rsid w:val="60CB2763"/>
    <w:rsid w:val="60CE6478"/>
    <w:rsid w:val="60D57D69"/>
    <w:rsid w:val="60EE6452"/>
    <w:rsid w:val="60F17CF0"/>
    <w:rsid w:val="6115578D"/>
    <w:rsid w:val="611C2FBF"/>
    <w:rsid w:val="61313D76"/>
    <w:rsid w:val="613B58B6"/>
    <w:rsid w:val="614C0521"/>
    <w:rsid w:val="61647314"/>
    <w:rsid w:val="61686204"/>
    <w:rsid w:val="61706E67"/>
    <w:rsid w:val="617F52FC"/>
    <w:rsid w:val="61840D96"/>
    <w:rsid w:val="618D5C6B"/>
    <w:rsid w:val="61A16EA2"/>
    <w:rsid w:val="61CE6CA9"/>
    <w:rsid w:val="61FA4982"/>
    <w:rsid w:val="621231FB"/>
    <w:rsid w:val="6226233D"/>
    <w:rsid w:val="622B0404"/>
    <w:rsid w:val="622D6B06"/>
    <w:rsid w:val="62495F05"/>
    <w:rsid w:val="62B15989"/>
    <w:rsid w:val="62C456BC"/>
    <w:rsid w:val="62CC631F"/>
    <w:rsid w:val="62CE653B"/>
    <w:rsid w:val="62DB1547"/>
    <w:rsid w:val="63212B0F"/>
    <w:rsid w:val="63324F8A"/>
    <w:rsid w:val="634A2AAE"/>
    <w:rsid w:val="637A6B39"/>
    <w:rsid w:val="63C80FC1"/>
    <w:rsid w:val="63EA773B"/>
    <w:rsid w:val="63F14D19"/>
    <w:rsid w:val="64125BFF"/>
    <w:rsid w:val="641A4622"/>
    <w:rsid w:val="641E34A8"/>
    <w:rsid w:val="642301C1"/>
    <w:rsid w:val="642511FC"/>
    <w:rsid w:val="64294C9F"/>
    <w:rsid w:val="64405216"/>
    <w:rsid w:val="64446389"/>
    <w:rsid w:val="648D683D"/>
    <w:rsid w:val="64951135"/>
    <w:rsid w:val="64A10AB1"/>
    <w:rsid w:val="64E237BB"/>
    <w:rsid w:val="64F97173"/>
    <w:rsid w:val="6507699E"/>
    <w:rsid w:val="650E70C3"/>
    <w:rsid w:val="65206DF6"/>
    <w:rsid w:val="6545060B"/>
    <w:rsid w:val="655831A7"/>
    <w:rsid w:val="657565AE"/>
    <w:rsid w:val="6582383A"/>
    <w:rsid w:val="65956E9C"/>
    <w:rsid w:val="659B647C"/>
    <w:rsid w:val="65BD2897"/>
    <w:rsid w:val="661878BE"/>
    <w:rsid w:val="6630527F"/>
    <w:rsid w:val="66397478"/>
    <w:rsid w:val="663A7A43"/>
    <w:rsid w:val="663F14FE"/>
    <w:rsid w:val="66703465"/>
    <w:rsid w:val="667473F9"/>
    <w:rsid w:val="6690269C"/>
    <w:rsid w:val="66BF43E2"/>
    <w:rsid w:val="66FD119D"/>
    <w:rsid w:val="6703252B"/>
    <w:rsid w:val="671D539B"/>
    <w:rsid w:val="6723497B"/>
    <w:rsid w:val="6732791F"/>
    <w:rsid w:val="674A015A"/>
    <w:rsid w:val="677A6041"/>
    <w:rsid w:val="67C83F0D"/>
    <w:rsid w:val="67CF399E"/>
    <w:rsid w:val="67ED1C74"/>
    <w:rsid w:val="67F644E3"/>
    <w:rsid w:val="67FD1024"/>
    <w:rsid w:val="680C4A71"/>
    <w:rsid w:val="680E1188"/>
    <w:rsid w:val="68146D05"/>
    <w:rsid w:val="6818272C"/>
    <w:rsid w:val="681E30AC"/>
    <w:rsid w:val="6841155D"/>
    <w:rsid w:val="685E3EBD"/>
    <w:rsid w:val="68633D07"/>
    <w:rsid w:val="689D1517"/>
    <w:rsid w:val="68C54D13"/>
    <w:rsid w:val="68D32243"/>
    <w:rsid w:val="68E906B7"/>
    <w:rsid w:val="68F465CF"/>
    <w:rsid w:val="690F4A0D"/>
    <w:rsid w:val="69136CA4"/>
    <w:rsid w:val="6923265A"/>
    <w:rsid w:val="6970608E"/>
    <w:rsid w:val="69777C99"/>
    <w:rsid w:val="69821E2D"/>
    <w:rsid w:val="69B574BD"/>
    <w:rsid w:val="69CB37D4"/>
    <w:rsid w:val="69CE6E20"/>
    <w:rsid w:val="69D02B99"/>
    <w:rsid w:val="69D739F6"/>
    <w:rsid w:val="69FA19C4"/>
    <w:rsid w:val="69FD1F97"/>
    <w:rsid w:val="6A0720EC"/>
    <w:rsid w:val="6A555CAB"/>
    <w:rsid w:val="6A8614A9"/>
    <w:rsid w:val="6A876FCF"/>
    <w:rsid w:val="6AAA7360"/>
    <w:rsid w:val="6AAB1116"/>
    <w:rsid w:val="6AB235B6"/>
    <w:rsid w:val="6AC7694D"/>
    <w:rsid w:val="6AF552E1"/>
    <w:rsid w:val="6AFB3C45"/>
    <w:rsid w:val="6B040620"/>
    <w:rsid w:val="6B22204D"/>
    <w:rsid w:val="6B3A7BE8"/>
    <w:rsid w:val="6B4C512D"/>
    <w:rsid w:val="6B517D09"/>
    <w:rsid w:val="6B7D310A"/>
    <w:rsid w:val="6B827EC3"/>
    <w:rsid w:val="6BA51E03"/>
    <w:rsid w:val="6BC56001"/>
    <w:rsid w:val="6BC77205"/>
    <w:rsid w:val="6BD60AB1"/>
    <w:rsid w:val="6C014D71"/>
    <w:rsid w:val="6C2E3BA6"/>
    <w:rsid w:val="6C3867D3"/>
    <w:rsid w:val="6C77469B"/>
    <w:rsid w:val="6C891725"/>
    <w:rsid w:val="6C9003BD"/>
    <w:rsid w:val="6CCF5389"/>
    <w:rsid w:val="6CDF1345"/>
    <w:rsid w:val="6CF21078"/>
    <w:rsid w:val="6D127A4E"/>
    <w:rsid w:val="6D1F626F"/>
    <w:rsid w:val="6D3E077A"/>
    <w:rsid w:val="6D5238C5"/>
    <w:rsid w:val="6D75106E"/>
    <w:rsid w:val="6DC07663"/>
    <w:rsid w:val="6DC94C72"/>
    <w:rsid w:val="6E0C5660"/>
    <w:rsid w:val="6E14501E"/>
    <w:rsid w:val="6E3F46CC"/>
    <w:rsid w:val="6E47015B"/>
    <w:rsid w:val="6E5F098F"/>
    <w:rsid w:val="6E7D2BC3"/>
    <w:rsid w:val="6E971ED7"/>
    <w:rsid w:val="6ECB7DD2"/>
    <w:rsid w:val="6EF1792B"/>
    <w:rsid w:val="6EFF024D"/>
    <w:rsid w:val="6F047178"/>
    <w:rsid w:val="6F305E87"/>
    <w:rsid w:val="6F321C00"/>
    <w:rsid w:val="6F6404DD"/>
    <w:rsid w:val="6F6D49E6"/>
    <w:rsid w:val="6F860B88"/>
    <w:rsid w:val="6F885CC3"/>
    <w:rsid w:val="6F8D5088"/>
    <w:rsid w:val="6F9A74FC"/>
    <w:rsid w:val="6FAD2FE7"/>
    <w:rsid w:val="6FC87AB9"/>
    <w:rsid w:val="6FD34BE3"/>
    <w:rsid w:val="6FDB2297"/>
    <w:rsid w:val="700E441B"/>
    <w:rsid w:val="703E4E0C"/>
    <w:rsid w:val="70433998"/>
    <w:rsid w:val="70482D4D"/>
    <w:rsid w:val="704E0CBB"/>
    <w:rsid w:val="7059064D"/>
    <w:rsid w:val="70757BC0"/>
    <w:rsid w:val="70950081"/>
    <w:rsid w:val="70AD2460"/>
    <w:rsid w:val="70E64A50"/>
    <w:rsid w:val="711D7258"/>
    <w:rsid w:val="7132620B"/>
    <w:rsid w:val="71397275"/>
    <w:rsid w:val="71527710"/>
    <w:rsid w:val="716D5171"/>
    <w:rsid w:val="718129CA"/>
    <w:rsid w:val="71C97081"/>
    <w:rsid w:val="71CD79BE"/>
    <w:rsid w:val="71DF658E"/>
    <w:rsid w:val="71ED719C"/>
    <w:rsid w:val="71F26D4F"/>
    <w:rsid w:val="72071122"/>
    <w:rsid w:val="721A230E"/>
    <w:rsid w:val="723D6697"/>
    <w:rsid w:val="72895FDA"/>
    <w:rsid w:val="728D7088"/>
    <w:rsid w:val="729A188F"/>
    <w:rsid w:val="730C5563"/>
    <w:rsid w:val="731004AA"/>
    <w:rsid w:val="73201533"/>
    <w:rsid w:val="73216213"/>
    <w:rsid w:val="735D5E49"/>
    <w:rsid w:val="737E3665"/>
    <w:rsid w:val="738C292E"/>
    <w:rsid w:val="73AF4081"/>
    <w:rsid w:val="73CE724A"/>
    <w:rsid w:val="7400011D"/>
    <w:rsid w:val="74250B17"/>
    <w:rsid w:val="742C1313"/>
    <w:rsid w:val="74325A6C"/>
    <w:rsid w:val="744426B4"/>
    <w:rsid w:val="74661384"/>
    <w:rsid w:val="74833D0A"/>
    <w:rsid w:val="7496678D"/>
    <w:rsid w:val="74A94712"/>
    <w:rsid w:val="74B4004C"/>
    <w:rsid w:val="7516167C"/>
    <w:rsid w:val="75321767"/>
    <w:rsid w:val="759058D2"/>
    <w:rsid w:val="75A03D67"/>
    <w:rsid w:val="75CD4430"/>
    <w:rsid w:val="75DC3A51"/>
    <w:rsid w:val="75EE5A09"/>
    <w:rsid w:val="763B5CFA"/>
    <w:rsid w:val="764261F7"/>
    <w:rsid w:val="767F6A10"/>
    <w:rsid w:val="768A686C"/>
    <w:rsid w:val="76B4114C"/>
    <w:rsid w:val="76B455F0"/>
    <w:rsid w:val="76C5189C"/>
    <w:rsid w:val="76CE5046"/>
    <w:rsid w:val="76CF0C87"/>
    <w:rsid w:val="76EC4D8A"/>
    <w:rsid w:val="77132D1E"/>
    <w:rsid w:val="77163BB5"/>
    <w:rsid w:val="77366005"/>
    <w:rsid w:val="77381C0F"/>
    <w:rsid w:val="77381D7D"/>
    <w:rsid w:val="773F2B4A"/>
    <w:rsid w:val="774E4386"/>
    <w:rsid w:val="775D3592"/>
    <w:rsid w:val="776E773E"/>
    <w:rsid w:val="7791148D"/>
    <w:rsid w:val="77A16CD3"/>
    <w:rsid w:val="77AD62C7"/>
    <w:rsid w:val="77AF51B3"/>
    <w:rsid w:val="77B16ACC"/>
    <w:rsid w:val="77B50825"/>
    <w:rsid w:val="77BE05A4"/>
    <w:rsid w:val="77C47AB5"/>
    <w:rsid w:val="77CF673A"/>
    <w:rsid w:val="77D70E57"/>
    <w:rsid w:val="77E37F3B"/>
    <w:rsid w:val="77EB7DD8"/>
    <w:rsid w:val="77F20E53"/>
    <w:rsid w:val="781C344D"/>
    <w:rsid w:val="78227E54"/>
    <w:rsid w:val="783562BD"/>
    <w:rsid w:val="786D480C"/>
    <w:rsid w:val="78B77851"/>
    <w:rsid w:val="78D37FAF"/>
    <w:rsid w:val="78DB50B6"/>
    <w:rsid w:val="792C5912"/>
    <w:rsid w:val="79367E3E"/>
    <w:rsid w:val="79444A09"/>
    <w:rsid w:val="79537342"/>
    <w:rsid w:val="796139DC"/>
    <w:rsid w:val="7977234E"/>
    <w:rsid w:val="798B35A0"/>
    <w:rsid w:val="798E3ED6"/>
    <w:rsid w:val="79C03601"/>
    <w:rsid w:val="79C83A25"/>
    <w:rsid w:val="79CE0777"/>
    <w:rsid w:val="79E41DB5"/>
    <w:rsid w:val="79F22C17"/>
    <w:rsid w:val="79FE3AAC"/>
    <w:rsid w:val="7A212F9C"/>
    <w:rsid w:val="7A4E0987"/>
    <w:rsid w:val="7A5A200A"/>
    <w:rsid w:val="7A770E0E"/>
    <w:rsid w:val="7AA4616C"/>
    <w:rsid w:val="7AB66EF8"/>
    <w:rsid w:val="7AD176EE"/>
    <w:rsid w:val="7B07090C"/>
    <w:rsid w:val="7B1A63C8"/>
    <w:rsid w:val="7B38234C"/>
    <w:rsid w:val="7B461556"/>
    <w:rsid w:val="7B6700A0"/>
    <w:rsid w:val="7B6C4E4C"/>
    <w:rsid w:val="7B7F441F"/>
    <w:rsid w:val="7B8815BD"/>
    <w:rsid w:val="7BE44088"/>
    <w:rsid w:val="7BED0AAE"/>
    <w:rsid w:val="7BF278E8"/>
    <w:rsid w:val="7C083704"/>
    <w:rsid w:val="7C1527E1"/>
    <w:rsid w:val="7C3C2310"/>
    <w:rsid w:val="7C4A65BB"/>
    <w:rsid w:val="7C4B74AD"/>
    <w:rsid w:val="7C5E388A"/>
    <w:rsid w:val="7C6001ED"/>
    <w:rsid w:val="7C613B24"/>
    <w:rsid w:val="7C773348"/>
    <w:rsid w:val="7C873370"/>
    <w:rsid w:val="7C970ADF"/>
    <w:rsid w:val="7C9A5AFA"/>
    <w:rsid w:val="7CA16D3E"/>
    <w:rsid w:val="7CF2277F"/>
    <w:rsid w:val="7CF24B05"/>
    <w:rsid w:val="7D0D15B6"/>
    <w:rsid w:val="7D1D53FF"/>
    <w:rsid w:val="7D295F33"/>
    <w:rsid w:val="7D4A2AFB"/>
    <w:rsid w:val="7D754E64"/>
    <w:rsid w:val="7D760F0D"/>
    <w:rsid w:val="7D7F0706"/>
    <w:rsid w:val="7DA21761"/>
    <w:rsid w:val="7DAC0DCF"/>
    <w:rsid w:val="7DAF52FE"/>
    <w:rsid w:val="7DF01EA7"/>
    <w:rsid w:val="7E2117BD"/>
    <w:rsid w:val="7E2968C4"/>
    <w:rsid w:val="7E484F9C"/>
    <w:rsid w:val="7E553580"/>
    <w:rsid w:val="7E5733FC"/>
    <w:rsid w:val="7E673B88"/>
    <w:rsid w:val="7E714941"/>
    <w:rsid w:val="7E906943"/>
    <w:rsid w:val="7EA27783"/>
    <w:rsid w:val="7EA6685A"/>
    <w:rsid w:val="7EA908A0"/>
    <w:rsid w:val="7ED90181"/>
    <w:rsid w:val="7EFE565A"/>
    <w:rsid w:val="7F0D5A78"/>
    <w:rsid w:val="7F2A5EB7"/>
    <w:rsid w:val="7F385010"/>
    <w:rsid w:val="7F3D3714"/>
    <w:rsid w:val="7F4F5EB6"/>
    <w:rsid w:val="7F5B0CFF"/>
    <w:rsid w:val="7F802513"/>
    <w:rsid w:val="7F972DC2"/>
    <w:rsid w:val="7FA02BB5"/>
    <w:rsid w:val="7FB16B71"/>
    <w:rsid w:val="7FE4078B"/>
    <w:rsid w:val="7FEB2D3C"/>
    <w:rsid w:val="7FF32CE5"/>
    <w:rsid w:val="7FF64583"/>
    <w:rsid w:val="7FF65EB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9" w:semiHidden="0" w:name="heading 3"/>
    <w:lsdException w:qFormat="1" w:uiPriority="99" w:semiHidden="0" w:name="heading 4"/>
    <w:lsdException w:qFormat="1"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qFormat="1" w:uiPriority="0" w:semiHidden="0" w:name="envelope return"/>
    <w:lsdException w:uiPriority="0" w:name="footnote reference"/>
    <w:lsdException w:qFormat="1" w:unhideWhenUsed="0"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qFormat="1" w:unhideWhenUsed="0" w:uiPriority="0" w:semiHidden="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qFormat="1" w:unhideWhenUsed="0" w:uiPriority="1"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99" w:semiHidden="0" w:name="Body Text First Indent 2"/>
    <w:lsdException w:uiPriority="0" w:name="Note Heading"/>
    <w:lsdException w:qFormat="1" w:unhideWhenUsed="0" w:uiPriority="0" w:semiHidden="0" w:name="Body Text 2"/>
    <w:lsdException w:qFormat="1" w:uiPriority="99" w:semiHidden="0" w:name="Body Text 3"/>
    <w:lsdException w:qFormat="1" w:unhideWhenUsed="0" w:uiPriority="0" w:semiHidden="0" w:name="Body Text Indent 2"/>
    <w:lsdException w:uiPriority="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qFormat="1" w:uiPriority="0" w:semiHidden="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semiHidden="0" w:name="HTML Keyboard"/>
    <w:lsdException w:qFormat="1" w:uiPriority="99" w:semiHidden="0" w:name="HTML Preformatted"/>
    <w:lsdException w:qFormat="1" w:uiPriority="0" w:semiHidden="0" w:name="HTML Sample"/>
    <w:lsdException w:qFormat="1" w:uiPriority="0" w:semiHidden="0" w:name="HTML Typewriter"/>
    <w:lsdException w:qFormat="1" w:uiPriority="0" w:semiHidden="0" w:name="HTML Variable"/>
    <w:lsdException w:qFormat="1" w:uiPriority="99" w:semiHidden="0" w:name="Normal Table"/>
    <w:lsdException w:qFormat="1" w:unhideWhenUsed="0"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56"/>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75"/>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76"/>
    <w:qFormat/>
    <w:uiPriority w:val="0"/>
    <w:pPr>
      <w:keepNext/>
      <w:keepLines/>
      <w:spacing w:before="260" w:after="260" w:line="416" w:lineRule="auto"/>
      <w:outlineLvl w:val="1"/>
    </w:pPr>
    <w:rPr>
      <w:rFonts w:ascii="Calibri Light" w:hAnsi="Calibri Light"/>
      <w:b/>
      <w:bCs/>
      <w:sz w:val="32"/>
      <w:szCs w:val="32"/>
    </w:rPr>
  </w:style>
  <w:style w:type="paragraph" w:styleId="4">
    <w:name w:val="heading 3"/>
    <w:basedOn w:val="1"/>
    <w:next w:val="1"/>
    <w:link w:val="77"/>
    <w:unhideWhenUsed/>
    <w:qFormat/>
    <w:uiPriority w:val="99"/>
    <w:pPr>
      <w:keepNext/>
      <w:keepLines/>
      <w:spacing w:before="260" w:after="260" w:line="416" w:lineRule="auto"/>
      <w:outlineLvl w:val="2"/>
    </w:pPr>
    <w:rPr>
      <w:b/>
      <w:bCs/>
      <w:sz w:val="32"/>
      <w:szCs w:val="32"/>
    </w:rPr>
  </w:style>
  <w:style w:type="paragraph" w:styleId="5">
    <w:name w:val="heading 4"/>
    <w:basedOn w:val="1"/>
    <w:next w:val="1"/>
    <w:link w:val="78"/>
    <w:unhideWhenUsed/>
    <w:qFormat/>
    <w:uiPriority w:val="9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79"/>
    <w:unhideWhenUsed/>
    <w:qFormat/>
    <w:uiPriority w:val="9"/>
    <w:pPr>
      <w:keepNext/>
      <w:keepLines/>
      <w:widowControl/>
      <w:spacing w:before="280" w:after="290" w:line="376" w:lineRule="auto"/>
      <w:ind w:firstLine="200" w:firstLineChars="200"/>
      <w:jc w:val="left"/>
      <w:outlineLvl w:val="4"/>
    </w:pPr>
    <w:rPr>
      <w:rFonts w:eastAsia="楷体"/>
      <w:b/>
      <w:bCs/>
      <w:kern w:val="0"/>
      <w:sz w:val="24"/>
      <w:szCs w:val="28"/>
    </w:rPr>
  </w:style>
  <w:style w:type="paragraph" w:styleId="7">
    <w:name w:val="heading 6"/>
    <w:basedOn w:val="1"/>
    <w:next w:val="1"/>
    <w:link w:val="80"/>
    <w:qFormat/>
    <w:uiPriority w:val="0"/>
    <w:pPr>
      <w:keepNext/>
      <w:keepLines/>
      <w:spacing w:before="240" w:after="64" w:line="320" w:lineRule="auto"/>
      <w:ind w:left="3261" w:firstLine="200" w:firstLineChars="200"/>
      <w:outlineLvl w:val="5"/>
    </w:pPr>
    <w:rPr>
      <w:rFonts w:ascii="Cambria" w:hAnsi="Cambria" w:eastAsia="楷体"/>
      <w:b/>
      <w:bCs/>
      <w:sz w:val="24"/>
      <w:szCs w:val="24"/>
    </w:rPr>
  </w:style>
  <w:style w:type="paragraph" w:styleId="8">
    <w:name w:val="heading 7"/>
    <w:basedOn w:val="1"/>
    <w:next w:val="1"/>
    <w:link w:val="81"/>
    <w:qFormat/>
    <w:uiPriority w:val="0"/>
    <w:pPr>
      <w:keepNext/>
      <w:keepLines/>
      <w:spacing w:beforeLines="50" w:afterLines="50" w:line="319" w:lineRule="auto"/>
      <w:ind w:firstLine="200" w:firstLineChars="200"/>
      <w:outlineLvl w:val="6"/>
    </w:pPr>
    <w:rPr>
      <w:rFonts w:eastAsia="黑体"/>
      <w:b/>
      <w:bCs/>
      <w:sz w:val="24"/>
      <w:szCs w:val="24"/>
    </w:rPr>
  </w:style>
  <w:style w:type="paragraph" w:styleId="9">
    <w:name w:val="heading 8"/>
    <w:basedOn w:val="1"/>
    <w:next w:val="1"/>
    <w:link w:val="82"/>
    <w:qFormat/>
    <w:uiPriority w:val="0"/>
    <w:pPr>
      <w:keepNext/>
      <w:keepLines/>
      <w:spacing w:beforeLines="50" w:afterLines="50" w:line="319" w:lineRule="auto"/>
      <w:ind w:firstLine="200" w:firstLineChars="200"/>
      <w:outlineLvl w:val="7"/>
    </w:pPr>
    <w:rPr>
      <w:rFonts w:ascii="Arial" w:hAnsi="Arial" w:eastAsia="黑体"/>
      <w:b/>
      <w:sz w:val="24"/>
      <w:szCs w:val="24"/>
    </w:rPr>
  </w:style>
  <w:style w:type="paragraph" w:styleId="10">
    <w:name w:val="heading 9"/>
    <w:basedOn w:val="1"/>
    <w:next w:val="1"/>
    <w:link w:val="83"/>
    <w:qFormat/>
    <w:uiPriority w:val="0"/>
    <w:pPr>
      <w:keepNext/>
      <w:keepLines/>
      <w:spacing w:beforeLines="50" w:afterLines="50" w:line="319" w:lineRule="auto"/>
      <w:ind w:firstLine="200" w:firstLineChars="200"/>
      <w:outlineLvl w:val="8"/>
    </w:pPr>
    <w:rPr>
      <w:rFonts w:ascii="Arial" w:hAnsi="Arial" w:eastAsia="黑体"/>
      <w:b/>
      <w:sz w:val="24"/>
      <w:szCs w:val="21"/>
    </w:rPr>
  </w:style>
  <w:style w:type="character" w:default="1" w:styleId="44">
    <w:name w:val="Default Paragraph Font"/>
    <w:unhideWhenUsed/>
    <w:qFormat/>
    <w:uiPriority w:val="1"/>
  </w:style>
  <w:style w:type="table" w:default="1" w:styleId="42">
    <w:name w:val="Normal Tabl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unhideWhenUsed/>
    <w:qFormat/>
    <w:uiPriority w:val="0"/>
    <w:pPr>
      <w:ind w:left="1260"/>
      <w:jc w:val="left"/>
    </w:pPr>
    <w:rPr>
      <w:rFonts w:asciiTheme="minorHAnsi" w:hAnsiTheme="minorHAnsi"/>
      <w:sz w:val="18"/>
      <w:szCs w:val="18"/>
    </w:rPr>
  </w:style>
  <w:style w:type="paragraph" w:styleId="12">
    <w:name w:val="Normal Indent"/>
    <w:basedOn w:val="1"/>
    <w:next w:val="13"/>
    <w:qFormat/>
    <w:uiPriority w:val="0"/>
    <w:pPr>
      <w:adjustRightInd w:val="0"/>
      <w:spacing w:line="360" w:lineRule="atLeast"/>
      <w:ind w:firstLine="420" w:firstLineChars="200"/>
      <w:jc w:val="left"/>
      <w:textAlignment w:val="baseline"/>
    </w:pPr>
    <w:rPr>
      <w:rFonts w:ascii="Calibri" w:hAnsi="Calibri"/>
      <w:kern w:val="0"/>
      <w:sz w:val="24"/>
    </w:rPr>
  </w:style>
  <w:style w:type="paragraph" w:styleId="13">
    <w:name w:val="toc 4"/>
    <w:basedOn w:val="1"/>
    <w:next w:val="1"/>
    <w:unhideWhenUsed/>
    <w:qFormat/>
    <w:uiPriority w:val="0"/>
    <w:pPr>
      <w:ind w:left="630"/>
      <w:jc w:val="left"/>
    </w:pPr>
    <w:rPr>
      <w:rFonts w:asciiTheme="minorHAnsi" w:hAnsiTheme="minorHAnsi"/>
      <w:sz w:val="18"/>
      <w:szCs w:val="18"/>
    </w:rPr>
  </w:style>
  <w:style w:type="paragraph" w:styleId="14">
    <w:name w:val="Document Map"/>
    <w:basedOn w:val="1"/>
    <w:link w:val="84"/>
    <w:qFormat/>
    <w:uiPriority w:val="0"/>
    <w:rPr>
      <w:rFonts w:ascii="宋体"/>
      <w:sz w:val="18"/>
      <w:szCs w:val="18"/>
    </w:rPr>
  </w:style>
  <w:style w:type="paragraph" w:styleId="15">
    <w:name w:val="toa heading"/>
    <w:basedOn w:val="1"/>
    <w:next w:val="1"/>
    <w:qFormat/>
    <w:uiPriority w:val="0"/>
    <w:pPr>
      <w:spacing w:before="120"/>
    </w:pPr>
    <w:rPr>
      <w:rFonts w:ascii="Arial" w:hAnsi="Arial"/>
      <w:sz w:val="24"/>
    </w:rPr>
  </w:style>
  <w:style w:type="paragraph" w:styleId="16">
    <w:name w:val="annotation text"/>
    <w:basedOn w:val="1"/>
    <w:link w:val="85"/>
    <w:qFormat/>
    <w:uiPriority w:val="99"/>
    <w:pPr>
      <w:jc w:val="left"/>
    </w:pPr>
  </w:style>
  <w:style w:type="paragraph" w:styleId="17">
    <w:name w:val="Body Text 3"/>
    <w:basedOn w:val="1"/>
    <w:unhideWhenUsed/>
    <w:qFormat/>
    <w:uiPriority w:val="99"/>
    <w:pPr>
      <w:spacing w:after="120"/>
    </w:pPr>
    <w:rPr>
      <w:sz w:val="16"/>
      <w:szCs w:val="16"/>
    </w:rPr>
  </w:style>
  <w:style w:type="paragraph" w:styleId="18">
    <w:name w:val="Body Text"/>
    <w:basedOn w:val="1"/>
    <w:link w:val="86"/>
    <w:qFormat/>
    <w:uiPriority w:val="1"/>
    <w:pPr>
      <w:autoSpaceDE w:val="0"/>
      <w:autoSpaceDN w:val="0"/>
      <w:jc w:val="left"/>
    </w:pPr>
    <w:rPr>
      <w:rFonts w:ascii="宋体" w:hAnsi="宋体" w:cs="宋体"/>
      <w:kern w:val="0"/>
      <w:sz w:val="18"/>
      <w:szCs w:val="18"/>
      <w:lang w:val="zh-CN" w:bidi="zh-CN"/>
    </w:rPr>
  </w:style>
  <w:style w:type="paragraph" w:styleId="19">
    <w:name w:val="Body Text Indent"/>
    <w:basedOn w:val="1"/>
    <w:qFormat/>
    <w:uiPriority w:val="0"/>
    <w:pPr>
      <w:autoSpaceDE w:val="0"/>
      <w:autoSpaceDN w:val="0"/>
      <w:adjustRightInd w:val="0"/>
      <w:spacing w:line="360" w:lineRule="auto"/>
      <w:ind w:firstLine="540" w:firstLineChars="180"/>
    </w:pPr>
    <w:rPr>
      <w:rFonts w:ascii="宋体" w:hAnsi="Calibri"/>
      <w:sz w:val="30"/>
      <w:szCs w:val="24"/>
    </w:rPr>
  </w:style>
  <w:style w:type="paragraph" w:styleId="20">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21">
    <w:name w:val="toc 5"/>
    <w:basedOn w:val="1"/>
    <w:next w:val="1"/>
    <w:unhideWhenUsed/>
    <w:qFormat/>
    <w:uiPriority w:val="0"/>
    <w:pPr>
      <w:ind w:left="840"/>
      <w:jc w:val="left"/>
    </w:pPr>
    <w:rPr>
      <w:rFonts w:asciiTheme="minorHAnsi" w:hAnsiTheme="minorHAnsi"/>
      <w:sz w:val="18"/>
      <w:szCs w:val="18"/>
    </w:rPr>
  </w:style>
  <w:style w:type="paragraph" w:styleId="22">
    <w:name w:val="toc 3"/>
    <w:basedOn w:val="1"/>
    <w:next w:val="1"/>
    <w:qFormat/>
    <w:uiPriority w:val="39"/>
    <w:pPr>
      <w:ind w:left="420"/>
      <w:jc w:val="left"/>
    </w:pPr>
    <w:rPr>
      <w:rFonts w:asciiTheme="minorHAnsi" w:hAnsiTheme="minorHAnsi"/>
      <w:i/>
      <w:iCs/>
      <w:sz w:val="20"/>
      <w:szCs w:val="20"/>
    </w:rPr>
  </w:style>
  <w:style w:type="paragraph" w:styleId="23">
    <w:name w:val="Plain Text"/>
    <w:basedOn w:val="1"/>
    <w:link w:val="87"/>
    <w:qFormat/>
    <w:uiPriority w:val="0"/>
    <w:rPr>
      <w:rFonts w:ascii="宋体" w:hAnsi="Courier New" w:cs="Courier New" w:eastAsiaTheme="minorEastAsia"/>
      <w:szCs w:val="21"/>
    </w:rPr>
  </w:style>
  <w:style w:type="paragraph" w:styleId="24">
    <w:name w:val="toc 8"/>
    <w:basedOn w:val="1"/>
    <w:next w:val="1"/>
    <w:unhideWhenUsed/>
    <w:qFormat/>
    <w:uiPriority w:val="0"/>
    <w:pPr>
      <w:ind w:left="1470"/>
      <w:jc w:val="left"/>
    </w:pPr>
    <w:rPr>
      <w:rFonts w:asciiTheme="minorHAnsi" w:hAnsiTheme="minorHAnsi"/>
      <w:sz w:val="18"/>
      <w:szCs w:val="18"/>
    </w:rPr>
  </w:style>
  <w:style w:type="paragraph" w:styleId="25">
    <w:name w:val="Date"/>
    <w:basedOn w:val="1"/>
    <w:next w:val="1"/>
    <w:link w:val="88"/>
    <w:qFormat/>
    <w:uiPriority w:val="0"/>
    <w:pPr>
      <w:ind w:left="100" w:leftChars="2500"/>
    </w:pPr>
  </w:style>
  <w:style w:type="paragraph" w:styleId="26">
    <w:name w:val="Body Text Indent 2"/>
    <w:basedOn w:val="1"/>
    <w:qFormat/>
    <w:uiPriority w:val="0"/>
    <w:pPr>
      <w:ind w:firstLine="540" w:firstLineChars="257"/>
    </w:pPr>
    <w:rPr>
      <w:szCs w:val="24"/>
    </w:rPr>
  </w:style>
  <w:style w:type="paragraph" w:styleId="27">
    <w:name w:val="Balloon Text"/>
    <w:basedOn w:val="1"/>
    <w:link w:val="89"/>
    <w:qFormat/>
    <w:uiPriority w:val="99"/>
    <w:rPr>
      <w:sz w:val="18"/>
      <w:szCs w:val="18"/>
    </w:rPr>
  </w:style>
  <w:style w:type="paragraph" w:styleId="28">
    <w:name w:val="footer"/>
    <w:basedOn w:val="1"/>
    <w:link w:val="90"/>
    <w:qFormat/>
    <w:uiPriority w:val="99"/>
    <w:pPr>
      <w:tabs>
        <w:tab w:val="center" w:pos="4153"/>
        <w:tab w:val="right" w:pos="8306"/>
      </w:tabs>
      <w:snapToGrid w:val="0"/>
      <w:jc w:val="left"/>
    </w:pPr>
    <w:rPr>
      <w:sz w:val="18"/>
      <w:szCs w:val="18"/>
    </w:rPr>
  </w:style>
  <w:style w:type="paragraph" w:styleId="29">
    <w:name w:val="envelope return"/>
    <w:basedOn w:val="1"/>
    <w:unhideWhenUsed/>
    <w:qFormat/>
    <w:uiPriority w:val="0"/>
    <w:pPr>
      <w:snapToGrid w:val="0"/>
    </w:pPr>
    <w:rPr>
      <w:rFonts w:ascii="Arial" w:hAnsi="Arial" w:eastAsia="宋体"/>
      <w:szCs w:val="24"/>
    </w:rPr>
  </w:style>
  <w:style w:type="paragraph" w:styleId="30">
    <w:name w:val="header"/>
    <w:basedOn w:val="1"/>
    <w:link w:val="91"/>
    <w:qFormat/>
    <w:uiPriority w:val="99"/>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spacing w:before="120" w:after="120"/>
      <w:jc w:val="left"/>
    </w:pPr>
    <w:rPr>
      <w:rFonts w:asciiTheme="minorHAnsi" w:hAnsiTheme="minorHAnsi"/>
      <w:b/>
      <w:bCs/>
      <w:caps/>
      <w:sz w:val="20"/>
      <w:szCs w:val="20"/>
    </w:rPr>
  </w:style>
  <w:style w:type="paragraph" w:styleId="32">
    <w:name w:val="toc 6"/>
    <w:basedOn w:val="1"/>
    <w:next w:val="1"/>
    <w:unhideWhenUsed/>
    <w:qFormat/>
    <w:uiPriority w:val="0"/>
    <w:pPr>
      <w:ind w:left="1050"/>
      <w:jc w:val="left"/>
    </w:pPr>
    <w:rPr>
      <w:rFonts w:asciiTheme="minorHAnsi" w:hAnsiTheme="minorHAnsi"/>
      <w:sz w:val="18"/>
      <w:szCs w:val="18"/>
    </w:rPr>
  </w:style>
  <w:style w:type="paragraph" w:styleId="33">
    <w:name w:val="toc 2"/>
    <w:basedOn w:val="1"/>
    <w:next w:val="1"/>
    <w:qFormat/>
    <w:uiPriority w:val="39"/>
    <w:pPr>
      <w:ind w:left="210"/>
      <w:jc w:val="left"/>
    </w:pPr>
    <w:rPr>
      <w:rFonts w:asciiTheme="minorHAnsi" w:hAnsiTheme="minorHAnsi"/>
      <w:smallCaps/>
      <w:sz w:val="20"/>
      <w:szCs w:val="20"/>
    </w:rPr>
  </w:style>
  <w:style w:type="paragraph" w:styleId="34">
    <w:name w:val="toc 9"/>
    <w:basedOn w:val="1"/>
    <w:next w:val="1"/>
    <w:unhideWhenUsed/>
    <w:qFormat/>
    <w:uiPriority w:val="0"/>
    <w:pPr>
      <w:ind w:left="1680"/>
      <w:jc w:val="left"/>
    </w:pPr>
    <w:rPr>
      <w:rFonts w:asciiTheme="minorHAnsi" w:hAnsiTheme="minorHAnsi"/>
      <w:sz w:val="18"/>
      <w:szCs w:val="18"/>
    </w:rPr>
  </w:style>
  <w:style w:type="paragraph" w:styleId="35">
    <w:name w:val="Body Text 2"/>
    <w:basedOn w:val="1"/>
    <w:qFormat/>
    <w:uiPriority w:val="0"/>
    <w:pPr>
      <w:jc w:val="center"/>
    </w:pPr>
    <w:rPr>
      <w:b/>
      <w:bCs/>
      <w:spacing w:val="-20"/>
      <w:w w:val="130"/>
      <w:sz w:val="48"/>
      <w:szCs w:val="48"/>
    </w:rPr>
  </w:style>
  <w:style w:type="paragraph" w:styleId="36">
    <w:name w:val="HTML Preformatted"/>
    <w:basedOn w:val="1"/>
    <w:link w:val="9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37">
    <w:name w:val="Normal (Web)"/>
    <w:basedOn w:val="1"/>
    <w:qFormat/>
    <w:uiPriority w:val="99"/>
    <w:pPr>
      <w:widowControl/>
      <w:spacing w:before="100" w:beforeAutospacing="1" w:after="100" w:afterAutospacing="1"/>
      <w:jc w:val="left"/>
    </w:pPr>
    <w:rPr>
      <w:rFonts w:ascii="宋体" w:hAnsi="宋体"/>
      <w:kern w:val="0"/>
      <w:sz w:val="24"/>
    </w:rPr>
  </w:style>
  <w:style w:type="paragraph" w:styleId="38">
    <w:name w:val="Title"/>
    <w:basedOn w:val="1"/>
    <w:next w:val="1"/>
    <w:link w:val="119"/>
    <w:qFormat/>
    <w:uiPriority w:val="0"/>
    <w:pPr>
      <w:spacing w:before="240" w:after="60" w:line="360" w:lineRule="auto"/>
      <w:ind w:firstLine="200" w:firstLineChars="200"/>
      <w:jc w:val="center"/>
      <w:outlineLvl w:val="0"/>
    </w:pPr>
    <w:rPr>
      <w:rFonts w:ascii="Cambria" w:hAnsi="Cambria"/>
      <w:b/>
      <w:bCs/>
      <w:kern w:val="0"/>
      <w:sz w:val="36"/>
      <w:szCs w:val="32"/>
    </w:rPr>
  </w:style>
  <w:style w:type="paragraph" w:styleId="39">
    <w:name w:val="annotation subject"/>
    <w:basedOn w:val="16"/>
    <w:next w:val="1"/>
    <w:link w:val="93"/>
    <w:qFormat/>
    <w:uiPriority w:val="99"/>
    <w:rPr>
      <w:b/>
      <w:bCs/>
    </w:rPr>
  </w:style>
  <w:style w:type="paragraph" w:styleId="40">
    <w:name w:val="Body Text First Indent"/>
    <w:basedOn w:val="18"/>
    <w:next w:val="41"/>
    <w:qFormat/>
    <w:uiPriority w:val="0"/>
    <w:pPr>
      <w:ind w:firstLine="420" w:firstLineChars="100"/>
    </w:pPr>
    <w:rPr>
      <w:sz w:val="34"/>
    </w:rPr>
  </w:style>
  <w:style w:type="paragraph" w:styleId="41">
    <w:name w:val="Body Text First Indent 2"/>
    <w:basedOn w:val="19"/>
    <w:qFormat/>
    <w:uiPriority w:val="99"/>
    <w:pPr>
      <w:tabs>
        <w:tab w:val="left" w:pos="4900"/>
      </w:tabs>
      <w:ind w:firstLine="420" w:firstLineChars="200"/>
    </w:pPr>
  </w:style>
  <w:style w:type="table" w:styleId="43">
    <w:name w:val="Table Grid"/>
    <w:basedOn w:val="42"/>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5">
    <w:name w:val="Strong"/>
    <w:basedOn w:val="44"/>
    <w:qFormat/>
    <w:uiPriority w:val="0"/>
    <w:rPr>
      <w:b/>
      <w:bCs/>
    </w:rPr>
  </w:style>
  <w:style w:type="character" w:styleId="46">
    <w:name w:val="FollowedHyperlink"/>
    <w:basedOn w:val="44"/>
    <w:unhideWhenUsed/>
    <w:qFormat/>
    <w:uiPriority w:val="99"/>
    <w:rPr>
      <w:color w:val="800080" w:themeColor="followedHyperlink"/>
      <w:u w:val="single"/>
      <w14:textFill>
        <w14:solidFill>
          <w14:schemeClr w14:val="folHlink"/>
        </w14:solidFill>
      </w14:textFill>
    </w:rPr>
  </w:style>
  <w:style w:type="character" w:styleId="47">
    <w:name w:val="Emphasis"/>
    <w:basedOn w:val="44"/>
    <w:qFormat/>
    <w:uiPriority w:val="0"/>
    <w:rPr>
      <w:b/>
    </w:rPr>
  </w:style>
  <w:style w:type="character" w:styleId="48">
    <w:name w:val="HTML Definition"/>
    <w:basedOn w:val="44"/>
    <w:unhideWhenUsed/>
    <w:qFormat/>
    <w:uiPriority w:val="0"/>
  </w:style>
  <w:style w:type="character" w:styleId="49">
    <w:name w:val="HTML Typewriter"/>
    <w:basedOn w:val="44"/>
    <w:unhideWhenUsed/>
    <w:qFormat/>
    <w:uiPriority w:val="0"/>
    <w:rPr>
      <w:rFonts w:hint="default" w:ascii="monospace" w:hAnsi="monospace" w:eastAsia="monospace" w:cs="monospace"/>
      <w:sz w:val="20"/>
    </w:rPr>
  </w:style>
  <w:style w:type="character" w:styleId="50">
    <w:name w:val="HTML Acronym"/>
    <w:basedOn w:val="44"/>
    <w:unhideWhenUsed/>
    <w:qFormat/>
    <w:uiPriority w:val="0"/>
  </w:style>
  <w:style w:type="character" w:styleId="51">
    <w:name w:val="HTML Variable"/>
    <w:basedOn w:val="44"/>
    <w:unhideWhenUsed/>
    <w:qFormat/>
    <w:uiPriority w:val="0"/>
  </w:style>
  <w:style w:type="character" w:styleId="52">
    <w:name w:val="Hyperlink"/>
    <w:qFormat/>
    <w:uiPriority w:val="99"/>
    <w:rPr>
      <w:color w:val="0000FF"/>
      <w:u w:val="single"/>
    </w:rPr>
  </w:style>
  <w:style w:type="character" w:styleId="53">
    <w:name w:val="HTML Code"/>
    <w:basedOn w:val="44"/>
    <w:unhideWhenUsed/>
    <w:qFormat/>
    <w:uiPriority w:val="0"/>
    <w:rPr>
      <w:rFonts w:hint="default" w:ascii="monospace" w:hAnsi="monospace" w:eastAsia="monospace" w:cs="monospace"/>
      <w:sz w:val="20"/>
    </w:rPr>
  </w:style>
  <w:style w:type="character" w:styleId="54">
    <w:name w:val="annotation reference"/>
    <w:basedOn w:val="44"/>
    <w:qFormat/>
    <w:uiPriority w:val="0"/>
    <w:rPr>
      <w:sz w:val="21"/>
      <w:szCs w:val="21"/>
    </w:rPr>
  </w:style>
  <w:style w:type="character" w:styleId="55">
    <w:name w:val="HTML Cite"/>
    <w:basedOn w:val="44"/>
    <w:unhideWhenUsed/>
    <w:qFormat/>
    <w:uiPriority w:val="0"/>
  </w:style>
  <w:style w:type="character" w:styleId="56">
    <w:name w:val="HTML Keyboard"/>
    <w:basedOn w:val="44"/>
    <w:unhideWhenUsed/>
    <w:qFormat/>
    <w:uiPriority w:val="0"/>
    <w:rPr>
      <w:rFonts w:ascii="monospace" w:hAnsi="monospace" w:eastAsia="monospace" w:cs="monospace"/>
      <w:sz w:val="20"/>
    </w:rPr>
  </w:style>
  <w:style w:type="character" w:styleId="57">
    <w:name w:val="HTML Sample"/>
    <w:basedOn w:val="44"/>
    <w:unhideWhenUsed/>
    <w:qFormat/>
    <w:uiPriority w:val="0"/>
    <w:rPr>
      <w:rFonts w:hint="default" w:ascii="monospace" w:hAnsi="monospace" w:eastAsia="monospace" w:cs="monospace"/>
    </w:rPr>
  </w:style>
  <w:style w:type="paragraph" w:customStyle="1" w:styleId="58">
    <w:name w:val="table of authorities"/>
    <w:basedOn w:val="1"/>
    <w:next w:val="1"/>
    <w:qFormat/>
    <w:uiPriority w:val="0"/>
    <w:pPr>
      <w:ind w:left="420" w:leftChars="200"/>
    </w:pPr>
    <w:rPr>
      <w:rFonts w:ascii="Times New Roman" w:hAnsi="Times New Roman" w:eastAsia="宋体" w:cs="Times New Roman"/>
    </w:rPr>
  </w:style>
  <w:style w:type="paragraph" w:customStyle="1" w:styleId="59">
    <w:name w:val="样式 标题 3 + (中文) 黑体 小四 非加粗 段前: 7.8 磅 段后: 0 磅 行距: 固定值 20 磅_0"/>
    <w:basedOn w:val="60"/>
    <w:qFormat/>
    <w:uiPriority w:val="0"/>
    <w:pPr>
      <w:spacing w:before="0" w:after="0" w:line="400" w:lineRule="exact"/>
    </w:pPr>
    <w:rPr>
      <w:rFonts w:ascii="Times New Roman" w:hAnsi="Times New Roman" w:eastAsia="黑体" w:cs="宋体"/>
      <w:b w:val="0"/>
      <w:bCs w:val="0"/>
      <w:sz w:val="21"/>
      <w:szCs w:val="20"/>
    </w:rPr>
  </w:style>
  <w:style w:type="paragraph" w:customStyle="1" w:styleId="60">
    <w:name w:val="标题 3_0"/>
    <w:basedOn w:val="61"/>
    <w:next w:val="62"/>
    <w:qFormat/>
    <w:uiPriority w:val="0"/>
    <w:pPr>
      <w:keepNext/>
      <w:keepLines/>
      <w:spacing w:before="260" w:after="260" w:line="416" w:lineRule="auto"/>
      <w:outlineLvl w:val="2"/>
    </w:pPr>
    <w:rPr>
      <w:rFonts w:ascii="Calibri" w:hAnsi="Calibri" w:eastAsia="宋体"/>
      <w:b/>
      <w:bCs/>
      <w:sz w:val="32"/>
      <w:szCs w:val="32"/>
    </w:rPr>
  </w:style>
  <w:style w:type="paragraph" w:customStyle="1" w:styleId="61">
    <w:name w:val="正文_0"/>
    <w:next w:val="41"/>
    <w:qFormat/>
    <w:uiPriority w:val="0"/>
    <w:pPr>
      <w:widowControl w:val="0"/>
      <w:jc w:val="both"/>
    </w:pPr>
    <w:rPr>
      <w:rFonts w:ascii="Calibri" w:hAnsi="Calibri" w:eastAsia="宋体" w:cs="Times New Roman"/>
      <w:kern w:val="2"/>
      <w:sz w:val="21"/>
      <w:szCs w:val="22"/>
      <w:lang w:val="en-US" w:eastAsia="zh-CN" w:bidi="ar-SA"/>
    </w:rPr>
  </w:style>
  <w:style w:type="paragraph" w:customStyle="1" w:styleId="62">
    <w:name w:val="正文_1"/>
    <w:next w:val="41"/>
    <w:qFormat/>
    <w:uiPriority w:val="0"/>
    <w:pPr>
      <w:widowControl w:val="0"/>
      <w:jc w:val="both"/>
    </w:pPr>
    <w:rPr>
      <w:rFonts w:ascii="Calibri" w:hAnsi="Calibri" w:eastAsia="仿宋_GB2312" w:cs="Times New Roman"/>
      <w:kern w:val="2"/>
      <w:sz w:val="21"/>
      <w:szCs w:val="22"/>
      <w:lang w:val="en-US" w:eastAsia="zh-CN" w:bidi="ar-SA"/>
    </w:rPr>
  </w:style>
  <w:style w:type="paragraph" w:customStyle="1" w:styleId="63">
    <w:name w:val="style4"/>
    <w:basedOn w:val="64"/>
    <w:next w:val="66"/>
    <w:autoRedefine/>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64">
    <w:name w:val="正文1"/>
    <w:next w:val="65"/>
    <w:autoRedefine/>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65">
    <w:name w:val="正文文本1"/>
    <w:basedOn w:val="64"/>
    <w:next w:val="63"/>
    <w:autoRedefine/>
    <w:qFormat/>
    <w:uiPriority w:val="0"/>
    <w:pPr>
      <w:spacing w:after="120"/>
    </w:pPr>
    <w:rPr>
      <w:rFonts w:ascii="Times New Roman" w:hAnsi="Times New Roman" w:eastAsia="宋体" w:cs="Times New Roman"/>
      <w:kern w:val="0"/>
      <w:sz w:val="20"/>
    </w:rPr>
  </w:style>
  <w:style w:type="paragraph" w:customStyle="1" w:styleId="66">
    <w:name w:val="2"/>
    <w:next w:val="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67">
    <w:name w:val="一级条标题"/>
    <w:basedOn w:val="68"/>
    <w:next w:val="69"/>
    <w:qFormat/>
    <w:uiPriority w:val="0"/>
    <w:pPr>
      <w:spacing w:line="240" w:lineRule="auto"/>
      <w:ind w:left="420"/>
      <w:outlineLvl w:val="2"/>
    </w:pPr>
  </w:style>
  <w:style w:type="paragraph" w:customStyle="1" w:styleId="68">
    <w:name w:val="章标题"/>
    <w:next w:val="1"/>
    <w:qFormat/>
    <w:uiPriority w:val="0"/>
    <w:pPr>
      <w:spacing w:after="160" w:line="360" w:lineRule="auto"/>
      <w:jc w:val="both"/>
      <w:outlineLvl w:val="1"/>
    </w:pPr>
    <w:rPr>
      <w:rFonts w:ascii="黑体" w:hAnsi="Times New Roman" w:eastAsia="黑体" w:cs="Times New Roman"/>
      <w:sz w:val="21"/>
      <w:szCs w:val="22"/>
      <w:lang w:val="en-US" w:eastAsia="zh-CN" w:bidi="ar-SA"/>
    </w:rPr>
  </w:style>
  <w:style w:type="paragraph" w:customStyle="1" w:styleId="69">
    <w:name w:val="段"/>
    <w:next w:val="1"/>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70">
    <w:name w:val="标题 2 Char1"/>
    <w:basedOn w:val="1"/>
    <w:qFormat/>
    <w:uiPriority w:val="0"/>
  </w:style>
  <w:style w:type="paragraph" w:customStyle="1" w:styleId="71">
    <w:name w:val="TOC 标题1"/>
    <w:basedOn w:val="2"/>
    <w:next w:val="1"/>
    <w:unhideWhenUsed/>
    <w:qFormat/>
    <w:uiPriority w:val="39"/>
    <w:pPr>
      <w:widowControl/>
      <w:spacing w:before="480" w:after="0" w:line="276" w:lineRule="auto"/>
      <w:jc w:val="left"/>
      <w:outlineLvl w:val="9"/>
    </w:pPr>
    <w:rPr>
      <w:rFonts w:ascii="Calibri Light" w:hAnsi="Calibri Light"/>
      <w:color w:val="2E75B5"/>
      <w:kern w:val="0"/>
      <w:sz w:val="28"/>
      <w:szCs w:val="28"/>
    </w:rPr>
  </w:style>
  <w:style w:type="paragraph" w:customStyle="1" w:styleId="72">
    <w:name w:val="+正文"/>
    <w:basedOn w:val="1"/>
    <w:qFormat/>
    <w:uiPriority w:val="99"/>
    <w:pPr>
      <w:spacing w:line="360" w:lineRule="auto"/>
      <w:ind w:firstLine="200" w:firstLineChars="200"/>
    </w:pPr>
  </w:style>
  <w:style w:type="paragraph" w:customStyle="1" w:styleId="73">
    <w:name w:val="列出段落1"/>
    <w:basedOn w:val="1"/>
    <w:qFormat/>
    <w:uiPriority w:val="34"/>
    <w:pPr>
      <w:ind w:firstLine="420" w:firstLineChars="200"/>
    </w:pPr>
    <w:rPr>
      <w:rFonts w:ascii="Calibri" w:hAnsi="Calibri"/>
    </w:rPr>
  </w:style>
  <w:style w:type="paragraph" w:customStyle="1" w:styleId="74">
    <w:name w:val="正文缩进1"/>
    <w:qFormat/>
    <w:uiPriority w:val="0"/>
    <w:pPr>
      <w:widowControl w:val="0"/>
      <w:ind w:firstLine="420"/>
      <w:jc w:val="both"/>
    </w:pPr>
    <w:rPr>
      <w:rFonts w:ascii="Times New Roman" w:hAnsi="Times New Roman" w:eastAsia="宋体" w:cs="Times New Roman"/>
      <w:kern w:val="2"/>
      <w:sz w:val="21"/>
      <w:szCs w:val="24"/>
      <w:lang w:val="en-US" w:eastAsia="zh-CN" w:bidi="ar-SA"/>
    </w:rPr>
  </w:style>
  <w:style w:type="character" w:customStyle="1" w:styleId="75">
    <w:name w:val="标题 1 字符"/>
    <w:basedOn w:val="44"/>
    <w:link w:val="2"/>
    <w:qFormat/>
    <w:uiPriority w:val="0"/>
    <w:rPr>
      <w:b/>
      <w:bCs/>
      <w:kern w:val="44"/>
      <w:sz w:val="44"/>
      <w:szCs w:val="44"/>
    </w:rPr>
  </w:style>
  <w:style w:type="character" w:customStyle="1" w:styleId="76">
    <w:name w:val="标题 2 字符"/>
    <w:basedOn w:val="44"/>
    <w:link w:val="3"/>
    <w:qFormat/>
    <w:uiPriority w:val="0"/>
    <w:rPr>
      <w:rFonts w:ascii="Calibri Light" w:hAnsi="Calibri Light" w:eastAsia="宋体" w:cs="Times New Roman"/>
      <w:b/>
      <w:bCs/>
      <w:kern w:val="2"/>
      <w:sz w:val="32"/>
      <w:szCs w:val="32"/>
    </w:rPr>
  </w:style>
  <w:style w:type="character" w:customStyle="1" w:styleId="77">
    <w:name w:val="标题 3 字符"/>
    <w:basedOn w:val="44"/>
    <w:link w:val="4"/>
    <w:qFormat/>
    <w:uiPriority w:val="9"/>
    <w:rPr>
      <w:b/>
      <w:bCs/>
      <w:kern w:val="2"/>
      <w:sz w:val="32"/>
      <w:szCs w:val="32"/>
    </w:rPr>
  </w:style>
  <w:style w:type="character" w:customStyle="1" w:styleId="78">
    <w:name w:val="标题 4 字符"/>
    <w:basedOn w:val="44"/>
    <w:link w:val="5"/>
    <w:qFormat/>
    <w:uiPriority w:val="9"/>
    <w:rPr>
      <w:rFonts w:asciiTheme="majorHAnsi" w:hAnsiTheme="majorHAnsi" w:eastAsiaTheme="majorEastAsia" w:cstheme="majorBidi"/>
      <w:b/>
      <w:bCs/>
      <w:kern w:val="2"/>
      <w:sz w:val="28"/>
      <w:szCs w:val="28"/>
    </w:rPr>
  </w:style>
  <w:style w:type="character" w:customStyle="1" w:styleId="79">
    <w:name w:val="标题 5 字符"/>
    <w:basedOn w:val="44"/>
    <w:link w:val="6"/>
    <w:semiHidden/>
    <w:qFormat/>
    <w:uiPriority w:val="9"/>
    <w:rPr>
      <w:rFonts w:eastAsia="楷体"/>
      <w:b/>
      <w:bCs/>
      <w:sz w:val="24"/>
      <w:szCs w:val="28"/>
    </w:rPr>
  </w:style>
  <w:style w:type="character" w:customStyle="1" w:styleId="80">
    <w:name w:val="标题 6 字符"/>
    <w:basedOn w:val="44"/>
    <w:link w:val="7"/>
    <w:qFormat/>
    <w:uiPriority w:val="0"/>
    <w:rPr>
      <w:rFonts w:ascii="Cambria" w:hAnsi="Cambria" w:eastAsia="楷体"/>
      <w:b/>
      <w:bCs/>
      <w:kern w:val="2"/>
      <w:sz w:val="24"/>
      <w:szCs w:val="24"/>
    </w:rPr>
  </w:style>
  <w:style w:type="character" w:customStyle="1" w:styleId="81">
    <w:name w:val="标题 7 字符"/>
    <w:basedOn w:val="44"/>
    <w:link w:val="8"/>
    <w:qFormat/>
    <w:uiPriority w:val="0"/>
    <w:rPr>
      <w:rFonts w:eastAsia="黑体"/>
      <w:b/>
      <w:bCs/>
      <w:kern w:val="2"/>
      <w:sz w:val="24"/>
      <w:szCs w:val="24"/>
    </w:rPr>
  </w:style>
  <w:style w:type="character" w:customStyle="1" w:styleId="82">
    <w:name w:val="标题 8 字符"/>
    <w:basedOn w:val="44"/>
    <w:link w:val="9"/>
    <w:qFormat/>
    <w:uiPriority w:val="0"/>
    <w:rPr>
      <w:rFonts w:ascii="Arial" w:hAnsi="Arial" w:eastAsia="黑体"/>
      <w:b/>
      <w:kern w:val="2"/>
      <w:sz w:val="24"/>
      <w:szCs w:val="24"/>
    </w:rPr>
  </w:style>
  <w:style w:type="character" w:customStyle="1" w:styleId="83">
    <w:name w:val="标题 9 字符"/>
    <w:basedOn w:val="44"/>
    <w:link w:val="10"/>
    <w:qFormat/>
    <w:uiPriority w:val="0"/>
    <w:rPr>
      <w:rFonts w:ascii="Arial" w:hAnsi="Arial" w:eastAsia="黑体"/>
      <w:b/>
      <w:kern w:val="2"/>
      <w:sz w:val="24"/>
      <w:szCs w:val="21"/>
    </w:rPr>
  </w:style>
  <w:style w:type="character" w:customStyle="1" w:styleId="84">
    <w:name w:val="文档结构图 字符"/>
    <w:basedOn w:val="44"/>
    <w:link w:val="14"/>
    <w:qFormat/>
    <w:uiPriority w:val="0"/>
    <w:rPr>
      <w:rFonts w:ascii="宋体"/>
      <w:kern w:val="2"/>
      <w:sz w:val="18"/>
      <w:szCs w:val="18"/>
    </w:rPr>
  </w:style>
  <w:style w:type="character" w:customStyle="1" w:styleId="85">
    <w:name w:val="批注文字 字符"/>
    <w:basedOn w:val="44"/>
    <w:link w:val="16"/>
    <w:qFormat/>
    <w:uiPriority w:val="99"/>
    <w:rPr>
      <w:kern w:val="2"/>
      <w:sz w:val="21"/>
      <w:szCs w:val="22"/>
    </w:rPr>
  </w:style>
  <w:style w:type="character" w:customStyle="1" w:styleId="86">
    <w:name w:val="正文文本 字符"/>
    <w:basedOn w:val="44"/>
    <w:link w:val="18"/>
    <w:qFormat/>
    <w:uiPriority w:val="1"/>
    <w:rPr>
      <w:rFonts w:ascii="宋体" w:hAnsi="宋体" w:cs="宋体"/>
      <w:sz w:val="18"/>
      <w:szCs w:val="18"/>
      <w:lang w:val="zh-CN" w:bidi="zh-CN"/>
    </w:rPr>
  </w:style>
  <w:style w:type="character" w:customStyle="1" w:styleId="87">
    <w:name w:val="纯文本 字符"/>
    <w:basedOn w:val="44"/>
    <w:link w:val="23"/>
    <w:qFormat/>
    <w:uiPriority w:val="0"/>
    <w:rPr>
      <w:rFonts w:ascii="宋体" w:hAnsi="Courier New" w:cs="Courier New" w:eastAsiaTheme="minorEastAsia"/>
      <w:kern w:val="2"/>
      <w:sz w:val="21"/>
      <w:szCs w:val="21"/>
    </w:rPr>
  </w:style>
  <w:style w:type="character" w:customStyle="1" w:styleId="88">
    <w:name w:val="日期 字符"/>
    <w:basedOn w:val="44"/>
    <w:link w:val="25"/>
    <w:qFormat/>
    <w:uiPriority w:val="0"/>
    <w:rPr>
      <w:kern w:val="2"/>
      <w:sz w:val="21"/>
      <w:szCs w:val="22"/>
    </w:rPr>
  </w:style>
  <w:style w:type="character" w:customStyle="1" w:styleId="89">
    <w:name w:val="批注框文本 字符"/>
    <w:basedOn w:val="44"/>
    <w:link w:val="27"/>
    <w:qFormat/>
    <w:uiPriority w:val="99"/>
    <w:rPr>
      <w:kern w:val="2"/>
      <w:sz w:val="18"/>
      <w:szCs w:val="18"/>
    </w:rPr>
  </w:style>
  <w:style w:type="character" w:customStyle="1" w:styleId="90">
    <w:name w:val="页脚 字符"/>
    <w:basedOn w:val="44"/>
    <w:link w:val="28"/>
    <w:qFormat/>
    <w:uiPriority w:val="99"/>
    <w:rPr>
      <w:kern w:val="2"/>
      <w:sz w:val="18"/>
      <w:szCs w:val="18"/>
    </w:rPr>
  </w:style>
  <w:style w:type="character" w:customStyle="1" w:styleId="91">
    <w:name w:val="页眉 字符"/>
    <w:basedOn w:val="44"/>
    <w:link w:val="30"/>
    <w:qFormat/>
    <w:uiPriority w:val="99"/>
    <w:rPr>
      <w:kern w:val="2"/>
      <w:sz w:val="18"/>
      <w:szCs w:val="18"/>
    </w:rPr>
  </w:style>
  <w:style w:type="character" w:customStyle="1" w:styleId="92">
    <w:name w:val="HTML 预设格式 字符"/>
    <w:basedOn w:val="44"/>
    <w:link w:val="36"/>
    <w:qFormat/>
    <w:uiPriority w:val="99"/>
    <w:rPr>
      <w:rFonts w:ascii="宋体" w:hAnsi="宋体" w:cs="宋体"/>
      <w:sz w:val="24"/>
      <w:szCs w:val="24"/>
    </w:rPr>
  </w:style>
  <w:style w:type="character" w:customStyle="1" w:styleId="93">
    <w:name w:val="批注主题 字符"/>
    <w:basedOn w:val="85"/>
    <w:link w:val="39"/>
    <w:qFormat/>
    <w:uiPriority w:val="99"/>
    <w:rPr>
      <w:b/>
      <w:bCs/>
      <w:kern w:val="2"/>
      <w:sz w:val="21"/>
      <w:szCs w:val="22"/>
    </w:rPr>
  </w:style>
  <w:style w:type="character" w:customStyle="1" w:styleId="94">
    <w:name w:val="high-light-bg4"/>
    <w:basedOn w:val="44"/>
    <w:qFormat/>
    <w:uiPriority w:val="0"/>
  </w:style>
  <w:style w:type="paragraph" w:customStyle="1" w:styleId="95">
    <w:name w:val="列出段落2"/>
    <w:basedOn w:val="1"/>
    <w:qFormat/>
    <w:uiPriority w:val="34"/>
    <w:pPr>
      <w:ind w:firstLine="420" w:firstLineChars="200"/>
    </w:pPr>
  </w:style>
  <w:style w:type="paragraph" w:customStyle="1" w:styleId="96">
    <w:name w:val="正文 New New New New"/>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97">
    <w:name w:val="List Paragraph"/>
    <w:basedOn w:val="1"/>
    <w:link w:val="98"/>
    <w:qFormat/>
    <w:uiPriority w:val="34"/>
    <w:pPr>
      <w:ind w:firstLine="420" w:firstLineChars="200"/>
    </w:pPr>
    <w:rPr>
      <w:rFonts w:ascii="Calibri" w:hAnsi="Calibri"/>
    </w:rPr>
  </w:style>
  <w:style w:type="character" w:customStyle="1" w:styleId="98">
    <w:name w:val="列表段落 字符"/>
    <w:basedOn w:val="44"/>
    <w:link w:val="97"/>
    <w:qFormat/>
    <w:uiPriority w:val="0"/>
    <w:rPr>
      <w:rFonts w:ascii="Calibri" w:hAnsi="Calibri"/>
      <w:kern w:val="2"/>
      <w:sz w:val="21"/>
      <w:szCs w:val="22"/>
    </w:rPr>
  </w:style>
  <w:style w:type="character" w:customStyle="1" w:styleId="99">
    <w:name w:val="Table Text Char1"/>
    <w:link w:val="100"/>
    <w:qFormat/>
    <w:locked/>
    <w:uiPriority w:val="0"/>
    <w:rPr>
      <w:rFonts w:ascii="Arial" w:hAnsi="Arial" w:cs="Arial"/>
    </w:rPr>
  </w:style>
  <w:style w:type="paragraph" w:customStyle="1" w:styleId="100">
    <w:name w:val="Table Text"/>
    <w:basedOn w:val="1"/>
    <w:link w:val="99"/>
    <w:qFormat/>
    <w:uiPriority w:val="0"/>
    <w:pPr>
      <w:widowControl/>
      <w:snapToGrid w:val="0"/>
      <w:spacing w:before="80" w:after="80"/>
      <w:jc w:val="left"/>
    </w:pPr>
    <w:rPr>
      <w:rFonts w:ascii="Arial" w:hAnsi="Arial"/>
      <w:kern w:val="0"/>
      <w:sz w:val="20"/>
      <w:szCs w:val="20"/>
    </w:rPr>
  </w:style>
  <w:style w:type="paragraph" w:customStyle="1" w:styleId="101">
    <w:name w:val="Char"/>
    <w:basedOn w:val="1"/>
    <w:qFormat/>
    <w:uiPriority w:val="0"/>
    <w:pPr>
      <w:adjustRightInd w:val="0"/>
      <w:spacing w:line="360" w:lineRule="auto"/>
    </w:pPr>
    <w:rPr>
      <w:rFonts w:ascii="Calibri" w:hAnsi="Calibri"/>
      <w:kern w:val="0"/>
      <w:sz w:val="24"/>
    </w:rPr>
  </w:style>
  <w:style w:type="character" w:customStyle="1" w:styleId="102">
    <w:name w:val="mh-gray2"/>
    <w:basedOn w:val="44"/>
    <w:qFormat/>
    <w:uiPriority w:val="0"/>
  </w:style>
  <w:style w:type="paragraph" w:customStyle="1" w:styleId="103">
    <w:name w:val="表格文字"/>
    <w:basedOn w:val="1"/>
    <w:qFormat/>
    <w:uiPriority w:val="0"/>
    <w:pPr>
      <w:spacing w:before="120" w:after="120"/>
    </w:pPr>
    <w:rPr>
      <w:rFonts w:ascii="新宋体" w:hAnsi="宋体" w:eastAsia="新宋体" w:cstheme="minorBidi"/>
      <w:bCs/>
      <w:color w:val="000000"/>
      <w:sz w:val="18"/>
      <w:szCs w:val="18"/>
    </w:rPr>
  </w:style>
  <w:style w:type="character" w:customStyle="1" w:styleId="104">
    <w:name w:val="font31"/>
    <w:basedOn w:val="44"/>
    <w:qFormat/>
    <w:uiPriority w:val="0"/>
    <w:rPr>
      <w:rFonts w:hint="eastAsia" w:ascii="宋体" w:hAnsi="宋体" w:eastAsia="宋体" w:cs="宋体"/>
      <w:b/>
      <w:color w:val="000000"/>
      <w:sz w:val="20"/>
      <w:szCs w:val="20"/>
      <w:u w:val="none"/>
    </w:rPr>
  </w:style>
  <w:style w:type="character" w:customStyle="1" w:styleId="105">
    <w:name w:val="font21"/>
    <w:basedOn w:val="44"/>
    <w:qFormat/>
    <w:uiPriority w:val="0"/>
    <w:rPr>
      <w:rFonts w:hint="eastAsia" w:ascii="宋体" w:hAnsi="宋体" w:eastAsia="宋体" w:cs="宋体"/>
      <w:color w:val="000000"/>
      <w:sz w:val="20"/>
      <w:szCs w:val="20"/>
      <w:u w:val="none"/>
    </w:rPr>
  </w:style>
  <w:style w:type="character" w:customStyle="1" w:styleId="106">
    <w:name w:val="font11"/>
    <w:basedOn w:val="44"/>
    <w:qFormat/>
    <w:uiPriority w:val="0"/>
    <w:rPr>
      <w:rFonts w:hint="eastAsia" w:ascii="宋体" w:hAnsi="宋体" w:eastAsia="宋体" w:cs="宋体"/>
      <w:color w:val="000000"/>
      <w:sz w:val="20"/>
      <w:szCs w:val="20"/>
      <w:u w:val="none"/>
    </w:rPr>
  </w:style>
  <w:style w:type="character" w:customStyle="1" w:styleId="107">
    <w:name w:val="font61"/>
    <w:basedOn w:val="44"/>
    <w:qFormat/>
    <w:uiPriority w:val="0"/>
    <w:rPr>
      <w:rFonts w:hint="default" w:ascii="Times New Roman" w:hAnsi="Times New Roman" w:cs="Times New Roman"/>
      <w:b/>
      <w:color w:val="000000"/>
      <w:sz w:val="20"/>
      <w:szCs w:val="20"/>
      <w:u w:val="none"/>
    </w:rPr>
  </w:style>
  <w:style w:type="character" w:customStyle="1" w:styleId="108">
    <w:name w:val="font41"/>
    <w:basedOn w:val="44"/>
    <w:qFormat/>
    <w:uiPriority w:val="0"/>
    <w:rPr>
      <w:rFonts w:hint="eastAsia" w:ascii="宋体" w:hAnsi="宋体" w:eastAsia="宋体" w:cs="宋体"/>
      <w:b/>
      <w:color w:val="000000"/>
      <w:sz w:val="20"/>
      <w:szCs w:val="20"/>
      <w:u w:val="none"/>
    </w:rPr>
  </w:style>
  <w:style w:type="character" w:customStyle="1" w:styleId="109">
    <w:name w:val="font01"/>
    <w:basedOn w:val="44"/>
    <w:qFormat/>
    <w:uiPriority w:val="0"/>
    <w:rPr>
      <w:rFonts w:hint="default" w:ascii="Times New Roman" w:hAnsi="Times New Roman" w:cs="Times New Roman"/>
      <w:b/>
      <w:color w:val="000000"/>
      <w:sz w:val="20"/>
      <w:szCs w:val="20"/>
      <w:u w:val="none"/>
    </w:rPr>
  </w:style>
  <w:style w:type="character" w:customStyle="1" w:styleId="110">
    <w:name w:val="font51"/>
    <w:basedOn w:val="44"/>
    <w:qFormat/>
    <w:uiPriority w:val="0"/>
    <w:rPr>
      <w:rFonts w:hint="default" w:ascii="Times New Roman" w:hAnsi="Times New Roman" w:cs="Times New Roman"/>
      <w:color w:val="000000"/>
      <w:sz w:val="20"/>
      <w:szCs w:val="20"/>
      <w:u w:val="none"/>
    </w:rPr>
  </w:style>
  <w:style w:type="character" w:customStyle="1" w:styleId="111">
    <w:name w:val="书籍标题1"/>
    <w:basedOn w:val="44"/>
    <w:qFormat/>
    <w:uiPriority w:val="0"/>
    <w:rPr>
      <w:rFonts w:ascii="Times New Roman" w:hAnsi="Times New Roman" w:eastAsia="宋体"/>
      <w:b/>
      <w:bCs/>
      <w:smallCaps/>
      <w:spacing w:val="5"/>
    </w:rPr>
  </w:style>
  <w:style w:type="character" w:customStyle="1" w:styleId="112">
    <w:name w:val="font71"/>
    <w:basedOn w:val="44"/>
    <w:qFormat/>
    <w:uiPriority w:val="0"/>
    <w:rPr>
      <w:rFonts w:hint="eastAsia" w:ascii="宋体" w:hAnsi="宋体" w:eastAsia="宋体" w:cs="宋体"/>
      <w:color w:val="000000"/>
      <w:sz w:val="18"/>
      <w:szCs w:val="18"/>
      <w:u w:val="none"/>
    </w:rPr>
  </w:style>
  <w:style w:type="paragraph" w:customStyle="1" w:styleId="11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14">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15">
    <w:name w:val="title1"/>
    <w:basedOn w:val="1"/>
    <w:qFormat/>
    <w:uiPriority w:val="0"/>
    <w:pPr>
      <w:widowControl/>
      <w:spacing w:before="100" w:beforeAutospacing="1" w:after="100" w:afterAutospacing="1"/>
      <w:jc w:val="left"/>
    </w:pPr>
    <w:rPr>
      <w:rFonts w:ascii="宋体" w:hAnsi="宋体" w:cs="宋体"/>
      <w:kern w:val="0"/>
      <w:sz w:val="24"/>
      <w:szCs w:val="24"/>
    </w:rPr>
  </w:style>
  <w:style w:type="table" w:customStyle="1" w:styleId="116">
    <w:name w:val="Table Normal"/>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paragraph" w:customStyle="1" w:styleId="117">
    <w:name w:val="Table Paragraph"/>
    <w:basedOn w:val="1"/>
    <w:qFormat/>
    <w:uiPriority w:val="1"/>
    <w:pPr>
      <w:autoSpaceDE w:val="0"/>
      <w:autoSpaceDN w:val="0"/>
      <w:jc w:val="left"/>
    </w:pPr>
    <w:rPr>
      <w:rFonts w:ascii="宋体" w:hAnsi="宋体" w:cs="宋体"/>
      <w:kern w:val="0"/>
      <w:sz w:val="22"/>
      <w:lang w:val="zh-CN" w:bidi="zh-CN"/>
    </w:rPr>
  </w:style>
  <w:style w:type="paragraph" w:customStyle="1" w:styleId="118">
    <w:name w:val="样式 标题 5 + 五号 居中 段前: 1.5 磅 段后: 1.5 磅 行距: 多倍行距 1.57 字行"/>
    <w:basedOn w:val="6"/>
    <w:qFormat/>
    <w:uiPriority w:val="0"/>
    <w:pPr>
      <w:widowControl w:val="0"/>
      <w:tabs>
        <w:tab w:val="left" w:pos="360"/>
      </w:tabs>
      <w:spacing w:before="30" w:after="30" w:line="377" w:lineRule="auto"/>
      <w:jc w:val="center"/>
    </w:pPr>
    <w:rPr>
      <w:rFonts w:cs="宋体"/>
      <w:kern w:val="2"/>
      <w:sz w:val="21"/>
      <w:szCs w:val="20"/>
    </w:rPr>
  </w:style>
  <w:style w:type="character" w:customStyle="1" w:styleId="119">
    <w:name w:val="标题 字符"/>
    <w:link w:val="38"/>
    <w:qFormat/>
    <w:uiPriority w:val="0"/>
    <w:rPr>
      <w:rFonts w:ascii="Cambria" w:hAnsi="Cambria"/>
      <w:b/>
      <w:bCs/>
      <w:sz w:val="36"/>
      <w:szCs w:val="32"/>
    </w:rPr>
  </w:style>
  <w:style w:type="character" w:customStyle="1" w:styleId="120">
    <w:name w:val="标题 Char1"/>
    <w:basedOn w:val="44"/>
    <w:qFormat/>
    <w:uiPriority w:val="10"/>
    <w:rPr>
      <w:rFonts w:asciiTheme="majorHAnsi" w:hAnsiTheme="majorHAnsi" w:cstheme="majorBidi"/>
      <w:b/>
      <w:bCs/>
      <w:kern w:val="2"/>
      <w:sz w:val="32"/>
      <w:szCs w:val="32"/>
    </w:rPr>
  </w:style>
  <w:style w:type="paragraph" w:customStyle="1" w:styleId="121">
    <w:name w:val="正文 A"/>
    <w:qFormat/>
    <w:uiPriority w:val="0"/>
    <w:pPr>
      <w:widowControl w:val="0"/>
      <w:jc w:val="both"/>
    </w:pPr>
    <w:rPr>
      <w:rFonts w:ascii="Calibri" w:hAnsi="Calibri" w:eastAsia="Calibri" w:cs="Calibri"/>
      <w:color w:val="000000"/>
      <w:kern w:val="2"/>
      <w:sz w:val="21"/>
      <w:szCs w:val="21"/>
      <w:lang w:val="en-US" w:eastAsia="zh-CN" w:bidi="ar-SA"/>
    </w:rPr>
  </w:style>
  <w:style w:type="paragraph" w:customStyle="1" w:styleId="122">
    <w:name w:val="参考标准_w"/>
    <w:basedOn w:val="1"/>
    <w:next w:val="1"/>
    <w:qFormat/>
    <w:uiPriority w:val="0"/>
    <w:pPr>
      <w:numPr>
        <w:ilvl w:val="0"/>
        <w:numId w:val="1"/>
      </w:numPr>
      <w:adjustRightInd w:val="0"/>
      <w:snapToGrid w:val="0"/>
      <w:spacing w:line="360" w:lineRule="auto"/>
      <w:ind w:left="0" w:firstLine="200" w:firstLineChars="200"/>
    </w:pPr>
    <w:rPr>
      <w:sz w:val="24"/>
      <w:szCs w:val="21"/>
    </w:rPr>
  </w:style>
  <w:style w:type="character" w:customStyle="1" w:styleId="123">
    <w:name w:val="列出段落 字符"/>
    <w:qFormat/>
    <w:locked/>
    <w:uiPriority w:val="34"/>
    <w:rPr>
      <w:kern w:val="2"/>
      <w:sz w:val="24"/>
      <w:szCs w:val="24"/>
    </w:rPr>
  </w:style>
  <w:style w:type="paragraph" w:customStyle="1" w:styleId="12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5">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7">
    <w:name w:val="font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8">
    <w:name w:val="xl505"/>
    <w:basedOn w:val="1"/>
    <w:qFormat/>
    <w:uiPriority w:val="0"/>
    <w:pPr>
      <w:widowControl/>
      <w:spacing w:before="100" w:beforeAutospacing="1" w:after="100" w:afterAutospacing="1"/>
      <w:jc w:val="left"/>
    </w:pPr>
    <w:rPr>
      <w:rFonts w:ascii="楷体" w:hAnsi="楷体" w:eastAsia="楷体" w:cs="宋体"/>
      <w:kern w:val="0"/>
      <w:sz w:val="20"/>
      <w:szCs w:val="20"/>
    </w:rPr>
  </w:style>
  <w:style w:type="paragraph" w:customStyle="1" w:styleId="129">
    <w:name w:val="xl506"/>
    <w:basedOn w:val="1"/>
    <w:qFormat/>
    <w:uiPriority w:val="0"/>
    <w:pPr>
      <w:widowControl/>
      <w:spacing w:before="100" w:beforeAutospacing="1" w:after="100" w:afterAutospacing="1"/>
      <w:jc w:val="center"/>
    </w:pPr>
    <w:rPr>
      <w:rFonts w:ascii="楷体" w:hAnsi="楷体" w:eastAsia="楷体" w:cs="宋体"/>
      <w:kern w:val="0"/>
      <w:sz w:val="20"/>
      <w:szCs w:val="20"/>
    </w:rPr>
  </w:style>
  <w:style w:type="paragraph" w:customStyle="1" w:styleId="130">
    <w:name w:val="xl50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b/>
      <w:bCs/>
      <w:kern w:val="0"/>
      <w:sz w:val="20"/>
      <w:szCs w:val="20"/>
    </w:rPr>
  </w:style>
  <w:style w:type="paragraph" w:customStyle="1" w:styleId="131">
    <w:name w:val="xl5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b/>
      <w:bCs/>
      <w:kern w:val="0"/>
      <w:sz w:val="20"/>
      <w:szCs w:val="20"/>
    </w:rPr>
  </w:style>
  <w:style w:type="paragraph" w:customStyle="1" w:styleId="132">
    <w:name w:val="xl5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3">
    <w:name w:val="xl5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4">
    <w:name w:val="xl5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35">
    <w:name w:val="xl512"/>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6">
    <w:name w:val="xl5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37">
    <w:name w:val="xl514"/>
    <w:basedOn w:val="1"/>
    <w:qFormat/>
    <w:uiPriority w:val="0"/>
    <w:pPr>
      <w:widowControl/>
      <w:pBdr>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8">
    <w:name w:val="xl51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39">
    <w:name w:val="xl51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40">
    <w:name w:val="xl51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 w:hAnsi="楷体" w:eastAsia="楷体" w:cs="宋体"/>
      <w:kern w:val="0"/>
      <w:sz w:val="20"/>
      <w:szCs w:val="20"/>
    </w:rPr>
  </w:style>
  <w:style w:type="paragraph" w:customStyle="1" w:styleId="141">
    <w:name w:val="xl518"/>
    <w:basedOn w:val="1"/>
    <w:qFormat/>
    <w:uiPriority w:val="0"/>
    <w:pPr>
      <w:widowControl/>
      <w:pBdr>
        <w:left w:val="single" w:color="auto" w:sz="4" w:space="0"/>
        <w:right w:val="single" w:color="auto" w:sz="4" w:space="0"/>
      </w:pBdr>
      <w:spacing w:before="100" w:beforeAutospacing="1" w:after="100" w:afterAutospacing="1"/>
      <w:jc w:val="left"/>
    </w:pPr>
    <w:rPr>
      <w:rFonts w:ascii="楷体" w:hAnsi="楷体" w:eastAsia="楷体" w:cs="宋体"/>
      <w:kern w:val="0"/>
      <w:sz w:val="20"/>
      <w:szCs w:val="20"/>
    </w:rPr>
  </w:style>
  <w:style w:type="paragraph" w:customStyle="1" w:styleId="142">
    <w:name w:val="xl519"/>
    <w:basedOn w:val="1"/>
    <w:qFormat/>
    <w:uiPriority w:val="0"/>
    <w:pPr>
      <w:widowControl/>
      <w:spacing w:before="100" w:beforeAutospacing="1" w:after="100" w:afterAutospacing="1"/>
      <w:jc w:val="left"/>
    </w:pPr>
    <w:rPr>
      <w:rFonts w:ascii="楷体" w:hAnsi="楷体" w:eastAsia="楷体" w:cs="宋体"/>
      <w:kern w:val="0"/>
      <w:sz w:val="20"/>
      <w:szCs w:val="20"/>
    </w:rPr>
  </w:style>
  <w:style w:type="character" w:customStyle="1" w:styleId="143">
    <w:name w:val="fontstyle01"/>
    <w:basedOn w:val="44"/>
    <w:qFormat/>
    <w:uiPriority w:val="0"/>
    <w:rPr>
      <w:rFonts w:hint="eastAsia" w:ascii="宋体" w:hAnsi="宋体" w:eastAsia="宋体"/>
      <w:color w:val="000000"/>
      <w:sz w:val="28"/>
      <w:szCs w:val="28"/>
    </w:rPr>
  </w:style>
  <w:style w:type="character" w:customStyle="1" w:styleId="144">
    <w:name w:val="fontstyle21"/>
    <w:basedOn w:val="44"/>
    <w:qFormat/>
    <w:uiPriority w:val="0"/>
    <w:rPr>
      <w:rFonts w:hint="default" w:ascii="TimesNewRomanPSMT" w:hAnsi="TimesNewRomanPSMT"/>
      <w:color w:val="000000"/>
      <w:sz w:val="28"/>
      <w:szCs w:val="28"/>
    </w:rPr>
  </w:style>
  <w:style w:type="table" w:customStyle="1" w:styleId="145">
    <w:name w:val="网格表 5 深色 - 着色 11"/>
    <w:basedOn w:val="42"/>
    <w:qFormat/>
    <w:uiPriority w:val="50"/>
    <w:rPr>
      <w:kern w:val="2"/>
      <w:sz w:val="21"/>
      <w:szCs w:val="22"/>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BE5F1"/>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F81BD"/>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F81BD"/>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F81BD"/>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F81BD"/>
      </w:tcPr>
    </w:tblStylePr>
    <w:tblStylePr w:type="band1Vert">
      <w:tcPr>
        <w:shd w:val="clear" w:color="auto" w:fill="B8CCE4"/>
      </w:tcPr>
    </w:tblStylePr>
    <w:tblStylePr w:type="band1Horz">
      <w:tcPr>
        <w:shd w:val="clear" w:color="auto" w:fill="B8CCE4"/>
      </w:tcPr>
    </w:tblStylePr>
  </w:style>
  <w:style w:type="paragraph" w:customStyle="1" w:styleId="146">
    <w:name w:val="修订1"/>
    <w:hidden/>
    <w:semiHidden/>
    <w:qFormat/>
    <w:uiPriority w:val="99"/>
    <w:rPr>
      <w:rFonts w:ascii="Times New Roman" w:hAnsi="Times New Roman" w:eastAsia="楷体" w:cs="Times New Roman"/>
      <w:sz w:val="28"/>
      <w:lang w:val="en-US" w:eastAsia="zh-CN" w:bidi="ar-SA"/>
    </w:rPr>
  </w:style>
  <w:style w:type="paragraph" w:customStyle="1" w:styleId="147">
    <w:name w:val="列出段落"/>
    <w:basedOn w:val="1"/>
    <w:qFormat/>
    <w:uiPriority w:val="0"/>
    <w:pPr>
      <w:ind w:firstLine="420" w:firstLineChars="200"/>
    </w:pPr>
    <w:rPr>
      <w:szCs w:val="24"/>
    </w:rPr>
  </w:style>
  <w:style w:type="character" w:customStyle="1" w:styleId="148">
    <w:name w:val="mini-outputtext1"/>
    <w:basedOn w:val="44"/>
    <w:qFormat/>
    <w:uiPriority w:val="0"/>
  </w:style>
  <w:style w:type="paragraph" w:customStyle="1" w:styleId="149">
    <w:name w:val="List Paragraph_5bffc895-034f-4de1-b636-ffb285cb1a9a"/>
    <w:basedOn w:val="1"/>
    <w:qFormat/>
    <w:uiPriority w:val="34"/>
    <w:pPr>
      <w:ind w:firstLine="420" w:firstLineChars="200"/>
    </w:pPr>
  </w:style>
  <w:style w:type="paragraph" w:customStyle="1" w:styleId="150">
    <w:name w:val="正文格式"/>
    <w:basedOn w:val="1"/>
    <w:qFormat/>
    <w:uiPriority w:val="0"/>
    <w:pPr>
      <w:adjustRightInd w:val="0"/>
      <w:snapToGrid w:val="0"/>
      <w:spacing w:line="400" w:lineRule="atLeast"/>
      <w:ind w:firstLine="482"/>
      <w:textAlignment w:val="baseline"/>
    </w:pPr>
  </w:style>
  <w:style w:type="table" w:customStyle="1" w:styleId="151">
    <w:name w:val="TableGrid"/>
    <w:qFormat/>
    <w:uiPriority w:val="0"/>
    <w:rPr>
      <w:kern w:val="2"/>
      <w:sz w:val="21"/>
      <w:szCs w:val="22"/>
    </w:rPr>
    <w:tblPr>
      <w:tblCellMar>
        <w:top w:w="0" w:type="dxa"/>
        <w:left w:w="0" w:type="dxa"/>
        <w:bottom w:w="0" w:type="dxa"/>
        <w:right w:w="0" w:type="dxa"/>
      </w:tblCellMar>
    </w:tblPr>
  </w:style>
  <w:style w:type="paragraph" w:customStyle="1" w:styleId="152">
    <w:name w:val="Char1"/>
    <w:basedOn w:val="1"/>
    <w:qFormat/>
    <w:uiPriority w:val="0"/>
    <w:pPr>
      <w:tabs>
        <w:tab w:val="left" w:pos="360"/>
      </w:tabs>
      <w:ind w:left="360" w:hanging="360" w:hangingChars="200"/>
    </w:pPr>
    <w:rPr>
      <w:szCs w:val="24"/>
    </w:rPr>
  </w:style>
  <w:style w:type="paragraph" w:customStyle="1" w:styleId="153">
    <w:name w:val="HTML Preformatted"/>
    <w:basedOn w:val="1"/>
    <w:qFormat/>
    <w:uiPriority w:val="0"/>
    <w:rPr>
      <w:rFonts w:ascii="Courier New" w:hAnsi="Courier New"/>
      <w:sz w:val="20"/>
    </w:rPr>
  </w:style>
  <w:style w:type="paragraph" w:customStyle="1" w:styleId="154">
    <w:name w:val="正文 New"/>
    <w:qFormat/>
    <w:uiPriority w:val="99"/>
    <w:pPr>
      <w:widowControl w:val="0"/>
      <w:jc w:val="both"/>
    </w:pPr>
    <w:rPr>
      <w:rFonts w:ascii="Calibri" w:hAnsi="Calibri" w:eastAsia="宋体" w:cs="Times New Roman"/>
      <w:lang w:val="en-US" w:eastAsia="zh-CN" w:bidi="ar-SA"/>
    </w:rPr>
  </w:style>
  <w:style w:type="paragraph" w:customStyle="1" w:styleId="155">
    <w:name w:val="_正文"/>
    <w:basedOn w:val="1"/>
    <w:qFormat/>
    <w:uiPriority w:val="0"/>
    <w:pPr>
      <w:widowControl w:val="0"/>
      <w:adjustRightInd/>
      <w:snapToGrid/>
      <w:spacing w:before="20" w:after="0" w:line="360" w:lineRule="auto"/>
      <w:ind w:firstLine="200" w:firstLineChars="200"/>
      <w:jc w:val="both"/>
    </w:pPr>
    <w:rPr>
      <w:rFonts w:ascii="宋体" w:hAnsi="宋体"/>
      <w:sz w:val="20"/>
      <w:szCs w:val="20"/>
    </w:rPr>
  </w:style>
  <w:style w:type="character" w:customStyle="1" w:styleId="156">
    <w:name w:val="NormalCharacter"/>
    <w:link w:val="1"/>
    <w:qFormat/>
    <w:uiPriority w:val="0"/>
    <w:rPr>
      <w:rFonts w:ascii="Times New Roman" w:hAnsi="Times New Roman" w:eastAsia="宋体" w:cs="Times New Roman"/>
      <w:kern w:val="2"/>
      <w:sz w:val="21"/>
      <w:szCs w:val="22"/>
      <w:lang w:val="en-US" w:eastAsia="zh-CN" w:bidi="ar-SA"/>
    </w:rPr>
  </w:style>
  <w:style w:type="paragraph" w:customStyle="1" w:styleId="157">
    <w:name w:val="_Style 9"/>
    <w:basedOn w:val="19"/>
    <w:next w:val="41"/>
    <w:unhideWhenUsed/>
    <w:qFormat/>
    <w:uiPriority w:val="99"/>
    <w:pPr>
      <w:spacing w:after="0"/>
      <w:ind w:left="0" w:leftChars="0" w:firstLine="420" w:firstLineChars="200"/>
    </w:pPr>
    <w:rPr>
      <w:rFonts w:ascii="Arial" w:hAnsi="Arial" w:eastAsia="仿宋_GB2312"/>
      <w:sz w:val="28"/>
      <w:szCs w:val="20"/>
    </w:rPr>
  </w:style>
  <w:style w:type="character" w:customStyle="1" w:styleId="158">
    <w:name w:val="font101"/>
    <w:basedOn w:val="44"/>
    <w:qFormat/>
    <w:uiPriority w:val="0"/>
    <w:rPr>
      <w:rFonts w:hint="eastAsia" w:ascii="宋体" w:hAnsi="宋体" w:eastAsia="宋体" w:cs="宋体"/>
      <w:color w:val="333333"/>
      <w:sz w:val="21"/>
      <w:szCs w:val="21"/>
      <w:u w:val="none"/>
    </w:rPr>
  </w:style>
  <w:style w:type="character" w:customStyle="1" w:styleId="159">
    <w:name w:val="font111"/>
    <w:basedOn w:val="44"/>
    <w:qFormat/>
    <w:uiPriority w:val="0"/>
    <w:rPr>
      <w:rFonts w:hint="eastAsia" w:ascii="宋体" w:hAnsi="宋体" w:eastAsia="宋体" w:cs="宋体"/>
      <w:color w:val="000000"/>
      <w:sz w:val="20"/>
      <w:szCs w:val="20"/>
      <w:u w:val="single"/>
    </w:rPr>
  </w:style>
  <w:style w:type="character" w:customStyle="1" w:styleId="160">
    <w:name w:val="layui-layer-tabnow"/>
    <w:basedOn w:val="44"/>
    <w:qFormat/>
    <w:uiPriority w:val="0"/>
    <w:rPr>
      <w:bdr w:val="single" w:color="CCCCCC" w:sz="6" w:space="0"/>
      <w:shd w:val="clear" w:fill="FFFFFF"/>
    </w:rPr>
  </w:style>
  <w:style w:type="character" w:customStyle="1" w:styleId="161">
    <w:name w:val="first-child"/>
    <w:basedOn w:val="44"/>
    <w:qFormat/>
    <w:uiPriority w:val="0"/>
  </w:style>
  <w:style w:type="paragraph" w:customStyle="1" w:styleId="162">
    <w:name w:val="首行缩进"/>
    <w:basedOn w:val="1"/>
    <w:qFormat/>
    <w:uiPriority w:val="0"/>
    <w:pPr>
      <w:spacing w:line="360" w:lineRule="auto"/>
      <w:ind w:firstLine="480" w:firstLineChars="200"/>
    </w:pPr>
    <w:rPr>
      <w:rFonts w:ascii="Calibri" w:hAnsi="Calibri" w:cs="Times New Roman"/>
      <w:sz w:val="24"/>
      <w:lang w:val="zh-CN"/>
    </w:rPr>
  </w:style>
  <w:style w:type="paragraph" w:customStyle="1" w:styleId="163">
    <w:name w:val="无间隔1"/>
    <w:qFormat/>
    <w:uiPriority w:val="1"/>
    <w:pPr>
      <w:widowControl w:val="0"/>
      <w:spacing w:line="360" w:lineRule="auto"/>
      <w:jc w:val="both"/>
    </w:pPr>
    <w:rPr>
      <w:rFonts w:ascii="Times New Roman" w:hAnsi="Times New Roman" w:eastAsia="宋体" w:cs="Times New Roman"/>
      <w:sz w:val="24"/>
      <w:lang w:val="en-US" w:eastAsia="zh-CN" w:bidi="ar-SA"/>
    </w:rPr>
  </w:style>
  <w:style w:type="paragraph" w:customStyle="1" w:styleId="164">
    <w:name w:val="Heading2"/>
    <w:basedOn w:val="1"/>
    <w:next w:val="1"/>
    <w:qFormat/>
    <w:uiPriority w:val="0"/>
    <w:pPr>
      <w:keepNext/>
      <w:keepLines/>
      <w:numPr>
        <w:ilvl w:val="1"/>
        <w:numId w:val="2"/>
      </w:numPr>
      <w:spacing w:before="20" w:after="20" w:line="360" w:lineRule="auto"/>
      <w:jc w:val="left"/>
    </w:pPr>
    <w:rPr>
      <w:rFonts w:eastAsia="微软雅黑" w:cs="微软雅黑"/>
      <w:b/>
      <w:bCs/>
      <w:sz w:val="30"/>
      <w:szCs w:val="30"/>
    </w:rPr>
  </w:style>
  <w:style w:type="paragraph" w:customStyle="1" w:styleId="165">
    <w:name w:val="null3"/>
    <w:hidden/>
    <w:qFormat/>
    <w:uiPriority w:val="0"/>
    <w:rPr>
      <w:rFonts w:hint="eastAsia" w:asciiTheme="minorHAnsi" w:hAnsiTheme="minorHAnsi" w:eastAsiaTheme="minorEastAsia" w:cstheme="minorBidi"/>
      <w:lang w:val="en-US" w:eastAsia="zh-Hans"/>
    </w:rPr>
  </w:style>
  <w:style w:type="table" w:customStyle="1" w:styleId="166">
    <w:name w:val="网格型2"/>
    <w:basedOn w:val="42"/>
    <w:qFormat/>
    <w:uiPriority w:val="39"/>
    <w:rPr>
      <w:rFonts w:ascii="宋体" w:hAnsi="宋体" w:cs="Times New Roman (正文 CS 字体)"/>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7">
    <w:name w:val="方案正文"/>
    <w:basedOn w:val="1"/>
    <w:qFormat/>
    <w:uiPriority w:val="99"/>
    <w:pPr>
      <w:spacing w:before="120"/>
      <w:ind w:firstLine="425" w:firstLineChars="177"/>
    </w:pPr>
    <w:rPr>
      <w:rFonts w:ascii="华文细黑" w:hAnsi="华文细黑" w:eastAsia="华文细黑"/>
    </w:rPr>
  </w:style>
  <w:style w:type="paragraph" w:customStyle="1" w:styleId="168">
    <w:name w:val="列表段落1"/>
    <w:basedOn w:val="1"/>
    <w:qFormat/>
    <w:uiPriority w:val="34"/>
    <w:pPr>
      <w:ind w:firstLine="420" w:firstLineChars="200"/>
    </w:pPr>
    <w:rPr>
      <w:rFonts w:ascii="Calibri" w:hAnsi="Calibri"/>
    </w:rPr>
  </w:style>
  <w:style w:type="paragraph" w:customStyle="1" w:styleId="169">
    <w:name w:val="正文（缩进 2 字符）"/>
    <w:basedOn w:val="1"/>
    <w:qFormat/>
    <w:uiPriority w:val="0"/>
    <w:pPr>
      <w:widowControl/>
      <w:adjustRightInd/>
      <w:spacing w:line="400" w:lineRule="exact"/>
      <w:ind w:firstLine="200" w:firstLineChars="200"/>
      <w:textAlignment w:val="auto"/>
    </w:pPr>
    <w:rPr>
      <w:rFonts w:ascii="Calibri Light" w:hAnsi="Calibri Light" w:eastAsia="华文仿宋"/>
      <w:kern w:val="2"/>
      <w:sz w:val="28"/>
      <w:szCs w:val="28"/>
    </w:rPr>
  </w:style>
  <w:style w:type="paragraph" w:customStyle="1" w:styleId="170">
    <w:name w:val="表格"/>
    <w:basedOn w:val="1"/>
    <w:qFormat/>
    <w:uiPriority w:val="0"/>
    <w:pPr>
      <w:adjustRightInd w:val="0"/>
      <w:snapToGrid w:val="0"/>
      <w:spacing w:line="240" w:lineRule="auto"/>
      <w:ind w:firstLine="0" w:firstLineChars="0"/>
    </w:pPr>
    <w:rPr>
      <w:rFonts w:cs="Arial"/>
      <w:sz w:val="21"/>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2.png"/><Relationship Id="rId20" Type="http://schemas.openxmlformats.org/officeDocument/2006/relationships/image" Target="media/image1.png"/><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10.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69</Pages>
  <Words>12885</Words>
  <Characters>14101</Characters>
  <Lines>349</Lines>
  <Paragraphs>98</Paragraphs>
  <TotalTime>21</TotalTime>
  <ScaleCrop>false</ScaleCrop>
  <LinksUpToDate>false</LinksUpToDate>
  <CharactersWithSpaces>14300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2022-09-21T05:25:00Z</dcterms:created>
  <dc:creator>Administrator</dc:creator>
  <cp:lastModifiedBy>WPS_1528011989</cp:lastModifiedBy>
  <cp:lastPrinted>2025-11-21T10:10:00Z</cp:lastPrinted>
  <dcterms:modified xsi:type="dcterms:W3CDTF">2026-05-20T06:08:22Z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F2C240FE639741C8858BA73966D5D9B0_13</vt:lpwstr>
  </property>
  <property fmtid="{D5CDD505-2E9C-101B-9397-08002B2CF9AE}" pid="4" name="commondata">
    <vt:lpwstr>eyJoZGlkIjoiMDNmNjJmMTM4NGNmYWYwY2E1ZWU4NzlhMzFkMzM0ODgifQ==</vt:lpwstr>
  </property>
  <property fmtid="{D5CDD505-2E9C-101B-9397-08002B2CF9AE}" pid="5" name="KSOTemplateDocerSaveRecord">
    <vt:lpwstr>eyJoZGlkIjoiMDg1OGE3YTllNWRkNjgwY2M5ZDEwMmY0ODQzZDFhY2IiLCJ1c2VySWQiOiIzNzU3MTM1MjkifQ==</vt:lpwstr>
  </property>
</Properties>
</file>