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版本号：STHLH(F)-2026-01620260522003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陕西省第十八届运动会2026年火炬传递项目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STHLH(F)-2026-016</w:t>
      </w:r>
      <w:r>
        <w:br/>
      </w:r>
      <w:r>
        <w:br/>
      </w:r>
      <w:r>
        <w:br/>
      </w:r>
    </w:p>
    <w:p>
      <w:pPr>
        <w:pStyle w:val="null3"/>
        <w:jc w:val="center"/>
        <w:outlineLvl w:val="2"/>
      </w:pPr>
      <w:r>
        <w:rPr>
          <w:rFonts w:ascii="仿宋_GB2312" w:hAnsi="仿宋_GB2312" w:cs="仿宋_GB2312" w:eastAsia="仿宋_GB2312"/>
          <w:sz w:val="28"/>
          <w:b/>
        </w:rPr>
        <w:t>陕西省第十八届运动会筹委会办公室</w:t>
      </w:r>
    </w:p>
    <w:p>
      <w:pPr>
        <w:pStyle w:val="null3"/>
        <w:jc w:val="center"/>
        <w:outlineLvl w:val="2"/>
      </w:pPr>
      <w:r>
        <w:rPr>
          <w:rFonts w:ascii="仿宋_GB2312" w:hAnsi="仿宋_GB2312" w:cs="仿宋_GB2312" w:eastAsia="仿宋_GB2312"/>
          <w:sz w:val="28"/>
          <w:b/>
        </w:rPr>
        <w:t>陕西泰和力华工程管理咨询有限公司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陕西泰和力华工程管理咨询有限公司</w:t>
      </w:r>
      <w:r>
        <w:rPr>
          <w:rFonts w:ascii="仿宋_GB2312" w:hAnsi="仿宋_GB2312" w:cs="仿宋_GB2312" w:eastAsia="仿宋_GB2312"/>
        </w:rPr>
        <w:t>（以下简称“代理机构”）受</w:t>
      </w:r>
      <w:r>
        <w:rPr>
          <w:rFonts w:ascii="仿宋_GB2312" w:hAnsi="仿宋_GB2312" w:cs="仿宋_GB2312" w:eastAsia="仿宋_GB2312"/>
        </w:rPr>
        <w:t>陕西省第十八届运动会筹委会办公室</w:t>
      </w:r>
      <w:r>
        <w:rPr>
          <w:rFonts w:ascii="仿宋_GB2312" w:hAnsi="仿宋_GB2312" w:cs="仿宋_GB2312" w:eastAsia="仿宋_GB2312"/>
        </w:rPr>
        <w:t>委托，拟对</w:t>
      </w:r>
      <w:r>
        <w:rPr>
          <w:rFonts w:ascii="仿宋_GB2312" w:hAnsi="仿宋_GB2312" w:cs="仿宋_GB2312" w:eastAsia="仿宋_GB2312"/>
        </w:rPr>
        <w:t>陕西省第十八届运动会2026年火炬传递项目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STHLH(F)-2026-016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陕西省第十八届运动会2026年火炬传递项目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本次采购为陕西省第十八届运动会2026年火炬传递项目，采购内容包含：火炬传递设备、采火仪式、火炬传递服务团队等内容。 本项目采购人为：陕西省第十八届运动会渭南市筹委会办公室</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采购包1（陕西省第十八届运动会2026年火炬传递项目）：属于专门面向中小企业采购。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1、营业执照等证明文件：供应商须具有独立承担民事责任能力的法人、其他组织或自然人，并出具合法有效的营业执照或事业单位法人证书等国家规定的相关证明，自然人参与的提供其身份证明；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要求：提供2024年或2025年年度经审计的财务报告（成立时间至提交投标文件截止时间不足一年的可提供成立后任意时段的资产负债表），或开标前三个月内基本存款账户开户银行出具的资信证明及基本存款账户开户许可证（或基本账户信息表）</w:t>
      </w:r>
    </w:p>
    <w:p>
      <w:pPr>
        <w:pStyle w:val="null3"/>
      </w:pPr>
      <w:r>
        <w:rPr>
          <w:rFonts w:ascii="仿宋_GB2312" w:hAnsi="仿宋_GB2312" w:cs="仿宋_GB2312" w:eastAsia="仿宋_GB2312"/>
        </w:rPr>
        <w:t>3、具有履行合同所必需的设备和专业技术能力：提供具有履行本合同所必需的设备和专业技术能力的说明或承诺（格式自拟）。</w:t>
      </w:r>
    </w:p>
    <w:p>
      <w:pPr>
        <w:pStyle w:val="null3"/>
      </w:pPr>
      <w:r>
        <w:rPr>
          <w:rFonts w:ascii="仿宋_GB2312" w:hAnsi="仿宋_GB2312" w:cs="仿宋_GB2312" w:eastAsia="仿宋_GB2312"/>
        </w:rPr>
        <w:t>4、税收缴纳证明：提供投标文件提交截止时间前6个月内已缴纳的至少一个月的纳税证明或完税证明，依法免税的单位应提供相关证明材料</w:t>
      </w:r>
    </w:p>
    <w:p>
      <w:pPr>
        <w:pStyle w:val="null3"/>
      </w:pPr>
      <w:r>
        <w:rPr>
          <w:rFonts w:ascii="仿宋_GB2312" w:hAnsi="仿宋_GB2312" w:cs="仿宋_GB2312" w:eastAsia="仿宋_GB2312"/>
        </w:rPr>
        <w:t>5、社会保障资金缴纳证明：提供投标文件提交截止时间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6、参加政府采购活动前3年内，在经营活动中没有重大违法记录：提供参加政府采购活动前三年内在经营活动中没有重大违法记录的书面声明（格式自拟）。</w:t>
      </w:r>
    </w:p>
    <w:p>
      <w:pPr>
        <w:pStyle w:val="null3"/>
      </w:pPr>
      <w:r>
        <w:rPr>
          <w:rFonts w:ascii="仿宋_GB2312" w:hAnsi="仿宋_GB2312" w:cs="仿宋_GB2312" w:eastAsia="仿宋_GB2312"/>
        </w:rPr>
        <w:t>7、法定代表人身份证明书/法定代表人授权书：法定代表人参加投标的，须提供本人身份证复印件；法定代表人授权他人参加投标的，须提供法定代表人授权书及授权代表身份证</w:t>
      </w:r>
    </w:p>
    <w:p>
      <w:pPr>
        <w:pStyle w:val="null3"/>
      </w:pPr>
      <w:r>
        <w:rPr>
          <w:rFonts w:ascii="仿宋_GB2312" w:hAnsi="仿宋_GB2312" w:cs="仿宋_GB2312" w:eastAsia="仿宋_GB2312"/>
        </w:rPr>
        <w:t>8、信用信息：不得被“信用中国”网站中列入“失信被执行人或重大税收违法失信主体”的供应商；不得为中国政府采购网“政府采购严重违法失信行为记录名单”中的供应商；</w:t>
      </w:r>
    </w:p>
    <w:p>
      <w:pPr>
        <w:pStyle w:val="null3"/>
      </w:pPr>
      <w:r>
        <w:rPr>
          <w:rFonts w:ascii="仿宋_GB2312" w:hAnsi="仿宋_GB2312" w:cs="仿宋_GB2312" w:eastAsia="仿宋_GB2312"/>
        </w:rPr>
        <w:t>9、联合体投标：本项目不接受联合体投标</w:t>
      </w:r>
    </w:p>
    <w:p>
      <w:pPr>
        <w:pStyle w:val="null3"/>
      </w:pPr>
      <w:r>
        <w:rPr>
          <w:rFonts w:ascii="仿宋_GB2312" w:hAnsi="仿宋_GB2312" w:cs="仿宋_GB2312" w:eastAsia="仿宋_GB2312"/>
        </w:rPr>
        <w:t>10、控股、管理关系：单位负责人为同一人或者存在直接控股、管理关系的不同供应商，不得参加同一合同下的政府采购活动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陕西省第十八届运动会筹委会办公室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渭南市渭清路体育中心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秦竹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15319169125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陕西泰和力华工程管理咨询有限公司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陕西省咸阳市秦都区陕西省咸阳市秦都区秦皇南路大秦御港城10号楼18层06号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惠贞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029-38016888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采购包1：3,990,000.00元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开户名称：陕西泰和力华工程管理咨询有限公司</w:t>
            </w:r>
          </w:p>
          <w:p>
            <w:pPr>
              <w:pStyle w:val="null3"/>
            </w:pPr>
            <w:r>
              <w:rPr>
                <w:rFonts w:ascii="仿宋_GB2312" w:hAnsi="仿宋_GB2312" w:cs="仿宋_GB2312" w:eastAsia="仿宋_GB2312"/>
              </w:rPr>
              <w:t>开户银行：中国银行咸阳秦皇中路支行（行号：104795000117）</w:t>
            </w:r>
          </w:p>
          <w:p>
            <w:pPr>
              <w:pStyle w:val="null3"/>
            </w:pPr>
            <w:r>
              <w:rPr>
                <w:rFonts w:ascii="仿宋_GB2312" w:hAnsi="仿宋_GB2312" w:cs="仿宋_GB2312" w:eastAsia="仿宋_GB2312"/>
              </w:rPr>
              <w:t>银行账号：103256172875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招标代理服务收费管理暂行办法》（国家发改委计价格〔2002〕1980号）以及国家发改价格〔2011〕534号文件规定计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陕西省第十八届运动会筹委会办公室</w:t>
      </w:r>
      <w:r>
        <w:rPr>
          <w:rFonts w:ascii="仿宋_GB2312" w:hAnsi="仿宋_GB2312" w:cs="仿宋_GB2312" w:eastAsia="仿宋_GB2312"/>
        </w:rPr>
        <w:t>和</w:t>
      </w:r>
      <w:r>
        <w:rPr>
          <w:rFonts w:ascii="仿宋_GB2312" w:hAnsi="仿宋_GB2312" w:cs="仿宋_GB2312" w:eastAsia="仿宋_GB2312"/>
        </w:rPr>
        <w:t>陕西泰和力华工程管理咨询有限公司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陕西省第十八届运动会筹委会办公室</w:t>
      </w:r>
      <w:r>
        <w:rPr>
          <w:rFonts w:ascii="仿宋_GB2312" w:hAnsi="仿宋_GB2312" w:cs="仿宋_GB2312" w:eastAsia="仿宋_GB2312"/>
        </w:rPr>
        <w:t>负责解释。除上述招标文件内容，其他内容由</w:t>
      </w:r>
      <w:r>
        <w:rPr>
          <w:rFonts w:ascii="仿宋_GB2312" w:hAnsi="仿宋_GB2312" w:cs="仿宋_GB2312" w:eastAsia="仿宋_GB2312"/>
        </w:rPr>
        <w:t>陕西泰和力华工程管理咨询有限公司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陕西省第十八届运动会筹委会办公室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陕西泰和力华工程管理咨询有限公司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按照规定时间，完成项目要求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陕西泰和力华工程管理咨询有限公司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陕西泰和力华工程管理咨询有限公司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陕西泰和力华工程管理咨询有限公司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联系人：惠贞</w:t>
      </w:r>
    </w:p>
    <w:p>
      <w:pPr>
        <w:pStyle w:val="null3"/>
      </w:pPr>
      <w:r>
        <w:rPr>
          <w:rFonts w:ascii="仿宋_GB2312" w:hAnsi="仿宋_GB2312" w:cs="仿宋_GB2312" w:eastAsia="仿宋_GB2312"/>
        </w:rPr>
        <w:t>联系电话：029-38016888</w:t>
      </w:r>
    </w:p>
    <w:p>
      <w:pPr>
        <w:pStyle w:val="null3"/>
      </w:pPr>
      <w:r>
        <w:rPr>
          <w:rFonts w:ascii="仿宋_GB2312" w:hAnsi="仿宋_GB2312" w:cs="仿宋_GB2312" w:eastAsia="仿宋_GB2312"/>
        </w:rPr>
        <w:t>地址：咸阳市秦都区秦皇南路大秦御港城10号楼18层1806室</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本次采购为陕西省第十八届运动会2026年火炬传递项目，采购内容包含：火炬传递设备、采火仪式、火炬传递服务团队等内容。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3,990,000.00</w:t>
      </w:r>
    </w:p>
    <w:p>
      <w:pPr>
        <w:pStyle w:val="null3"/>
      </w:pPr>
      <w:r>
        <w:rPr>
          <w:rFonts w:ascii="仿宋_GB2312" w:hAnsi="仿宋_GB2312" w:cs="仿宋_GB2312" w:eastAsia="仿宋_GB2312"/>
        </w:rPr>
        <w:t>采购包最高限价（元）: 3,990,000.00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陕西省第十八届运动会2026年火炬传递项目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3,990,000.00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标的名称：陕西省第十八届运动会2026年火炬传递项目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（一）、服务期限：自合同签订之日起至项目结束后30日历天</w:t>
            </w:r>
          </w:p>
          <w:p>
            <w:pPr>
              <w:pStyle w:val="null3"/>
            </w:pPr>
            <w:r>
              <w:rPr>
                <w:rFonts w:ascii="仿宋_GB2312" w:hAnsi="仿宋_GB2312" w:cs="仿宋_GB2312" w:eastAsia="仿宋_GB2312"/>
                <w:sz w:val="20"/>
              </w:rPr>
              <w:t>（二）、质量标准：执行的国家相关标准、行业标准、地方标准或者其他标准、规范</w:t>
            </w:r>
          </w:p>
          <w:p>
            <w:pPr>
              <w:pStyle w:val="null3"/>
            </w:pPr>
            <w:r>
              <w:rPr>
                <w:rFonts w:ascii="仿宋_GB2312" w:hAnsi="仿宋_GB2312" w:cs="仿宋_GB2312" w:eastAsia="仿宋_GB2312"/>
                <w:sz w:val="20"/>
              </w:rPr>
              <w:t>（三）、</w:t>
            </w:r>
            <w:r>
              <w:rPr>
                <w:rFonts w:ascii="仿宋_GB2312" w:hAnsi="仿宋_GB2312" w:cs="仿宋_GB2312" w:eastAsia="仿宋_GB2312"/>
                <w:sz w:val="20"/>
              </w:rPr>
              <w:t>服务内容</w:t>
            </w:r>
            <w:r>
              <w:rPr>
                <w:rFonts w:ascii="仿宋_GB2312" w:hAnsi="仿宋_GB2312" w:cs="仿宋_GB2312" w:eastAsia="仿宋_GB2312"/>
                <w:sz w:val="20"/>
              </w:rPr>
              <w:t>：</w:t>
            </w:r>
          </w:p>
          <w:p>
            <w:pPr>
              <w:pStyle w:val="null3"/>
            </w:pPr>
            <w:r>
              <w:rPr>
                <w:rFonts w:ascii="仿宋_GB2312" w:hAnsi="仿宋_GB2312" w:cs="仿宋_GB2312" w:eastAsia="仿宋_GB2312"/>
                <w:sz w:val="20"/>
              </w:rPr>
              <w:t>一）火炬传递设备</w:t>
            </w:r>
          </w:p>
          <w:p>
            <w:pPr>
              <w:pStyle w:val="null3"/>
            </w:pPr>
            <w:r>
              <w:rPr>
                <w:rFonts w:ascii="仿宋_GB2312" w:hAnsi="仿宋_GB2312" w:cs="仿宋_GB2312" w:eastAsia="仿宋_GB2312"/>
                <w:sz w:val="20"/>
              </w:rPr>
              <w:t>1.火炬：制作440个，含传递用、纪念用、收藏用、备用，符合赛事视觉形象，防风防雨、安全可靠。</w:t>
            </w:r>
          </w:p>
          <w:p>
            <w:pPr>
              <w:pStyle w:val="null3"/>
            </w:pPr>
            <w:r>
              <w:rPr>
                <w:rFonts w:ascii="仿宋_GB2312" w:hAnsi="仿宋_GB2312" w:cs="仿宋_GB2312" w:eastAsia="仿宋_GB2312"/>
                <w:sz w:val="20"/>
              </w:rPr>
              <w:t>2.火种灯：制作6个（3个使用、3个备用），密封保火、便于转运存放。</w:t>
            </w:r>
          </w:p>
          <w:p>
            <w:pPr>
              <w:pStyle w:val="null3"/>
            </w:pPr>
            <w:r>
              <w:rPr>
                <w:rFonts w:ascii="仿宋_GB2312" w:hAnsi="仿宋_GB2312" w:cs="仿宋_GB2312" w:eastAsia="仿宋_GB2312"/>
                <w:sz w:val="20"/>
              </w:rPr>
              <w:t>3.点火棒：制作6个，与火种灯配套使用。</w:t>
            </w:r>
          </w:p>
          <w:p>
            <w:pPr>
              <w:pStyle w:val="null3"/>
            </w:pPr>
            <w:r>
              <w:rPr>
                <w:rFonts w:ascii="仿宋_GB2312" w:hAnsi="仿宋_GB2312" w:cs="仿宋_GB2312" w:eastAsia="仿宋_GB2312"/>
                <w:sz w:val="20"/>
              </w:rPr>
              <w:t>4.火种盆：制作7个（采火仪式1个，传递使用6个），可重复使用。</w:t>
            </w:r>
          </w:p>
          <w:p>
            <w:pPr>
              <w:pStyle w:val="null3"/>
            </w:pPr>
            <w:r>
              <w:rPr>
                <w:rFonts w:ascii="仿宋_GB2312" w:hAnsi="仿宋_GB2312" w:cs="仿宋_GB2312" w:eastAsia="仿宋_GB2312"/>
                <w:sz w:val="20"/>
              </w:rPr>
              <w:t>5.采集台：制作1个，适配凹面镜采火，符合仪式庄重性要求。</w:t>
            </w:r>
          </w:p>
          <w:p>
            <w:pPr>
              <w:pStyle w:val="null3"/>
            </w:pPr>
            <w:r>
              <w:rPr>
                <w:rFonts w:ascii="仿宋_GB2312" w:hAnsi="仿宋_GB2312" w:cs="仿宋_GB2312" w:eastAsia="仿宋_GB2312"/>
                <w:sz w:val="20"/>
              </w:rPr>
              <w:t>6.采火棒：制作2个（1用1备）。</w:t>
            </w:r>
          </w:p>
          <w:p>
            <w:pPr>
              <w:pStyle w:val="null3"/>
            </w:pPr>
            <w:r>
              <w:rPr>
                <w:rFonts w:ascii="仿宋_GB2312" w:hAnsi="仿宋_GB2312" w:cs="仿宋_GB2312" w:eastAsia="仿宋_GB2312"/>
                <w:sz w:val="20"/>
              </w:rPr>
              <w:t>7.提供包装、运输、调试、维护、回收全周期服务。</w:t>
            </w:r>
          </w:p>
          <w:p>
            <w:pPr>
              <w:pStyle w:val="null3"/>
            </w:pPr>
            <w:r>
              <w:rPr>
                <w:rFonts w:ascii="仿宋_GB2312" w:hAnsi="仿宋_GB2312" w:cs="仿宋_GB2312" w:eastAsia="仿宋_GB2312"/>
                <w:sz w:val="20"/>
              </w:rPr>
              <w:t>二）采火仪式</w:t>
            </w:r>
          </w:p>
          <w:p>
            <w:pPr>
              <w:pStyle w:val="null3"/>
            </w:pPr>
            <w:r>
              <w:rPr>
                <w:rFonts w:ascii="仿宋_GB2312" w:hAnsi="仿宋_GB2312" w:cs="仿宋_GB2312" w:eastAsia="仿宋_GB2312"/>
                <w:sz w:val="20"/>
              </w:rPr>
              <w:t>圣火采集仪式服务，涵盖仪式组织、舞台舞美、音响灯光、氛围布置、安保隔离、应急设施、人员团队、食宿交通、物资保障等全部工作，确保仪式顺利完成。</w:t>
            </w:r>
          </w:p>
          <w:p>
            <w:pPr>
              <w:pStyle w:val="null3"/>
            </w:pPr>
            <w:r>
              <w:rPr>
                <w:rFonts w:ascii="仿宋_GB2312" w:hAnsi="仿宋_GB2312" w:cs="仿宋_GB2312" w:eastAsia="仿宋_GB2312"/>
                <w:sz w:val="20"/>
              </w:rPr>
              <w:t>三）火炬传递服务团队</w:t>
            </w:r>
          </w:p>
          <w:p>
            <w:pPr>
              <w:pStyle w:val="null3"/>
            </w:pPr>
            <w:r>
              <w:rPr>
                <w:rFonts w:ascii="仿宋_GB2312" w:hAnsi="仿宋_GB2312" w:cs="仿宋_GB2312" w:eastAsia="仿宋_GB2312"/>
                <w:sz w:val="20"/>
              </w:rPr>
              <w:t>服务团队包括统筹管理人员、执行工作小组、培训专家等及相对应的食宿等。</w:t>
            </w:r>
          </w:p>
          <w:p>
            <w:pPr>
              <w:pStyle w:val="null3"/>
            </w:pPr>
            <w:r>
              <w:rPr>
                <w:rFonts w:ascii="仿宋_GB2312" w:hAnsi="仿宋_GB2312" w:cs="仿宋_GB2312" w:eastAsia="仿宋_GB2312"/>
                <w:sz w:val="20"/>
              </w:rPr>
              <w:t>（四）服务清单</w:t>
            </w:r>
          </w:p>
          <w:tbl>
            <w:tblPr>
              <w:tblBorders>
                <w:top w:val="single"/>
                <w:left w:val="single"/>
                <w:bottom w:val="single"/>
                <w:right w:val="single"/>
                <w:insideH w:val="single"/>
                <w:insideV w:val="single"/>
              </w:tblBorders>
            </w:tblPr>
            <w:tblGrid>
              <w:gridCol w:w="181"/>
              <w:gridCol w:w="103"/>
              <w:gridCol w:w="173"/>
              <w:gridCol w:w="527"/>
              <w:gridCol w:w="675"/>
              <w:gridCol w:w="164"/>
              <w:gridCol w:w="164"/>
              <w:gridCol w:w="549"/>
            </w:tblGrid>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序号</w:t>
                  </w:r>
                </w:p>
              </w:tc>
              <w:tc>
                <w:tcPr>
                  <w:tcW w:type="dxa" w:w="27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类别</w:t>
                  </w:r>
                </w:p>
              </w:tc>
              <w:tc>
                <w:tcPr>
                  <w:tcW w:type="dxa" w:w="5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服务内容</w:t>
                  </w:r>
                </w:p>
              </w:tc>
              <w:tc>
                <w:tcPr>
                  <w:tcW w:type="dxa" w:w="6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规格型号</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数量</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单位</w:t>
                  </w:r>
                </w:p>
              </w:tc>
              <w:tc>
                <w:tcPr>
                  <w:tcW w:type="dxa" w:w="5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备注</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76"/>
                  <w:gridSpan w:val="2"/>
                  <w:vMerge w:val="restart"/>
                  <w:tcBorders>
                    <w:top w:val="single" w:color="000000" w:sz="4"/>
                    <w:left w:val="singl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火炬传递设备</w:t>
                  </w:r>
                </w:p>
              </w:tc>
              <w:tc>
                <w:tcPr>
                  <w:tcW w:type="dxa" w:w="5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火炬制作及包装</w:t>
                  </w:r>
                </w:p>
              </w:tc>
              <w:tc>
                <w:tcPr>
                  <w:tcW w:type="dxa" w:w="6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外壳采用轻质高强度铝合金，内部燃料罐为铝合金耐压气罐，采用耐高温环保烤漆，精密蚀刻 / UV 印刷 / 浮雕烫金等工艺。</w:t>
                  </w:r>
                </w:p>
                <w:p>
                  <w:pPr>
                    <w:pStyle w:val="null3"/>
                    <w:jc w:val="center"/>
                  </w:pPr>
                  <w:r>
                    <w:rPr>
                      <w:rFonts w:ascii="仿宋_GB2312" w:hAnsi="仿宋_GB2312" w:cs="仿宋_GB2312" w:eastAsia="仿宋_GB2312"/>
                      <w:sz w:val="19"/>
                      <w:color w:val="000000"/>
                    </w:rPr>
                    <w:t>高度：68-71厘米，</w:t>
                  </w:r>
                </w:p>
                <w:p>
                  <w:pPr>
                    <w:pStyle w:val="null3"/>
                    <w:jc w:val="center"/>
                  </w:pPr>
                  <w:r>
                    <w:rPr>
                      <w:rFonts w:ascii="仿宋_GB2312" w:hAnsi="仿宋_GB2312" w:cs="仿宋_GB2312" w:eastAsia="仿宋_GB2312"/>
                      <w:sz w:val="19"/>
                      <w:color w:val="000000"/>
                    </w:rPr>
                    <w:t>重量：≤1.5kg</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440</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5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数量分配：每站65把，开幕式6把，各县纪念火炬各1把（临渭、华州、华阴、潼关、大荔、合阳、澄县、韩城、白水、蒲城、富平、高新)共12把，省体育局2把，省博物馆1把，市体育局2把、市博物馆1把，合计414把，26把用于收藏纪念及赠送。</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76"/>
                  <w:gridSpan w:val="2"/>
                  <w:vMerge/>
                  <w:tcBorders>
                    <w:top w:val="single" w:color="000000" w:sz="4"/>
                    <w:left w:val="single" w:color="000000" w:sz="4"/>
                    <w:bottom w:val="none" w:color="000000" w:sz="4"/>
                    <w:right w:val="none" w:color="000000" w:sz="4"/>
                  </w:tcBorders>
                </w:tcPr>
                <w:p/>
              </w:tc>
              <w:tc>
                <w:tcPr>
                  <w:tcW w:type="dxa" w:w="5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火种灯制作</w:t>
                  </w:r>
                </w:p>
              </w:tc>
              <w:tc>
                <w:tcPr>
                  <w:tcW w:type="dxa" w:w="6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外壳采用轻质高强度铝合金</w:t>
                  </w:r>
                  <w:r>
                    <w:rPr>
                      <w:rFonts w:ascii="仿宋_GB2312" w:hAnsi="仿宋_GB2312" w:cs="仿宋_GB2312" w:eastAsia="仿宋_GB2312"/>
                      <w:sz w:val="19"/>
                      <w:color w:val="000000"/>
                    </w:rPr>
                    <w:t>高度：45-50厘米</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5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3个交替使用，备用3个</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276"/>
                  <w:gridSpan w:val="2"/>
                  <w:vMerge/>
                  <w:tcBorders>
                    <w:top w:val="single" w:color="000000" w:sz="4"/>
                    <w:left w:val="single" w:color="000000" w:sz="4"/>
                    <w:bottom w:val="none" w:color="000000" w:sz="4"/>
                    <w:right w:val="none" w:color="000000" w:sz="4"/>
                  </w:tcBorders>
                </w:tcPr>
                <w:p/>
              </w:tc>
              <w:tc>
                <w:tcPr>
                  <w:tcW w:type="dxa" w:w="5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点火棒制作</w:t>
                  </w:r>
                </w:p>
              </w:tc>
              <w:tc>
                <w:tcPr>
                  <w:tcW w:type="dxa" w:w="6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外壳采用轻质高强度铝合金，内部燃料罐为铝合金耐压气罐，采用耐高温环保烤漆，精密蚀刻 / UV 印刷 / 浮雕烫金等工艺。</w:t>
                  </w:r>
                  <w:r>
                    <w:rPr>
                      <w:rFonts w:ascii="仿宋_GB2312" w:hAnsi="仿宋_GB2312" w:cs="仿宋_GB2312" w:eastAsia="仿宋_GB2312"/>
                      <w:sz w:val="19"/>
                      <w:color w:val="000000"/>
                    </w:rPr>
                    <w:t>长度：30-40厘米</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5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同火种灯配套使用，数量一致</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276"/>
                  <w:gridSpan w:val="2"/>
                  <w:vMerge/>
                  <w:tcBorders>
                    <w:top w:val="single" w:color="000000" w:sz="4"/>
                    <w:left w:val="single" w:color="000000" w:sz="4"/>
                    <w:bottom w:val="none" w:color="000000" w:sz="4"/>
                    <w:right w:val="none" w:color="000000" w:sz="4"/>
                  </w:tcBorders>
                </w:tcPr>
                <w:p/>
              </w:tc>
              <w:tc>
                <w:tcPr>
                  <w:tcW w:type="dxa" w:w="5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火种盆制作</w:t>
                  </w:r>
                </w:p>
              </w:tc>
              <w:tc>
                <w:tcPr>
                  <w:tcW w:type="dxa" w:w="6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外壳采用轻质高强度铝合金，内部燃料罐为铝合金耐压气罐，采用耐高温环保烤漆。</w:t>
                  </w:r>
                </w:p>
                <w:p>
                  <w:pPr>
                    <w:pStyle w:val="null3"/>
                    <w:jc w:val="center"/>
                  </w:pPr>
                  <w:r>
                    <w:rPr>
                      <w:rFonts w:ascii="仿宋_GB2312" w:hAnsi="仿宋_GB2312" w:cs="仿宋_GB2312" w:eastAsia="仿宋_GB2312"/>
                      <w:sz w:val="19"/>
                      <w:color w:val="000000"/>
                    </w:rPr>
                    <w:t>高度：≥ 110厘米</w:t>
                  </w:r>
                  <w:r>
                    <w:rPr>
                      <w:rFonts w:ascii="仿宋_GB2312" w:hAnsi="仿宋_GB2312" w:cs="仿宋_GB2312" w:eastAsia="仿宋_GB2312"/>
                      <w:sz w:val="19"/>
                      <w:color w:val="000000"/>
                    </w:rPr>
                    <w:t>直径：≥80厘米</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5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采火仪式1个，传递6个，重复使用。</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276"/>
                  <w:gridSpan w:val="2"/>
                  <w:vMerge/>
                  <w:tcBorders>
                    <w:top w:val="single" w:color="000000" w:sz="4"/>
                    <w:left w:val="single" w:color="000000" w:sz="4"/>
                    <w:bottom w:val="none" w:color="000000" w:sz="4"/>
                    <w:right w:val="none" w:color="000000" w:sz="4"/>
                  </w:tcBorders>
                </w:tcPr>
                <w:p/>
              </w:tc>
              <w:tc>
                <w:tcPr>
                  <w:tcW w:type="dxa" w:w="5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火种采集台制作</w:t>
                  </w:r>
                </w:p>
              </w:tc>
              <w:tc>
                <w:tcPr>
                  <w:tcW w:type="dxa" w:w="6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外壳采用轻质高强度铝合金</w:t>
                  </w:r>
                </w:p>
                <w:p>
                  <w:pPr>
                    <w:pStyle w:val="null3"/>
                    <w:jc w:val="center"/>
                  </w:pPr>
                  <w:r>
                    <w:rPr>
                      <w:rFonts w:ascii="仿宋_GB2312" w:hAnsi="仿宋_GB2312" w:cs="仿宋_GB2312" w:eastAsia="仿宋_GB2312"/>
                      <w:sz w:val="19"/>
                      <w:color w:val="000000"/>
                    </w:rPr>
                    <w:t>高度：55-65厘米</w:t>
                  </w:r>
                  <w:r>
                    <w:rPr>
                      <w:rFonts w:ascii="仿宋_GB2312" w:hAnsi="仿宋_GB2312" w:cs="仿宋_GB2312" w:eastAsia="仿宋_GB2312"/>
                      <w:sz w:val="19"/>
                      <w:color w:val="000000"/>
                    </w:rPr>
                    <w:t>直径：50-60厘米</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54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276"/>
                  <w:gridSpan w:val="2"/>
                  <w:vMerge/>
                  <w:tcBorders>
                    <w:top w:val="single" w:color="000000" w:sz="4"/>
                    <w:left w:val="single" w:color="000000" w:sz="4"/>
                    <w:bottom w:val="none" w:color="000000" w:sz="4"/>
                    <w:right w:val="none" w:color="000000" w:sz="4"/>
                  </w:tcBorders>
                </w:tcPr>
                <w:p/>
              </w:tc>
              <w:tc>
                <w:tcPr>
                  <w:tcW w:type="dxa" w:w="5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采火棒制作</w:t>
                  </w:r>
                </w:p>
              </w:tc>
              <w:tc>
                <w:tcPr>
                  <w:tcW w:type="dxa" w:w="6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外壳采用轻质高强度铝合金</w:t>
                  </w:r>
                  <w:r>
                    <w:rPr>
                      <w:rFonts w:ascii="仿宋_GB2312" w:hAnsi="仿宋_GB2312" w:cs="仿宋_GB2312" w:eastAsia="仿宋_GB2312"/>
                      <w:sz w:val="19"/>
                      <w:color w:val="000000"/>
                    </w:rPr>
                    <w:t>高度：65-70厘米</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5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采火使用1备1</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103"/>
                  <w:vMerge w:val="restart"/>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采</w:t>
                  </w:r>
                  <w:r>
                    <w:br/>
                  </w:r>
                  <w:r>
                    <w:rPr>
                      <w:rFonts w:ascii="仿宋_GB2312" w:hAnsi="仿宋_GB2312" w:cs="仿宋_GB2312" w:eastAsia="仿宋_GB2312"/>
                      <w:sz w:val="19"/>
                      <w:color w:val="000000"/>
                    </w:rPr>
                    <w:t xml:space="preserve"> 火</w:t>
                  </w:r>
                  <w:r>
                    <w:br/>
                  </w:r>
                  <w:r>
                    <w:rPr>
                      <w:rFonts w:ascii="仿宋_GB2312" w:hAnsi="仿宋_GB2312" w:cs="仿宋_GB2312" w:eastAsia="仿宋_GB2312"/>
                      <w:sz w:val="19"/>
                      <w:color w:val="000000"/>
                    </w:rPr>
                    <w:t xml:space="preserve"> 仪</w:t>
                  </w:r>
                  <w:r>
                    <w:br/>
                  </w:r>
                  <w:r>
                    <w:rPr>
                      <w:rFonts w:ascii="仿宋_GB2312" w:hAnsi="仿宋_GB2312" w:cs="仿宋_GB2312" w:eastAsia="仿宋_GB2312"/>
                      <w:sz w:val="19"/>
                      <w:color w:val="000000"/>
                    </w:rPr>
                    <w:t xml:space="preserve"> 式</w:t>
                  </w:r>
                </w:p>
              </w:tc>
              <w:tc>
                <w:tcPr>
                  <w:tcW w:type="dxa" w:w="17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搭建</w:t>
                  </w:r>
                </w:p>
              </w:tc>
              <w:tc>
                <w:tcPr>
                  <w:tcW w:type="dxa" w:w="52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主舞台（含桁架、喷绘、舞台板、地毯、踏步等）</w:t>
                  </w:r>
                </w:p>
              </w:tc>
              <w:tc>
                <w:tcPr>
                  <w:tcW w:type="dxa" w:w="67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雷亚防滑舞台高度 40-60cm，台口、踏步、舞台等表面铺地毯</w:t>
                  </w:r>
                </w:p>
              </w:tc>
              <w:tc>
                <w:tcPr>
                  <w:tcW w:type="dxa" w:w="16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6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549"/>
                  <w:tcBorders>
                    <w:top w:val="non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103"/>
                  <w:vMerge/>
                  <w:tcBorders>
                    <w:top w:val="none" w:color="000000" w:sz="4"/>
                    <w:left w:val="single" w:color="000000" w:sz="4"/>
                    <w:bottom w:val="non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5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音响设备，含整套线阵音响、话筒等</w:t>
                  </w:r>
                </w:p>
              </w:tc>
              <w:tc>
                <w:tcPr>
                  <w:tcW w:type="dxa" w:w="6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全频音箱、低音炮、调音台、功放、麦克风</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54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103"/>
                  <w:vMerge/>
                  <w:tcBorders>
                    <w:top w:val="none" w:color="000000" w:sz="4"/>
                    <w:left w:val="single" w:color="000000" w:sz="4"/>
                    <w:bottom w:val="non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5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路线指示牌、观众引导标识等</w:t>
                  </w:r>
                </w:p>
              </w:tc>
              <w:tc>
                <w:tcPr>
                  <w:tcW w:type="dxa" w:w="6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KT板丽萍展架</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54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103"/>
                  <w:vMerge/>
                  <w:tcBorders>
                    <w:top w:val="none" w:color="000000" w:sz="4"/>
                    <w:left w:val="single" w:color="000000" w:sz="4"/>
                    <w:bottom w:val="non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5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铁马隔离护栏</w:t>
                  </w:r>
                </w:p>
              </w:tc>
              <w:tc>
                <w:tcPr>
                  <w:tcW w:type="dxa" w:w="6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不锈钢</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200</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根</w:t>
                  </w:r>
                </w:p>
              </w:tc>
              <w:tc>
                <w:tcPr>
                  <w:tcW w:type="dxa" w:w="54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103"/>
                  <w:vMerge/>
                  <w:tcBorders>
                    <w:top w:val="none" w:color="000000" w:sz="4"/>
                    <w:left w:val="single" w:color="000000" w:sz="4"/>
                    <w:bottom w:val="non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5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A字板</w:t>
                  </w:r>
                </w:p>
              </w:tc>
              <w:tc>
                <w:tcPr>
                  <w:tcW w:type="dxa" w:w="6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钢构+喷绘画面</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54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103"/>
                  <w:vMerge/>
                  <w:tcBorders>
                    <w:top w:val="none" w:color="000000" w:sz="4"/>
                    <w:left w:val="single" w:color="000000" w:sz="4"/>
                    <w:bottom w:val="non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5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道旗氛围布置</w:t>
                  </w:r>
                </w:p>
              </w:tc>
              <w:tc>
                <w:tcPr>
                  <w:tcW w:type="dxa" w:w="6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含底座、配重、道旗架、画面</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54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103"/>
                  <w:vMerge/>
                  <w:tcBorders>
                    <w:top w:val="none" w:color="000000" w:sz="4"/>
                    <w:left w:val="single" w:color="000000" w:sz="4"/>
                    <w:bottom w:val="non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5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主会场桌椅</w:t>
                  </w:r>
                </w:p>
              </w:tc>
              <w:tc>
                <w:tcPr>
                  <w:tcW w:type="dxa" w:w="6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一桌两椅含桌椅套</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54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103"/>
                  <w:vMerge/>
                  <w:tcBorders>
                    <w:top w:val="none" w:color="000000" w:sz="4"/>
                    <w:left w:val="single" w:color="000000" w:sz="4"/>
                    <w:bottom w:val="non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5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普通帐篷（含桌椅）</w:t>
                  </w:r>
                </w:p>
              </w:tc>
              <w:tc>
                <w:tcPr>
                  <w:tcW w:type="dxa" w:w="6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普帐含一桌两椅+照明+地毯</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54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103"/>
                  <w:vMerge/>
                  <w:tcBorders>
                    <w:top w:val="none" w:color="000000" w:sz="4"/>
                    <w:left w:val="single" w:color="000000" w:sz="4"/>
                    <w:bottom w:val="non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5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欧式帐篷（含宴会桌椅、地毯、照明）</w:t>
                  </w:r>
                </w:p>
              </w:tc>
              <w:tc>
                <w:tcPr>
                  <w:tcW w:type="dxa" w:w="6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欧式篷房含一桌两椅+照明+地毯</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54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103"/>
                  <w:vMerge/>
                  <w:tcBorders>
                    <w:top w:val="none" w:color="000000" w:sz="4"/>
                    <w:left w:val="single" w:color="000000" w:sz="4"/>
                    <w:bottom w:val="non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5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异形打卡墙</w:t>
                  </w:r>
                </w:p>
              </w:tc>
              <w:tc>
                <w:tcPr>
                  <w:tcW w:type="dxa" w:w="6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桁架+KT板或PVC定制</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54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w:t>
                  </w:r>
                </w:p>
              </w:tc>
              <w:tc>
                <w:tcPr>
                  <w:tcW w:type="dxa" w:w="103"/>
                  <w:vMerge/>
                  <w:tcBorders>
                    <w:top w:val="none" w:color="000000" w:sz="4"/>
                    <w:left w:val="single" w:color="000000" w:sz="4"/>
                    <w:bottom w:val="non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5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舞台前100米*2米地毯</w:t>
                  </w:r>
                </w:p>
              </w:tc>
              <w:tc>
                <w:tcPr>
                  <w:tcW w:type="dxa" w:w="6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拉绒地毯</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200</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w:t>
                  </w:r>
                </w:p>
              </w:tc>
              <w:tc>
                <w:tcPr>
                  <w:tcW w:type="dxa" w:w="54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w:t>
                  </w:r>
                </w:p>
              </w:tc>
              <w:tc>
                <w:tcPr>
                  <w:tcW w:type="dxa" w:w="103"/>
                  <w:vMerge/>
                  <w:tcBorders>
                    <w:top w:val="none" w:color="000000" w:sz="4"/>
                    <w:left w:val="single" w:color="000000" w:sz="4"/>
                    <w:bottom w:val="non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527"/>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工作证件</w:t>
                  </w:r>
                </w:p>
              </w:tc>
              <w:tc>
                <w:tcPr>
                  <w:tcW w:type="dxa" w:w="6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PVC+定制挂绳</w:t>
                  </w:r>
                </w:p>
              </w:tc>
              <w:tc>
                <w:tcPr>
                  <w:tcW w:type="dxa" w:w="16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300</w:t>
                  </w:r>
                </w:p>
              </w:tc>
              <w:tc>
                <w:tcPr>
                  <w:tcW w:type="dxa" w:w="16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54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w:t>
                  </w:r>
                </w:p>
              </w:tc>
              <w:tc>
                <w:tcPr>
                  <w:tcW w:type="dxa" w:w="103"/>
                  <w:vMerge/>
                  <w:tcBorders>
                    <w:top w:val="none" w:color="000000" w:sz="4"/>
                    <w:left w:val="single" w:color="000000" w:sz="4"/>
                    <w:bottom w:val="none" w:color="000000" w:sz="4"/>
                    <w:right w:val="single" w:color="000000" w:sz="4"/>
                  </w:tcBorders>
                </w:tcPr>
                <w:p/>
              </w:tc>
              <w:tc>
                <w:tcPr>
                  <w:tcW w:type="dxa" w:w="173"/>
                  <w:vMerge w:val="restart"/>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应急器材</w:t>
                  </w:r>
                </w:p>
              </w:tc>
              <w:tc>
                <w:tcPr>
                  <w:tcW w:type="dxa" w:w="5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普通灭火器</w:t>
                  </w:r>
                </w:p>
              </w:tc>
              <w:tc>
                <w:tcPr>
                  <w:tcW w:type="dxa" w:w="6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≥4kg ABC 干粉</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54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103"/>
                  <w:vMerge/>
                  <w:tcBorders>
                    <w:top w:val="none" w:color="000000" w:sz="4"/>
                    <w:left w:val="single" w:color="000000" w:sz="4"/>
                    <w:bottom w:val="none" w:color="000000" w:sz="4"/>
                    <w:right w:val="single" w:color="000000" w:sz="4"/>
                  </w:tcBorders>
                </w:tcPr>
                <w:p/>
              </w:tc>
              <w:tc>
                <w:tcPr>
                  <w:tcW w:type="dxa" w:w="173"/>
                  <w:vMerge/>
                  <w:tcBorders>
                    <w:top w:val="single" w:color="000000" w:sz="4"/>
                    <w:left w:val="single" w:color="000000" w:sz="4"/>
                    <w:bottom w:val="none" w:color="000000" w:sz="4"/>
                    <w:right w:val="single" w:color="000000" w:sz="4"/>
                  </w:tcBorders>
                </w:tcPr>
                <w:p/>
              </w:tc>
              <w:tc>
                <w:tcPr>
                  <w:tcW w:type="dxa" w:w="5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车载手提式灭火器</w:t>
                  </w:r>
                </w:p>
              </w:tc>
              <w:tc>
                <w:tcPr>
                  <w:tcW w:type="dxa" w:w="6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1–2kg ABC 干粉</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54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w:t>
                  </w:r>
                </w:p>
              </w:tc>
              <w:tc>
                <w:tcPr>
                  <w:tcW w:type="dxa" w:w="103"/>
                  <w:vMerge/>
                  <w:tcBorders>
                    <w:top w:val="none" w:color="000000" w:sz="4"/>
                    <w:left w:val="single" w:color="000000" w:sz="4"/>
                    <w:bottom w:val="none" w:color="000000" w:sz="4"/>
                    <w:right w:val="single" w:color="000000" w:sz="4"/>
                  </w:tcBorders>
                </w:tcPr>
                <w:p/>
              </w:tc>
              <w:tc>
                <w:tcPr>
                  <w:tcW w:type="dxa" w:w="173"/>
                  <w:vMerge w:val="restart"/>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劳务</w:t>
                  </w:r>
                </w:p>
              </w:tc>
              <w:tc>
                <w:tcPr>
                  <w:tcW w:type="dxa" w:w="5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主持人</w:t>
                  </w:r>
                </w:p>
              </w:tc>
              <w:tc>
                <w:tcPr>
                  <w:tcW w:type="dxa" w:w="6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主持过全国或国际类体育综合赛事主持人</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人</w:t>
                  </w:r>
                </w:p>
              </w:tc>
              <w:tc>
                <w:tcPr>
                  <w:tcW w:type="dxa" w:w="54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w:t>
                  </w:r>
                </w:p>
              </w:tc>
              <w:tc>
                <w:tcPr>
                  <w:tcW w:type="dxa" w:w="103"/>
                  <w:vMerge/>
                  <w:tcBorders>
                    <w:top w:val="none" w:color="000000" w:sz="4"/>
                    <w:left w:val="single" w:color="000000" w:sz="4"/>
                    <w:bottom w:val="none" w:color="000000" w:sz="4"/>
                    <w:right w:val="single" w:color="000000" w:sz="4"/>
                  </w:tcBorders>
                </w:tcPr>
                <w:p/>
              </w:tc>
              <w:tc>
                <w:tcPr>
                  <w:tcW w:type="dxa" w:w="173"/>
                  <w:vMerge/>
                  <w:tcBorders>
                    <w:top w:val="single" w:color="000000" w:sz="4"/>
                    <w:left w:val="single" w:color="000000" w:sz="4"/>
                    <w:bottom w:val="none" w:color="000000" w:sz="4"/>
                    <w:right w:val="single" w:color="000000" w:sz="4"/>
                  </w:tcBorders>
                </w:tcPr>
                <w:p/>
              </w:tc>
              <w:tc>
                <w:tcPr>
                  <w:tcW w:type="dxa" w:w="5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礼仪</w:t>
                  </w:r>
                </w:p>
              </w:tc>
              <w:tc>
                <w:tcPr>
                  <w:tcW w:type="dxa" w:w="6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身高170cm以上，统一礼仪服装，经过专业培训</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人</w:t>
                  </w:r>
                </w:p>
              </w:tc>
              <w:tc>
                <w:tcPr>
                  <w:tcW w:type="dxa" w:w="54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w:t>
                  </w:r>
                </w:p>
              </w:tc>
              <w:tc>
                <w:tcPr>
                  <w:tcW w:type="dxa" w:w="103"/>
                  <w:vMerge/>
                  <w:tcBorders>
                    <w:top w:val="none" w:color="000000" w:sz="4"/>
                    <w:left w:val="single" w:color="000000" w:sz="4"/>
                    <w:bottom w:val="none" w:color="000000" w:sz="4"/>
                    <w:right w:val="single" w:color="000000" w:sz="4"/>
                  </w:tcBorders>
                </w:tcPr>
                <w:p/>
              </w:tc>
              <w:tc>
                <w:tcPr>
                  <w:tcW w:type="dxa" w:w="173"/>
                  <w:vMerge/>
                  <w:tcBorders>
                    <w:top w:val="single" w:color="000000" w:sz="4"/>
                    <w:left w:val="single" w:color="000000" w:sz="4"/>
                    <w:bottom w:val="none" w:color="000000" w:sz="4"/>
                    <w:right w:val="single" w:color="000000" w:sz="4"/>
                  </w:tcBorders>
                </w:tcPr>
                <w:p/>
              </w:tc>
              <w:tc>
                <w:tcPr>
                  <w:tcW w:type="dxa" w:w="5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圣女</w:t>
                  </w:r>
                </w:p>
              </w:tc>
              <w:tc>
                <w:tcPr>
                  <w:tcW w:type="dxa" w:w="6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身高170cm以上，统一礼仪服装，经过专业培训</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人</w:t>
                  </w:r>
                </w:p>
              </w:tc>
              <w:tc>
                <w:tcPr>
                  <w:tcW w:type="dxa" w:w="54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103"/>
                  <w:vMerge/>
                  <w:tcBorders>
                    <w:top w:val="none" w:color="000000" w:sz="4"/>
                    <w:left w:val="single" w:color="000000" w:sz="4"/>
                    <w:bottom w:val="none" w:color="000000" w:sz="4"/>
                    <w:right w:val="single" w:color="000000" w:sz="4"/>
                  </w:tcBorders>
                </w:tcPr>
                <w:p/>
              </w:tc>
              <w:tc>
                <w:tcPr>
                  <w:tcW w:type="dxa" w:w="173"/>
                  <w:vMerge/>
                  <w:tcBorders>
                    <w:top w:val="single" w:color="000000" w:sz="4"/>
                    <w:left w:val="single" w:color="000000" w:sz="4"/>
                    <w:bottom w:val="none" w:color="000000" w:sz="4"/>
                    <w:right w:val="single" w:color="000000" w:sz="4"/>
                  </w:tcBorders>
                </w:tcPr>
                <w:p/>
              </w:tc>
              <w:tc>
                <w:tcPr>
                  <w:tcW w:type="dxa" w:w="5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执行工作人员【活动前5天驻会】</w:t>
                  </w:r>
                </w:p>
              </w:tc>
              <w:tc>
                <w:tcPr>
                  <w:tcW w:type="dxa" w:w="67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人</w:t>
                  </w:r>
                </w:p>
              </w:tc>
              <w:tc>
                <w:tcPr>
                  <w:tcW w:type="dxa" w:w="5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5天</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w:t>
                  </w:r>
                </w:p>
              </w:tc>
              <w:tc>
                <w:tcPr>
                  <w:tcW w:type="dxa" w:w="103"/>
                  <w:vMerge/>
                  <w:tcBorders>
                    <w:top w:val="none" w:color="000000" w:sz="4"/>
                    <w:left w:val="single" w:color="000000" w:sz="4"/>
                    <w:bottom w:val="none" w:color="000000" w:sz="4"/>
                    <w:right w:val="single" w:color="000000" w:sz="4"/>
                  </w:tcBorders>
                </w:tcPr>
                <w:p/>
              </w:tc>
              <w:tc>
                <w:tcPr>
                  <w:tcW w:type="dxa" w:w="17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住宿</w:t>
                  </w:r>
                </w:p>
              </w:tc>
              <w:tc>
                <w:tcPr>
                  <w:tcW w:type="dxa" w:w="5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嘉宾邀请</w:t>
                  </w:r>
                </w:p>
              </w:tc>
              <w:tc>
                <w:tcPr>
                  <w:tcW w:type="dxa" w:w="67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人</w:t>
                  </w:r>
                </w:p>
              </w:tc>
              <w:tc>
                <w:tcPr>
                  <w:tcW w:type="dxa" w:w="5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3天</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w:t>
                  </w:r>
                </w:p>
              </w:tc>
              <w:tc>
                <w:tcPr>
                  <w:tcW w:type="dxa" w:w="103"/>
                  <w:vMerge/>
                  <w:tcBorders>
                    <w:top w:val="none" w:color="000000" w:sz="4"/>
                    <w:left w:val="single" w:color="000000" w:sz="4"/>
                    <w:bottom w:val="none" w:color="000000" w:sz="4"/>
                    <w:right w:val="single" w:color="000000" w:sz="4"/>
                  </w:tcBorders>
                </w:tcPr>
                <w:p/>
              </w:tc>
              <w:tc>
                <w:tcPr>
                  <w:tcW w:type="dxa" w:w="173"/>
                  <w:vMerge/>
                  <w:tcBorders>
                    <w:top w:val="single" w:color="000000" w:sz="4"/>
                    <w:left w:val="single" w:color="000000" w:sz="4"/>
                    <w:bottom w:val="single" w:color="000000" w:sz="4"/>
                    <w:right w:val="single" w:color="000000" w:sz="4"/>
                  </w:tcBorders>
                </w:tcPr>
                <w:p/>
              </w:tc>
              <w:tc>
                <w:tcPr>
                  <w:tcW w:type="dxa" w:w="5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执行工作人员【活动前5天驻会】</w:t>
                  </w:r>
                </w:p>
              </w:tc>
              <w:tc>
                <w:tcPr>
                  <w:tcW w:type="dxa" w:w="67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人</w:t>
                  </w:r>
                </w:p>
              </w:tc>
              <w:tc>
                <w:tcPr>
                  <w:tcW w:type="dxa" w:w="5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5天</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w:t>
                  </w:r>
                </w:p>
              </w:tc>
              <w:tc>
                <w:tcPr>
                  <w:tcW w:type="dxa" w:w="103"/>
                  <w:vMerge/>
                  <w:tcBorders>
                    <w:top w:val="none" w:color="000000" w:sz="4"/>
                    <w:left w:val="single" w:color="000000" w:sz="4"/>
                    <w:bottom w:val="none" w:color="000000" w:sz="4"/>
                    <w:right w:val="single" w:color="000000" w:sz="4"/>
                  </w:tcBorders>
                </w:tcPr>
                <w:p/>
              </w:tc>
              <w:tc>
                <w:tcPr>
                  <w:tcW w:type="dxa" w:w="173"/>
                  <w:vMerge/>
                  <w:tcBorders>
                    <w:top w:val="single" w:color="000000" w:sz="4"/>
                    <w:left w:val="single" w:color="000000" w:sz="4"/>
                    <w:bottom w:val="single" w:color="000000" w:sz="4"/>
                    <w:right w:val="single" w:color="000000" w:sz="4"/>
                  </w:tcBorders>
                </w:tcPr>
                <w:p/>
              </w:tc>
              <w:tc>
                <w:tcPr>
                  <w:tcW w:type="dxa" w:w="5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火炬手</w:t>
                  </w:r>
                </w:p>
              </w:tc>
              <w:tc>
                <w:tcPr>
                  <w:tcW w:type="dxa" w:w="67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人</w:t>
                  </w:r>
                </w:p>
              </w:tc>
              <w:tc>
                <w:tcPr>
                  <w:tcW w:type="dxa" w:w="5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2天</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103"/>
                  <w:vMerge/>
                  <w:tcBorders>
                    <w:top w:val="none" w:color="000000" w:sz="4"/>
                    <w:left w:val="single" w:color="000000" w:sz="4"/>
                    <w:bottom w:val="none" w:color="000000" w:sz="4"/>
                    <w:right w:val="single" w:color="000000" w:sz="4"/>
                  </w:tcBorders>
                </w:tcPr>
                <w:p/>
              </w:tc>
              <w:tc>
                <w:tcPr>
                  <w:tcW w:type="dxa" w:w="173"/>
                  <w:vMerge/>
                  <w:tcBorders>
                    <w:top w:val="single" w:color="000000" w:sz="4"/>
                    <w:left w:val="single" w:color="000000" w:sz="4"/>
                    <w:bottom w:val="single" w:color="000000" w:sz="4"/>
                    <w:right w:val="single" w:color="000000" w:sz="4"/>
                  </w:tcBorders>
                </w:tcPr>
                <w:p/>
              </w:tc>
              <w:tc>
                <w:tcPr>
                  <w:tcW w:type="dxa" w:w="5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主持人</w:t>
                  </w:r>
                </w:p>
              </w:tc>
              <w:tc>
                <w:tcPr>
                  <w:tcW w:type="dxa" w:w="67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人</w:t>
                  </w:r>
                </w:p>
              </w:tc>
              <w:tc>
                <w:tcPr>
                  <w:tcW w:type="dxa" w:w="54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w:t>
                  </w:r>
                </w:p>
              </w:tc>
              <w:tc>
                <w:tcPr>
                  <w:tcW w:type="dxa" w:w="103"/>
                  <w:vMerge/>
                  <w:tcBorders>
                    <w:top w:val="none" w:color="000000" w:sz="4"/>
                    <w:left w:val="single" w:color="000000" w:sz="4"/>
                    <w:bottom w:val="none" w:color="000000" w:sz="4"/>
                    <w:right w:val="single" w:color="000000" w:sz="4"/>
                  </w:tcBorders>
                </w:tcPr>
                <w:p/>
              </w:tc>
              <w:tc>
                <w:tcPr>
                  <w:tcW w:type="dxa" w:w="173"/>
                  <w:vMerge/>
                  <w:tcBorders>
                    <w:top w:val="single" w:color="000000" w:sz="4"/>
                    <w:left w:val="single" w:color="000000" w:sz="4"/>
                    <w:bottom w:val="single" w:color="000000" w:sz="4"/>
                    <w:right w:val="single" w:color="000000" w:sz="4"/>
                  </w:tcBorders>
                </w:tcPr>
                <w:p/>
              </w:tc>
              <w:tc>
                <w:tcPr>
                  <w:tcW w:type="dxa" w:w="5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礼仪</w:t>
                  </w:r>
                </w:p>
              </w:tc>
              <w:tc>
                <w:tcPr>
                  <w:tcW w:type="dxa" w:w="67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人</w:t>
                  </w:r>
                </w:p>
              </w:tc>
              <w:tc>
                <w:tcPr>
                  <w:tcW w:type="dxa" w:w="54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w:t>
                  </w:r>
                </w:p>
              </w:tc>
              <w:tc>
                <w:tcPr>
                  <w:tcW w:type="dxa" w:w="103"/>
                  <w:vMerge/>
                  <w:tcBorders>
                    <w:top w:val="none" w:color="000000" w:sz="4"/>
                    <w:left w:val="single" w:color="000000" w:sz="4"/>
                    <w:bottom w:val="none" w:color="000000" w:sz="4"/>
                    <w:right w:val="single" w:color="000000" w:sz="4"/>
                  </w:tcBorders>
                </w:tcPr>
                <w:p/>
              </w:tc>
              <w:tc>
                <w:tcPr>
                  <w:tcW w:type="dxa" w:w="173"/>
                  <w:vMerge/>
                  <w:tcBorders>
                    <w:top w:val="single" w:color="000000" w:sz="4"/>
                    <w:left w:val="single" w:color="000000" w:sz="4"/>
                    <w:bottom w:val="single" w:color="000000" w:sz="4"/>
                    <w:right w:val="single" w:color="000000" w:sz="4"/>
                  </w:tcBorders>
                </w:tcPr>
                <w:p/>
              </w:tc>
              <w:tc>
                <w:tcPr>
                  <w:tcW w:type="dxa" w:w="5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圣女</w:t>
                  </w:r>
                </w:p>
              </w:tc>
              <w:tc>
                <w:tcPr>
                  <w:tcW w:type="dxa" w:w="67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人</w:t>
                  </w:r>
                </w:p>
              </w:tc>
              <w:tc>
                <w:tcPr>
                  <w:tcW w:type="dxa" w:w="54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w:t>
                  </w:r>
                </w:p>
              </w:tc>
              <w:tc>
                <w:tcPr>
                  <w:tcW w:type="dxa" w:w="103"/>
                  <w:vMerge/>
                  <w:tcBorders>
                    <w:top w:val="none" w:color="000000" w:sz="4"/>
                    <w:left w:val="single" w:color="000000" w:sz="4"/>
                    <w:bottom w:val="none" w:color="000000" w:sz="4"/>
                    <w:right w:val="single" w:color="000000" w:sz="4"/>
                  </w:tcBorders>
                </w:tcPr>
                <w:p/>
              </w:tc>
              <w:tc>
                <w:tcPr>
                  <w:tcW w:type="dxa" w:w="173"/>
                  <w:vMerge/>
                  <w:tcBorders>
                    <w:top w:val="single" w:color="000000" w:sz="4"/>
                    <w:left w:val="single" w:color="000000" w:sz="4"/>
                    <w:bottom w:val="single" w:color="000000" w:sz="4"/>
                    <w:right w:val="single" w:color="000000" w:sz="4"/>
                  </w:tcBorders>
                </w:tcPr>
                <w:p/>
              </w:tc>
              <w:tc>
                <w:tcPr>
                  <w:tcW w:type="dxa" w:w="5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护卫队</w:t>
                  </w:r>
                </w:p>
              </w:tc>
              <w:tc>
                <w:tcPr>
                  <w:tcW w:type="dxa" w:w="67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人</w:t>
                  </w:r>
                </w:p>
              </w:tc>
              <w:tc>
                <w:tcPr>
                  <w:tcW w:type="dxa" w:w="5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2天</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w:t>
                  </w:r>
                </w:p>
              </w:tc>
              <w:tc>
                <w:tcPr>
                  <w:tcW w:type="dxa" w:w="103"/>
                  <w:vMerge/>
                  <w:tcBorders>
                    <w:top w:val="none" w:color="000000" w:sz="4"/>
                    <w:left w:val="single" w:color="000000" w:sz="4"/>
                    <w:bottom w:val="none" w:color="000000" w:sz="4"/>
                    <w:right w:val="single" w:color="000000" w:sz="4"/>
                  </w:tcBorders>
                </w:tcPr>
                <w:p/>
              </w:tc>
              <w:tc>
                <w:tcPr>
                  <w:tcW w:type="dxa" w:w="17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餐饮</w:t>
                  </w:r>
                </w:p>
              </w:tc>
              <w:tc>
                <w:tcPr>
                  <w:tcW w:type="dxa" w:w="5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嘉宾邀请</w:t>
                  </w:r>
                </w:p>
              </w:tc>
              <w:tc>
                <w:tcPr>
                  <w:tcW w:type="dxa" w:w="67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人</w:t>
                  </w:r>
                </w:p>
              </w:tc>
              <w:tc>
                <w:tcPr>
                  <w:tcW w:type="dxa" w:w="5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3天</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w:t>
                  </w:r>
                </w:p>
              </w:tc>
              <w:tc>
                <w:tcPr>
                  <w:tcW w:type="dxa" w:w="103"/>
                  <w:vMerge/>
                  <w:tcBorders>
                    <w:top w:val="none" w:color="000000" w:sz="4"/>
                    <w:left w:val="single" w:color="000000" w:sz="4"/>
                    <w:bottom w:val="non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5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执行工作人员【活动前5天驻会】</w:t>
                  </w:r>
                </w:p>
              </w:tc>
              <w:tc>
                <w:tcPr>
                  <w:tcW w:type="dxa" w:w="67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人</w:t>
                  </w:r>
                </w:p>
              </w:tc>
              <w:tc>
                <w:tcPr>
                  <w:tcW w:type="dxa" w:w="5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5天</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w:t>
                  </w:r>
                </w:p>
              </w:tc>
              <w:tc>
                <w:tcPr>
                  <w:tcW w:type="dxa" w:w="103"/>
                  <w:vMerge/>
                  <w:tcBorders>
                    <w:top w:val="none" w:color="000000" w:sz="4"/>
                    <w:left w:val="single" w:color="000000" w:sz="4"/>
                    <w:bottom w:val="non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5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演职人员</w:t>
                  </w:r>
                </w:p>
              </w:tc>
              <w:tc>
                <w:tcPr>
                  <w:tcW w:type="dxa" w:w="67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70</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人</w:t>
                  </w:r>
                </w:p>
              </w:tc>
              <w:tc>
                <w:tcPr>
                  <w:tcW w:type="dxa" w:w="5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3天</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w:t>
                  </w:r>
                </w:p>
              </w:tc>
              <w:tc>
                <w:tcPr>
                  <w:tcW w:type="dxa" w:w="103"/>
                  <w:vMerge/>
                  <w:tcBorders>
                    <w:top w:val="none" w:color="000000" w:sz="4"/>
                    <w:left w:val="single" w:color="000000" w:sz="4"/>
                    <w:bottom w:val="non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5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火炬手</w:t>
                  </w:r>
                </w:p>
              </w:tc>
              <w:tc>
                <w:tcPr>
                  <w:tcW w:type="dxa" w:w="67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人</w:t>
                  </w:r>
                </w:p>
              </w:tc>
              <w:tc>
                <w:tcPr>
                  <w:tcW w:type="dxa" w:w="5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2天</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w:t>
                  </w:r>
                </w:p>
              </w:tc>
              <w:tc>
                <w:tcPr>
                  <w:tcW w:type="dxa" w:w="103"/>
                  <w:vMerge/>
                  <w:tcBorders>
                    <w:top w:val="none" w:color="000000" w:sz="4"/>
                    <w:left w:val="single" w:color="000000" w:sz="4"/>
                    <w:bottom w:val="non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5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护卫队</w:t>
                  </w:r>
                </w:p>
              </w:tc>
              <w:tc>
                <w:tcPr>
                  <w:tcW w:type="dxa" w:w="67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人</w:t>
                  </w:r>
                </w:p>
              </w:tc>
              <w:tc>
                <w:tcPr>
                  <w:tcW w:type="dxa" w:w="5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2天</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37</w:t>
                  </w:r>
                </w:p>
              </w:tc>
              <w:tc>
                <w:tcPr>
                  <w:tcW w:type="dxa" w:w="103"/>
                  <w:vMerge/>
                  <w:tcBorders>
                    <w:top w:val="none" w:color="000000" w:sz="4"/>
                    <w:left w:val="single" w:color="000000" w:sz="4"/>
                    <w:bottom w:val="non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5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应急救援</w:t>
                  </w:r>
                </w:p>
              </w:tc>
              <w:tc>
                <w:tcPr>
                  <w:tcW w:type="dxa" w:w="67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人</w:t>
                  </w:r>
                </w:p>
              </w:tc>
              <w:tc>
                <w:tcPr>
                  <w:tcW w:type="dxa" w:w="5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1天</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38</w:t>
                  </w:r>
                </w:p>
              </w:tc>
              <w:tc>
                <w:tcPr>
                  <w:tcW w:type="dxa" w:w="103"/>
                  <w:vMerge/>
                  <w:tcBorders>
                    <w:top w:val="none" w:color="000000" w:sz="4"/>
                    <w:left w:val="single" w:color="000000" w:sz="4"/>
                    <w:bottom w:val="non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5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医疗救援</w:t>
                  </w:r>
                </w:p>
              </w:tc>
              <w:tc>
                <w:tcPr>
                  <w:tcW w:type="dxa" w:w="67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人</w:t>
                  </w:r>
                </w:p>
              </w:tc>
              <w:tc>
                <w:tcPr>
                  <w:tcW w:type="dxa" w:w="5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1天</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39</w:t>
                  </w:r>
                </w:p>
              </w:tc>
              <w:tc>
                <w:tcPr>
                  <w:tcW w:type="dxa" w:w="103"/>
                  <w:vMerge/>
                  <w:tcBorders>
                    <w:top w:val="none" w:color="000000" w:sz="4"/>
                    <w:left w:val="single" w:color="000000" w:sz="4"/>
                    <w:bottom w:val="non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5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消防人员</w:t>
                  </w:r>
                </w:p>
              </w:tc>
              <w:tc>
                <w:tcPr>
                  <w:tcW w:type="dxa" w:w="67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人</w:t>
                  </w:r>
                </w:p>
              </w:tc>
              <w:tc>
                <w:tcPr>
                  <w:tcW w:type="dxa" w:w="5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1天</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w:t>
                  </w:r>
                </w:p>
              </w:tc>
              <w:tc>
                <w:tcPr>
                  <w:tcW w:type="dxa" w:w="103"/>
                  <w:vMerge/>
                  <w:tcBorders>
                    <w:top w:val="none" w:color="000000" w:sz="4"/>
                    <w:left w:val="single" w:color="000000" w:sz="4"/>
                    <w:bottom w:val="non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5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电力保障人员</w:t>
                  </w:r>
                </w:p>
              </w:tc>
              <w:tc>
                <w:tcPr>
                  <w:tcW w:type="dxa" w:w="67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人</w:t>
                  </w:r>
                </w:p>
              </w:tc>
              <w:tc>
                <w:tcPr>
                  <w:tcW w:type="dxa" w:w="5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1天</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41</w:t>
                  </w:r>
                </w:p>
              </w:tc>
              <w:tc>
                <w:tcPr>
                  <w:tcW w:type="dxa" w:w="103"/>
                  <w:vMerge/>
                  <w:tcBorders>
                    <w:top w:val="none" w:color="000000" w:sz="4"/>
                    <w:left w:val="single" w:color="000000" w:sz="4"/>
                    <w:bottom w:val="non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5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通信保障（电信、移动、联通）</w:t>
                  </w:r>
                </w:p>
              </w:tc>
              <w:tc>
                <w:tcPr>
                  <w:tcW w:type="dxa" w:w="67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人</w:t>
                  </w:r>
                </w:p>
              </w:tc>
              <w:tc>
                <w:tcPr>
                  <w:tcW w:type="dxa" w:w="5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1天</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42</w:t>
                  </w:r>
                </w:p>
              </w:tc>
              <w:tc>
                <w:tcPr>
                  <w:tcW w:type="dxa" w:w="103"/>
                  <w:vMerge/>
                  <w:tcBorders>
                    <w:top w:val="none" w:color="000000" w:sz="4"/>
                    <w:left w:val="single" w:color="000000" w:sz="4"/>
                    <w:bottom w:val="non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5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安保人员</w:t>
                  </w:r>
                </w:p>
              </w:tc>
              <w:tc>
                <w:tcPr>
                  <w:tcW w:type="dxa" w:w="67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人</w:t>
                  </w:r>
                </w:p>
              </w:tc>
              <w:tc>
                <w:tcPr>
                  <w:tcW w:type="dxa" w:w="5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1天</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43</w:t>
                  </w:r>
                </w:p>
              </w:tc>
              <w:tc>
                <w:tcPr>
                  <w:tcW w:type="dxa" w:w="103"/>
                  <w:vMerge/>
                  <w:tcBorders>
                    <w:top w:val="none" w:color="000000" w:sz="4"/>
                    <w:left w:val="single" w:color="000000" w:sz="4"/>
                    <w:bottom w:val="none" w:color="000000" w:sz="4"/>
                    <w:right w:val="single" w:color="000000" w:sz="4"/>
                  </w:tcBorders>
                </w:tcPr>
                <w:p/>
              </w:tc>
              <w:tc>
                <w:tcPr>
                  <w:tcW w:type="dxa" w:w="173"/>
                  <w:vMerge w:val="restart"/>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其他事项</w:t>
                  </w:r>
                </w:p>
              </w:tc>
              <w:tc>
                <w:tcPr>
                  <w:tcW w:type="dxa" w:w="5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货车</w:t>
                  </w:r>
                </w:p>
              </w:tc>
              <w:tc>
                <w:tcPr>
                  <w:tcW w:type="dxa" w:w="67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辆</w:t>
                  </w:r>
                </w:p>
              </w:tc>
              <w:tc>
                <w:tcPr>
                  <w:tcW w:type="dxa" w:w="54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44</w:t>
                  </w:r>
                </w:p>
              </w:tc>
              <w:tc>
                <w:tcPr>
                  <w:tcW w:type="dxa" w:w="103"/>
                  <w:vMerge/>
                  <w:tcBorders>
                    <w:top w:val="none" w:color="000000" w:sz="4"/>
                    <w:left w:val="single" w:color="000000" w:sz="4"/>
                    <w:bottom w:val="none" w:color="000000" w:sz="4"/>
                    <w:right w:val="single" w:color="000000" w:sz="4"/>
                  </w:tcBorders>
                </w:tcPr>
                <w:p/>
              </w:tc>
              <w:tc>
                <w:tcPr>
                  <w:tcW w:type="dxa" w:w="173"/>
                  <w:vMerge/>
                  <w:tcBorders>
                    <w:top w:val="single" w:color="000000" w:sz="4"/>
                    <w:left w:val="single" w:color="000000" w:sz="4"/>
                    <w:bottom w:val="none" w:color="000000" w:sz="4"/>
                    <w:right w:val="single" w:color="000000" w:sz="4"/>
                  </w:tcBorders>
                </w:tcPr>
                <w:p/>
              </w:tc>
              <w:tc>
                <w:tcPr>
                  <w:tcW w:type="dxa" w:w="5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圣女服饰</w:t>
                  </w:r>
                </w:p>
              </w:tc>
              <w:tc>
                <w:tcPr>
                  <w:tcW w:type="dxa" w:w="6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采火圣女全身服饰</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54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45</w:t>
                  </w:r>
                </w:p>
              </w:tc>
              <w:tc>
                <w:tcPr>
                  <w:tcW w:type="dxa" w:w="103"/>
                  <w:vMerge/>
                  <w:tcBorders>
                    <w:top w:val="none" w:color="000000" w:sz="4"/>
                    <w:left w:val="single" w:color="000000" w:sz="4"/>
                    <w:bottom w:val="none" w:color="000000" w:sz="4"/>
                    <w:right w:val="single" w:color="000000" w:sz="4"/>
                  </w:tcBorders>
                </w:tcPr>
                <w:p/>
              </w:tc>
              <w:tc>
                <w:tcPr>
                  <w:tcW w:type="dxa" w:w="173"/>
                  <w:vMerge/>
                  <w:tcBorders>
                    <w:top w:val="single" w:color="000000" w:sz="4"/>
                    <w:left w:val="single" w:color="000000" w:sz="4"/>
                    <w:bottom w:val="none" w:color="000000" w:sz="4"/>
                    <w:right w:val="single" w:color="000000" w:sz="4"/>
                  </w:tcBorders>
                </w:tcPr>
                <w:p/>
              </w:tc>
              <w:tc>
                <w:tcPr>
                  <w:tcW w:type="dxa" w:w="5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雨伞</w:t>
                  </w:r>
                </w:p>
              </w:tc>
              <w:tc>
                <w:tcPr>
                  <w:tcW w:type="dxa" w:w="6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长柄雨伞</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54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46</w:t>
                  </w:r>
                </w:p>
              </w:tc>
              <w:tc>
                <w:tcPr>
                  <w:tcW w:type="dxa" w:w="103"/>
                  <w:vMerge/>
                  <w:tcBorders>
                    <w:top w:val="none" w:color="000000" w:sz="4"/>
                    <w:left w:val="single" w:color="000000" w:sz="4"/>
                    <w:bottom w:val="none" w:color="000000" w:sz="4"/>
                    <w:right w:val="single" w:color="000000" w:sz="4"/>
                  </w:tcBorders>
                </w:tcPr>
                <w:p/>
              </w:tc>
              <w:tc>
                <w:tcPr>
                  <w:tcW w:type="dxa" w:w="173"/>
                  <w:vMerge/>
                  <w:tcBorders>
                    <w:top w:val="single" w:color="000000" w:sz="4"/>
                    <w:left w:val="single" w:color="000000" w:sz="4"/>
                    <w:bottom w:val="none" w:color="000000" w:sz="4"/>
                    <w:right w:val="single" w:color="000000" w:sz="4"/>
                  </w:tcBorders>
                </w:tcPr>
                <w:p/>
              </w:tc>
              <w:tc>
                <w:tcPr>
                  <w:tcW w:type="dxa" w:w="5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雨衣</w:t>
                  </w:r>
                </w:p>
              </w:tc>
              <w:tc>
                <w:tcPr>
                  <w:tcW w:type="dxa" w:w="6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白色EVA加厚雨衣</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300</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54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47</w:t>
                  </w:r>
                </w:p>
              </w:tc>
              <w:tc>
                <w:tcPr>
                  <w:tcW w:type="dxa" w:w="103"/>
                  <w:vMerge w:val="restart"/>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火炬传递服务团队</w:t>
                  </w:r>
                </w:p>
              </w:tc>
              <w:tc>
                <w:tcPr>
                  <w:tcW w:type="dxa" w:w="17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劳务</w:t>
                  </w:r>
                </w:p>
              </w:tc>
              <w:tc>
                <w:tcPr>
                  <w:tcW w:type="dxa" w:w="5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统筹管理人员（其中包括活动总监1人、副总监3人、活动组织3人、技术管理3人、执行管理3人、志愿者管理3人、后勤保障3人、财务行政2人）</w:t>
                  </w:r>
                </w:p>
              </w:tc>
              <w:tc>
                <w:tcPr>
                  <w:tcW w:type="dxa" w:w="67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人</w:t>
                  </w:r>
                </w:p>
              </w:tc>
              <w:tc>
                <w:tcPr>
                  <w:tcW w:type="dxa" w:w="5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70天</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48</w:t>
                  </w:r>
                </w:p>
              </w:tc>
              <w:tc>
                <w:tcPr>
                  <w:tcW w:type="dxa" w:w="103"/>
                  <w:vMerge/>
                  <w:tcBorders>
                    <w:top w:val="single" w:color="000000" w:sz="4"/>
                    <w:left w:val="single" w:color="000000" w:sz="4"/>
                    <w:bottom w:val="none" w:color="000000" w:sz="4"/>
                    <w:right w:val="single" w:color="000000" w:sz="4"/>
                  </w:tcBorders>
                </w:tcPr>
                <w:p/>
              </w:tc>
              <w:tc>
                <w:tcPr>
                  <w:tcW w:type="dxa" w:w="173"/>
                  <w:vMerge/>
                  <w:tcBorders>
                    <w:top w:val="single" w:color="000000" w:sz="4"/>
                    <w:left w:val="single" w:color="000000" w:sz="4"/>
                    <w:bottom w:val="single" w:color="000000" w:sz="4"/>
                    <w:right w:val="single" w:color="000000" w:sz="4"/>
                  </w:tcBorders>
                </w:tcPr>
                <w:p/>
              </w:tc>
              <w:tc>
                <w:tcPr>
                  <w:tcW w:type="dxa" w:w="5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执行工作小组（3个工作组，每个工作组8人）</w:t>
                  </w:r>
                </w:p>
              </w:tc>
              <w:tc>
                <w:tcPr>
                  <w:tcW w:type="dxa" w:w="67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人</w:t>
                  </w:r>
                </w:p>
              </w:tc>
              <w:tc>
                <w:tcPr>
                  <w:tcW w:type="dxa" w:w="5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分3个工作小组分别依次负责两站传递活动的执行落地指导监督工作，传递活动开始前15天驻会至传递活动结束后一天收尾，含起止日共计19天</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49</w:t>
                  </w:r>
                </w:p>
              </w:tc>
              <w:tc>
                <w:tcPr>
                  <w:tcW w:type="dxa" w:w="103"/>
                  <w:vMerge/>
                  <w:tcBorders>
                    <w:top w:val="single" w:color="000000" w:sz="4"/>
                    <w:left w:val="single" w:color="000000" w:sz="4"/>
                    <w:bottom w:val="none" w:color="000000" w:sz="4"/>
                    <w:right w:val="single" w:color="000000" w:sz="4"/>
                  </w:tcBorders>
                </w:tcPr>
                <w:p/>
              </w:tc>
              <w:tc>
                <w:tcPr>
                  <w:tcW w:type="dxa" w:w="173"/>
                  <w:vMerge/>
                  <w:tcBorders>
                    <w:top w:val="single" w:color="000000" w:sz="4"/>
                    <w:left w:val="single" w:color="000000" w:sz="4"/>
                    <w:bottom w:val="single" w:color="000000" w:sz="4"/>
                    <w:right w:val="single" w:color="000000" w:sz="4"/>
                  </w:tcBorders>
                </w:tcPr>
                <w:p/>
              </w:tc>
              <w:tc>
                <w:tcPr>
                  <w:tcW w:type="dxa" w:w="5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火种设备技术维护人员</w:t>
                  </w:r>
                </w:p>
              </w:tc>
              <w:tc>
                <w:tcPr>
                  <w:tcW w:type="dxa" w:w="67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人</w:t>
                  </w:r>
                </w:p>
              </w:tc>
              <w:tc>
                <w:tcPr>
                  <w:tcW w:type="dxa" w:w="5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火炬传递开始前5天驻会至开幕式结束止，含起止日共23天</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w:t>
                  </w:r>
                </w:p>
              </w:tc>
              <w:tc>
                <w:tcPr>
                  <w:tcW w:type="dxa" w:w="103"/>
                  <w:vMerge/>
                  <w:tcBorders>
                    <w:top w:val="single" w:color="000000" w:sz="4"/>
                    <w:left w:val="single" w:color="000000" w:sz="4"/>
                    <w:bottom w:val="none" w:color="000000" w:sz="4"/>
                    <w:right w:val="single" w:color="000000" w:sz="4"/>
                  </w:tcBorders>
                </w:tcPr>
                <w:p/>
              </w:tc>
              <w:tc>
                <w:tcPr>
                  <w:tcW w:type="dxa" w:w="173"/>
                  <w:vMerge/>
                  <w:tcBorders>
                    <w:top w:val="single" w:color="000000" w:sz="4"/>
                    <w:left w:val="single" w:color="000000" w:sz="4"/>
                    <w:bottom w:val="single" w:color="000000" w:sz="4"/>
                    <w:right w:val="single" w:color="000000" w:sz="4"/>
                  </w:tcBorders>
                </w:tcPr>
                <w:p/>
              </w:tc>
              <w:tc>
                <w:tcPr>
                  <w:tcW w:type="dxa" w:w="5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培训</w:t>
                  </w:r>
                  <w:r>
                    <w:rPr>
                      <w:rFonts w:ascii="仿宋_GB2312" w:hAnsi="仿宋_GB2312" w:cs="仿宋_GB2312" w:eastAsia="仿宋_GB2312"/>
                      <w:sz w:val="20"/>
                      <w:color w:val="000000"/>
                    </w:rPr>
                    <w:t>专家【火炬手及工作人员专项培训】</w:t>
                  </w:r>
                </w:p>
              </w:tc>
              <w:tc>
                <w:tcPr>
                  <w:tcW w:type="dxa" w:w="67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人</w:t>
                  </w:r>
                </w:p>
              </w:tc>
              <w:tc>
                <w:tcPr>
                  <w:tcW w:type="dxa" w:w="5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火炬传递活动开始前5天进驻工作组，加上传递期间（7月29-8月8日）各分站属地培训共计16天；火炬传递活动工作人员及火炬手大组长整体培训4天；以上含起止日共计20天</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51</w:t>
                  </w:r>
                </w:p>
              </w:tc>
              <w:tc>
                <w:tcPr>
                  <w:tcW w:type="dxa" w:w="103"/>
                  <w:vMerge/>
                  <w:tcBorders>
                    <w:top w:val="single" w:color="000000" w:sz="4"/>
                    <w:left w:val="single" w:color="000000" w:sz="4"/>
                    <w:bottom w:val="none" w:color="000000" w:sz="4"/>
                    <w:right w:val="single" w:color="000000" w:sz="4"/>
                  </w:tcBorders>
                </w:tcPr>
                <w:p/>
              </w:tc>
              <w:tc>
                <w:tcPr>
                  <w:tcW w:type="dxa" w:w="17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住宿</w:t>
                  </w:r>
                </w:p>
              </w:tc>
              <w:tc>
                <w:tcPr>
                  <w:tcW w:type="dxa" w:w="5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统筹管理人员（其中包括活动总监1人、副总监3人、活动组织3人、技术管理3人、执行管理3人、志愿者管理3人、后勤保障3人、财务行政2人）</w:t>
                  </w:r>
                </w:p>
              </w:tc>
              <w:tc>
                <w:tcPr>
                  <w:tcW w:type="dxa" w:w="67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人</w:t>
                  </w:r>
                </w:p>
              </w:tc>
              <w:tc>
                <w:tcPr>
                  <w:tcW w:type="dxa" w:w="5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70天</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52</w:t>
                  </w:r>
                </w:p>
              </w:tc>
              <w:tc>
                <w:tcPr>
                  <w:tcW w:type="dxa" w:w="103"/>
                  <w:vMerge/>
                  <w:tcBorders>
                    <w:top w:val="single" w:color="000000" w:sz="4"/>
                    <w:left w:val="single" w:color="000000" w:sz="4"/>
                    <w:bottom w:val="none" w:color="000000" w:sz="4"/>
                    <w:right w:val="single" w:color="000000" w:sz="4"/>
                  </w:tcBorders>
                </w:tcPr>
                <w:p/>
              </w:tc>
              <w:tc>
                <w:tcPr>
                  <w:tcW w:type="dxa" w:w="173"/>
                  <w:vMerge/>
                  <w:tcBorders>
                    <w:top w:val="single" w:color="000000" w:sz="4"/>
                    <w:left w:val="single" w:color="000000" w:sz="4"/>
                    <w:bottom w:val="single" w:color="000000" w:sz="4"/>
                    <w:right w:val="single" w:color="000000" w:sz="4"/>
                  </w:tcBorders>
                </w:tcPr>
                <w:p/>
              </w:tc>
              <w:tc>
                <w:tcPr>
                  <w:tcW w:type="dxa" w:w="5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执行工作小组（3个工作组，每个工作组8人）</w:t>
                  </w:r>
                </w:p>
              </w:tc>
              <w:tc>
                <w:tcPr>
                  <w:tcW w:type="dxa" w:w="67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人</w:t>
                  </w:r>
                </w:p>
              </w:tc>
              <w:tc>
                <w:tcPr>
                  <w:tcW w:type="dxa" w:w="5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分3个工作小组分别依次负责两站传递活动的执行落地指导监督工作，传递活动开始前15天驻会至传递活动结束后一天收尾，含起止日共计19天</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53</w:t>
                  </w:r>
                </w:p>
              </w:tc>
              <w:tc>
                <w:tcPr>
                  <w:tcW w:type="dxa" w:w="103"/>
                  <w:vMerge/>
                  <w:tcBorders>
                    <w:top w:val="single" w:color="000000" w:sz="4"/>
                    <w:left w:val="single" w:color="000000" w:sz="4"/>
                    <w:bottom w:val="none" w:color="000000" w:sz="4"/>
                    <w:right w:val="single" w:color="000000" w:sz="4"/>
                  </w:tcBorders>
                </w:tcPr>
                <w:p/>
              </w:tc>
              <w:tc>
                <w:tcPr>
                  <w:tcW w:type="dxa" w:w="173"/>
                  <w:vMerge/>
                  <w:tcBorders>
                    <w:top w:val="single" w:color="000000" w:sz="4"/>
                    <w:left w:val="single" w:color="000000" w:sz="4"/>
                    <w:bottom w:val="single" w:color="000000" w:sz="4"/>
                    <w:right w:val="single" w:color="000000" w:sz="4"/>
                  </w:tcBorders>
                </w:tcPr>
                <w:p/>
              </w:tc>
              <w:tc>
                <w:tcPr>
                  <w:tcW w:type="dxa" w:w="5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火种设备技术维护人员</w:t>
                  </w:r>
                </w:p>
              </w:tc>
              <w:tc>
                <w:tcPr>
                  <w:tcW w:type="dxa" w:w="67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人</w:t>
                  </w:r>
                </w:p>
              </w:tc>
              <w:tc>
                <w:tcPr>
                  <w:tcW w:type="dxa" w:w="5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火炬传递开始前5天驻会至开幕式结束止，含起止日共23天</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54</w:t>
                  </w:r>
                </w:p>
              </w:tc>
              <w:tc>
                <w:tcPr>
                  <w:tcW w:type="dxa" w:w="103"/>
                  <w:vMerge/>
                  <w:tcBorders>
                    <w:top w:val="single" w:color="000000" w:sz="4"/>
                    <w:left w:val="single" w:color="000000" w:sz="4"/>
                    <w:bottom w:val="none" w:color="000000" w:sz="4"/>
                    <w:right w:val="single" w:color="000000" w:sz="4"/>
                  </w:tcBorders>
                </w:tcPr>
                <w:p/>
              </w:tc>
              <w:tc>
                <w:tcPr>
                  <w:tcW w:type="dxa" w:w="173"/>
                  <w:vMerge/>
                  <w:tcBorders>
                    <w:top w:val="single" w:color="000000" w:sz="4"/>
                    <w:left w:val="single" w:color="000000" w:sz="4"/>
                    <w:bottom w:val="single" w:color="000000" w:sz="4"/>
                    <w:right w:val="single" w:color="000000" w:sz="4"/>
                  </w:tcBorders>
                </w:tcPr>
                <w:p/>
              </w:tc>
              <w:tc>
                <w:tcPr>
                  <w:tcW w:type="dxa" w:w="5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护卫队</w:t>
                  </w:r>
                </w:p>
              </w:tc>
              <w:tc>
                <w:tcPr>
                  <w:tcW w:type="dxa" w:w="67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人</w:t>
                  </w:r>
                </w:p>
              </w:tc>
              <w:tc>
                <w:tcPr>
                  <w:tcW w:type="dxa" w:w="5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传递活动开始提前4天驻会，共计15天</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55</w:t>
                  </w:r>
                </w:p>
              </w:tc>
              <w:tc>
                <w:tcPr>
                  <w:tcW w:type="dxa" w:w="103"/>
                  <w:vMerge/>
                  <w:tcBorders>
                    <w:top w:val="single" w:color="000000" w:sz="4"/>
                    <w:left w:val="single" w:color="000000" w:sz="4"/>
                    <w:bottom w:val="none" w:color="000000" w:sz="4"/>
                    <w:right w:val="single" w:color="000000" w:sz="4"/>
                  </w:tcBorders>
                </w:tcPr>
                <w:p/>
              </w:tc>
              <w:tc>
                <w:tcPr>
                  <w:tcW w:type="dxa" w:w="173"/>
                  <w:vMerge/>
                  <w:tcBorders>
                    <w:top w:val="single" w:color="000000" w:sz="4"/>
                    <w:left w:val="single" w:color="000000" w:sz="4"/>
                    <w:bottom w:val="single" w:color="000000" w:sz="4"/>
                    <w:right w:val="single" w:color="000000" w:sz="4"/>
                  </w:tcBorders>
                </w:tcPr>
                <w:p/>
              </w:tc>
              <w:tc>
                <w:tcPr>
                  <w:tcW w:type="dxa" w:w="5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培训专家</w:t>
                  </w:r>
                </w:p>
              </w:tc>
              <w:tc>
                <w:tcPr>
                  <w:tcW w:type="dxa" w:w="67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人</w:t>
                  </w:r>
                </w:p>
              </w:tc>
              <w:tc>
                <w:tcPr>
                  <w:tcW w:type="dxa" w:w="5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前期培训和分站培训专家共计20天</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56</w:t>
                  </w:r>
                </w:p>
              </w:tc>
              <w:tc>
                <w:tcPr>
                  <w:tcW w:type="dxa" w:w="103"/>
                  <w:vMerge/>
                  <w:tcBorders>
                    <w:top w:val="single" w:color="000000" w:sz="4"/>
                    <w:left w:val="single" w:color="000000" w:sz="4"/>
                    <w:bottom w:val="none" w:color="000000" w:sz="4"/>
                    <w:right w:val="single" w:color="000000" w:sz="4"/>
                  </w:tcBorders>
                </w:tcPr>
                <w:p/>
              </w:tc>
              <w:tc>
                <w:tcPr>
                  <w:tcW w:type="dxa" w:w="17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餐饮</w:t>
                  </w:r>
                </w:p>
              </w:tc>
              <w:tc>
                <w:tcPr>
                  <w:tcW w:type="dxa" w:w="5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统筹管理人员（其中包括活动总监1人、副总监3人、活动组织3人、技术管理3人、执行管理3人、志愿者管理3人、后勤保障3人、财务行政2人）</w:t>
                  </w:r>
                </w:p>
              </w:tc>
              <w:tc>
                <w:tcPr>
                  <w:tcW w:type="dxa" w:w="6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自助餐</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人</w:t>
                  </w:r>
                </w:p>
              </w:tc>
              <w:tc>
                <w:tcPr>
                  <w:tcW w:type="dxa" w:w="5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70天</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57</w:t>
                  </w:r>
                </w:p>
              </w:tc>
              <w:tc>
                <w:tcPr>
                  <w:tcW w:type="dxa" w:w="103"/>
                  <w:vMerge/>
                  <w:tcBorders>
                    <w:top w:val="single" w:color="000000" w:sz="4"/>
                    <w:left w:val="single" w:color="000000" w:sz="4"/>
                    <w:bottom w:val="none" w:color="000000" w:sz="4"/>
                    <w:right w:val="single" w:color="000000" w:sz="4"/>
                  </w:tcBorders>
                </w:tcPr>
                <w:p/>
              </w:tc>
              <w:tc>
                <w:tcPr>
                  <w:tcW w:type="dxa" w:w="173"/>
                  <w:vMerge/>
                  <w:tcBorders>
                    <w:top w:val="single" w:color="000000" w:sz="4"/>
                    <w:left w:val="single" w:color="000000" w:sz="4"/>
                    <w:bottom w:val="single" w:color="000000" w:sz="4"/>
                    <w:right w:val="single" w:color="000000" w:sz="4"/>
                  </w:tcBorders>
                </w:tcPr>
                <w:p/>
              </w:tc>
              <w:tc>
                <w:tcPr>
                  <w:tcW w:type="dxa" w:w="5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执行工作小组（3个工作组，每个工作组8人）</w:t>
                  </w:r>
                </w:p>
              </w:tc>
              <w:tc>
                <w:tcPr>
                  <w:tcW w:type="dxa" w:w="6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自助餐</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人</w:t>
                  </w:r>
                </w:p>
              </w:tc>
              <w:tc>
                <w:tcPr>
                  <w:tcW w:type="dxa" w:w="5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19天</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58</w:t>
                  </w:r>
                </w:p>
              </w:tc>
              <w:tc>
                <w:tcPr>
                  <w:tcW w:type="dxa" w:w="103"/>
                  <w:vMerge/>
                  <w:tcBorders>
                    <w:top w:val="single" w:color="000000" w:sz="4"/>
                    <w:left w:val="single" w:color="000000" w:sz="4"/>
                    <w:bottom w:val="none" w:color="000000" w:sz="4"/>
                    <w:right w:val="single" w:color="000000" w:sz="4"/>
                  </w:tcBorders>
                </w:tcPr>
                <w:p/>
              </w:tc>
              <w:tc>
                <w:tcPr>
                  <w:tcW w:type="dxa" w:w="173"/>
                  <w:vMerge/>
                  <w:tcBorders>
                    <w:top w:val="single" w:color="000000" w:sz="4"/>
                    <w:left w:val="single" w:color="000000" w:sz="4"/>
                    <w:bottom w:val="single" w:color="000000" w:sz="4"/>
                    <w:right w:val="single" w:color="000000" w:sz="4"/>
                  </w:tcBorders>
                </w:tcPr>
                <w:p/>
              </w:tc>
              <w:tc>
                <w:tcPr>
                  <w:tcW w:type="dxa" w:w="5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火种设备技术维护人员</w:t>
                  </w:r>
                </w:p>
              </w:tc>
              <w:tc>
                <w:tcPr>
                  <w:tcW w:type="dxa" w:w="6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自助餐</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人</w:t>
                  </w:r>
                </w:p>
              </w:tc>
              <w:tc>
                <w:tcPr>
                  <w:tcW w:type="dxa" w:w="5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23天</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59</w:t>
                  </w:r>
                </w:p>
              </w:tc>
              <w:tc>
                <w:tcPr>
                  <w:tcW w:type="dxa" w:w="103"/>
                  <w:vMerge/>
                  <w:tcBorders>
                    <w:top w:val="single" w:color="000000" w:sz="4"/>
                    <w:left w:val="single" w:color="000000" w:sz="4"/>
                    <w:bottom w:val="none" w:color="000000" w:sz="4"/>
                    <w:right w:val="single" w:color="000000" w:sz="4"/>
                  </w:tcBorders>
                </w:tcPr>
                <w:p/>
              </w:tc>
              <w:tc>
                <w:tcPr>
                  <w:tcW w:type="dxa" w:w="173"/>
                  <w:vMerge/>
                  <w:tcBorders>
                    <w:top w:val="single" w:color="000000" w:sz="4"/>
                    <w:left w:val="single" w:color="000000" w:sz="4"/>
                    <w:bottom w:val="single" w:color="000000" w:sz="4"/>
                    <w:right w:val="single" w:color="000000" w:sz="4"/>
                  </w:tcBorders>
                </w:tcPr>
                <w:p/>
              </w:tc>
              <w:tc>
                <w:tcPr>
                  <w:tcW w:type="dxa" w:w="5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护卫队</w:t>
                  </w:r>
                </w:p>
              </w:tc>
              <w:tc>
                <w:tcPr>
                  <w:tcW w:type="dxa" w:w="6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自助餐</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人</w:t>
                  </w:r>
                </w:p>
              </w:tc>
              <w:tc>
                <w:tcPr>
                  <w:tcW w:type="dxa" w:w="5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15天</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w:t>
                  </w:r>
                </w:p>
              </w:tc>
              <w:tc>
                <w:tcPr>
                  <w:tcW w:type="dxa" w:w="103"/>
                  <w:vMerge/>
                  <w:tcBorders>
                    <w:top w:val="single" w:color="000000" w:sz="4"/>
                    <w:left w:val="single" w:color="000000" w:sz="4"/>
                    <w:bottom w:val="none" w:color="000000" w:sz="4"/>
                    <w:right w:val="single" w:color="000000" w:sz="4"/>
                  </w:tcBorders>
                </w:tcPr>
                <w:p/>
              </w:tc>
              <w:tc>
                <w:tcPr>
                  <w:tcW w:type="dxa" w:w="173"/>
                  <w:vMerge/>
                  <w:tcBorders>
                    <w:top w:val="single" w:color="000000" w:sz="4"/>
                    <w:left w:val="single" w:color="000000" w:sz="4"/>
                    <w:bottom w:val="single" w:color="000000" w:sz="4"/>
                    <w:right w:val="single" w:color="000000" w:sz="4"/>
                  </w:tcBorders>
                </w:tcPr>
                <w:p/>
              </w:tc>
              <w:tc>
                <w:tcPr>
                  <w:tcW w:type="dxa" w:w="5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培训专家</w:t>
                  </w:r>
                </w:p>
              </w:tc>
              <w:tc>
                <w:tcPr>
                  <w:tcW w:type="dxa" w:w="6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自助餐</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人</w:t>
                  </w:r>
                </w:p>
              </w:tc>
              <w:tc>
                <w:tcPr>
                  <w:tcW w:type="dxa" w:w="5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20天</w:t>
                  </w: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61</w:t>
                  </w:r>
                </w:p>
              </w:tc>
              <w:tc>
                <w:tcPr>
                  <w:tcW w:type="dxa" w:w="103"/>
                  <w:vMerge/>
                  <w:tcBorders>
                    <w:top w:val="single" w:color="000000" w:sz="4"/>
                    <w:left w:val="single" w:color="000000" w:sz="4"/>
                    <w:bottom w:val="none" w:color="000000" w:sz="4"/>
                    <w:right w:val="single" w:color="000000" w:sz="4"/>
                  </w:tcBorders>
                </w:tcPr>
                <w:p/>
              </w:tc>
              <w:tc>
                <w:tcPr>
                  <w:tcW w:type="dxa" w:w="173"/>
                  <w:vMerge w:val="restart"/>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其他事项</w:t>
                  </w:r>
                </w:p>
              </w:tc>
              <w:tc>
                <w:tcPr>
                  <w:tcW w:type="dxa" w:w="527"/>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火炬传递设备保障</w:t>
                  </w:r>
                </w:p>
              </w:tc>
              <w:tc>
                <w:tcPr>
                  <w:tcW w:type="dxa" w:w="675"/>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火炬燃烧填装及火种盆等设备用气</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54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62</w:t>
                  </w:r>
                </w:p>
              </w:tc>
              <w:tc>
                <w:tcPr>
                  <w:tcW w:type="dxa" w:w="103"/>
                  <w:vMerge/>
                  <w:tcBorders>
                    <w:top w:val="single" w:color="000000" w:sz="4"/>
                    <w:left w:val="single" w:color="000000" w:sz="4"/>
                    <w:bottom w:val="none" w:color="000000" w:sz="4"/>
                    <w:right w:val="single" w:color="000000" w:sz="4"/>
                  </w:tcBorders>
                </w:tcPr>
                <w:p/>
              </w:tc>
              <w:tc>
                <w:tcPr>
                  <w:tcW w:type="dxa" w:w="173"/>
                  <w:vMerge/>
                  <w:tcBorders>
                    <w:top w:val="none" w:color="000000" w:sz="4"/>
                    <w:left w:val="single" w:color="000000" w:sz="4"/>
                    <w:bottom w:val="none" w:color="000000" w:sz="4"/>
                    <w:right w:val="single" w:color="000000" w:sz="4"/>
                  </w:tcBorders>
                </w:tcPr>
                <w:p/>
              </w:tc>
              <w:tc>
                <w:tcPr>
                  <w:tcW w:type="dxa" w:w="527"/>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护卫队装备</w:t>
                  </w:r>
                </w:p>
              </w:tc>
              <w:tc>
                <w:tcPr>
                  <w:tcW w:type="dxa" w:w="675"/>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防穿手套、偏光眼镜等</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54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63</w:t>
                  </w:r>
                </w:p>
              </w:tc>
              <w:tc>
                <w:tcPr>
                  <w:tcW w:type="dxa" w:w="103"/>
                  <w:vMerge/>
                  <w:tcBorders>
                    <w:top w:val="single" w:color="000000" w:sz="4"/>
                    <w:left w:val="single" w:color="000000" w:sz="4"/>
                    <w:bottom w:val="none" w:color="000000" w:sz="4"/>
                    <w:right w:val="single" w:color="000000" w:sz="4"/>
                  </w:tcBorders>
                </w:tcPr>
                <w:p/>
              </w:tc>
              <w:tc>
                <w:tcPr>
                  <w:tcW w:type="dxa" w:w="173"/>
                  <w:vMerge/>
                  <w:tcBorders>
                    <w:top w:val="none" w:color="000000" w:sz="4"/>
                    <w:left w:val="single" w:color="000000" w:sz="4"/>
                    <w:bottom w:val="none" w:color="000000" w:sz="4"/>
                    <w:right w:val="single" w:color="000000" w:sz="4"/>
                  </w:tcBorders>
                </w:tcPr>
                <w:p/>
              </w:tc>
              <w:tc>
                <w:tcPr>
                  <w:tcW w:type="dxa" w:w="5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纪念授牌</w:t>
                  </w:r>
                </w:p>
              </w:tc>
              <w:tc>
                <w:tcPr>
                  <w:tcW w:type="dxa" w:w="6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木托定制纪念牌</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54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64</w:t>
                  </w:r>
                </w:p>
              </w:tc>
              <w:tc>
                <w:tcPr>
                  <w:tcW w:type="dxa" w:w="103"/>
                  <w:vMerge/>
                  <w:tcBorders>
                    <w:top w:val="single" w:color="000000" w:sz="4"/>
                    <w:left w:val="single" w:color="000000" w:sz="4"/>
                    <w:bottom w:val="none" w:color="000000" w:sz="4"/>
                    <w:right w:val="single" w:color="000000" w:sz="4"/>
                  </w:tcBorders>
                </w:tcPr>
                <w:p/>
              </w:tc>
              <w:tc>
                <w:tcPr>
                  <w:tcW w:type="dxa" w:w="173"/>
                  <w:vMerge/>
                  <w:tcBorders>
                    <w:top w:val="none" w:color="000000" w:sz="4"/>
                    <w:left w:val="single" w:color="000000" w:sz="4"/>
                    <w:bottom w:val="none" w:color="000000" w:sz="4"/>
                    <w:right w:val="single" w:color="000000" w:sz="4"/>
                  </w:tcBorders>
                </w:tcPr>
                <w:p/>
              </w:tc>
              <w:tc>
                <w:tcPr>
                  <w:tcW w:type="dxa" w:w="527"/>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工作证件</w:t>
                  </w:r>
                </w:p>
              </w:tc>
              <w:tc>
                <w:tcPr>
                  <w:tcW w:type="dxa" w:w="675"/>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PVC+定制挂绳</w:t>
                  </w:r>
                </w:p>
              </w:tc>
              <w:tc>
                <w:tcPr>
                  <w:tcW w:type="dxa" w:w="16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w:t>
                  </w:r>
                </w:p>
              </w:tc>
              <w:tc>
                <w:tcPr>
                  <w:tcW w:type="dxa" w:w="16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549"/>
                  <w:tcBorders>
                    <w:top w:val="single" w:color="000000" w:sz="4"/>
                    <w:left w:val="single" w:color="000000" w:sz="4"/>
                    <w:bottom w:val="single" w:color="000000" w:sz="4"/>
                    <w:right w:val="single" w:color="000000" w:sz="4"/>
                  </w:tcBorders>
                  <w:tcMar>
                    <w:top w:type="dxa" w:w="15"/>
                    <w:left w:type="dxa" w:w="15"/>
                    <w:right w:type="dxa" w:w="15"/>
                  </w:tcMar>
                  <w:vAlign w:val="center"/>
                </w:tcP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自合同签订之日起至项目结束后30日历天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1.流程验收：火炬传递设备验收、采火仪式及火炬传递服务团队按方案执行，环节完整、无重大失误、无安全事故。 2.物资验收：火炬、火种灯、火种盆等道具数量齐全、质量合格、安全可用，符合设计与使用要求。 3.服务验收：人员培训到位、现场执行规范、保障措施齐全、应急处置有效，无负面舆论、无群众投诉、无责任事件。 4.合规验收：符合国家、行业、地方及赛事组委会各项安全、技术、管理标准，通过省十八运执委会与属地联合验收。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签订合同后15个工作日内</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火炬传递相关设备完成移交并经甲方验收合格后15 个工作日内</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项目全部执行完毕且无任何遗留问题后 15 个工作日内</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甲方违约责任： 1.由于甲方的原因或因不可抗力的自然因素影响，则服务周期顺延。 2.对于乙方提供的资料以及属于乙方的内容，甲方有义务保密，不得向第三方提供或用于本合同以外的项目，否则乙方有权要求甲方按本合同项目款总额的20%赔偿损失。 乙方违约责任： 1.合同签订后，如乙方擅自中途停止或解除合同，乙方应向甲方双倍返还定金。没有定金的，乙方向甲方赔偿服务价款合同价款的5%。 2.在甲方提供了必要的工作、生活条件，并且保证了项目款按时到位，乙方未能按合同规定的日期提供服务时，逾期一日，应向甲方支付合同总价款0.05%的违约金，逾期超过10日的，甲方有权单方解除合同并要求乙方支付合同总价款20%的违约金。因此给甲方造成损失的，乙方应当赔偿全部损失，包括但不限于直接损失、间接损失。 3.因天气、交通、政府行为、甲方提供的资料不准确等客观原因造成的服务周期拖期，乙方不承担赔偿责任。 4.服务实施过程中，乙方未按投标文件约定配备服务人员或乙方派驻服务力量无法胜任项目实施要求的，甲方有权提出增加人员和充实技术力量，乙方应立即安排实施，其费用被认为已含在合同价格之中。如乙方拒绝增加人员或充实技术力量，甲方有权利单方解除合同，乙方应承担由此给甲方造成的经济损失。 5.乙方有责任按甲方要求提交项目资料。如乙方未能按规定的服务周期提供服务，每延误一天，应付合同总价款0.05%的逾期违约金人民币（但由于受天气等不可抗力的自然因素影响，则工期顺延），逾期10天以上的，甲方除有权单方解除合同外，乙方应承担因延期造成的损失。同时，甲方有权根据乙方所承担服务的质量是否符合要求而对服务的内容进行调整。 6.乙方提供的服务质量不合格的，乙方应负责无偿予以采取补救措施，以达到质量标准。因服务最终不符合合同要求（而又非甲方提供的资料原因所致）造成后果时，乙方应对因此造成的直接损失负赔偿责任，并承担相应的法律责任（由于甲方提供的资料原因产生的责任由甲方自己负责）。 7.在合同期内和合同终止后，乙方应负责所有资料的保密，非经甲方书面认可，不得向任何人以任何方式提供任何资料。严格按甲方要求程序传递各种资料，否则甲方有权单方解除合同，要求乙方按本合同项目款总额的20%赔偿损失并追回所付项目款。 8.乙方不得将本项目的任何部分转包或分包给其他任何单位和个人。若擅自转包或分包本合同标的，甲方有权单方解除合同，并可要求乙方偿付预算20%的违约金，同时追究其法律责任。 争议解决办法： 因执行本合同发生的一切争议，双方应首先友好协商解决。经协商不能解决，应向甲方所在地有管辖权的人民法院提起诉讼。在诉讼期间，除必须在诉讼过程中进行解决的问题外，合同其余部分应继续履行。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或2025年年度经审计的财务报告（成立时间至提交投标文件截止时间不足一年的可提供成立后任意时段的资产负债表），或开标前三个月内基本存款账户开户银行出具的资信证明及基本存款账户开户许可证（或基本账户信息表）；</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供应商须具有独立承担民事责任能力的法人、其他组织或自然人，并出具合法有效的营业执照或事业单位法人证书等国家规定的相关证明，自然人参与的提供其身份证明；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财务要求</w:t>
            </w:r>
          </w:p>
        </w:tc>
        <w:tc>
          <w:tcPr>
            <w:tcW w:type="dxa" w:w="3322"/>
          </w:tcPr>
          <w:p>
            <w:pPr>
              <w:pStyle w:val="null3"/>
            </w:pPr>
            <w:r>
              <w:rPr>
                <w:rFonts w:ascii="仿宋_GB2312" w:hAnsi="仿宋_GB2312" w:cs="仿宋_GB2312" w:eastAsia="仿宋_GB2312"/>
              </w:rPr>
              <w:t>提供2024年或2025年年度经审计的财务报告（成立时间至提交投标文件截止时间不足一年的可提供成立后任意时段的资产负债表），或开标前三个月内基本存款账户开户银行出具的资信证明及基本存款账户开户许可证（或基本账户信息表）</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提供具有履行本合同所必需的设备和专业技术能力的说明或承诺（格式自拟）。</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提供投标文件提交截止时间前6个月内已缴纳的至少一个月的纳税证明或完税证明，依法免税的单位应提供相关证明材料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提供投标文件提交截止时间前6个月内已缴存的至少一个月的社会保障资金缴存单据或社保机构开具的社会保险参保缴费情况证明，依法不需要缴纳社会保障资金的单位应提供相关证明材料；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提供参加政府采购活动前三年内在经营活动中没有重大违法记录的书面声明（格式自拟）。</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法定代表人身份证明书/法定代表人授权书</w:t>
            </w:r>
          </w:p>
        </w:tc>
        <w:tc>
          <w:tcPr>
            <w:tcW w:type="dxa" w:w="3322"/>
          </w:tcPr>
          <w:p>
            <w:pPr>
              <w:pStyle w:val="null3"/>
            </w:pPr>
            <w:r>
              <w:rPr>
                <w:rFonts w:ascii="仿宋_GB2312" w:hAnsi="仿宋_GB2312" w:cs="仿宋_GB2312" w:eastAsia="仿宋_GB2312"/>
              </w:rPr>
              <w:t>法定代表人参加投标的，须提供本人身份证复印件；法定代表人授权他人参加投标的，须提供法定代表人授权书及授权代表身份证</w:t>
            </w:r>
          </w:p>
        </w:tc>
        <w:tc>
          <w:tcPr>
            <w:tcW w:type="dxa" w:w="1661"/>
          </w:tcPr>
          <w:p>
            <w:pPr>
              <w:pStyle w:val="null3"/>
            </w:pPr>
            <w:r>
              <w:rPr>
                <w:rFonts w:ascii="仿宋_GB2312" w:hAnsi="仿宋_GB2312" w:cs="仿宋_GB2312" w:eastAsia="仿宋_GB2312"/>
              </w:rPr>
              <w:t>投标人应提交的相关资格证明材料 供应商认为需提供的其他资料.pdf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不得被“信用中国”网站中列入“失信被执行人或重大税收违法失信主体”的供应商；不得为中国政府采购网“政府采购严重违法失信行为记录名单”中的供应商；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单位负责人为同一人或者存在直接控股、管理关系的不同供应商，不得参加同一合同下的政府采购活动</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2.政府采购异常低价审查 （1）政府采购评审中出现下列情形之一的，评审委员会应当启动异常低价投标（响应）审查程序： 1）投标（响应）报价低于全部通过符合性审查供应商投标（响应）报价平均值50%的，即投标（响应）报价〈全部通过符合性审查供应商投标（响应）报价平均值×50%； 2）投标（响应）报价低于通过符合性审查的次低报价供应商投标（响应）报价50%的，即投标（响应）报价〈通过符合性审查的次低报价供应商投标（响应）报价×50%； 3）投标（响应）报价低于采购项目最高限价45%的，即投标（响应）报价〈采购项目最高限价×45%； 4）评审委员会基于专业判断，认为供应商报价过低，有可能影响产品质量或者不能诚信履约的其他情形。 （2）评审委员会启动异常低价投标（响应）审查后，属于前述第1项至第4项情形的，应当要求相关供应商在评审现场1小时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3.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按招标文件要求进行签章</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投标报价没有超出最高限价</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满足招标文件规定</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满足招标文件规定</w:t>
            </w:r>
          </w:p>
        </w:tc>
        <w:tc>
          <w:tcPr>
            <w:tcW w:type="dxa" w:w="1661"/>
          </w:tcPr>
          <w:p>
            <w:pPr>
              <w:pStyle w:val="null3"/>
            </w:pPr>
            <w:r>
              <w:rPr>
                <w:rFonts w:ascii="仿宋_GB2312" w:hAnsi="仿宋_GB2312" w:cs="仿宋_GB2312" w:eastAsia="仿宋_GB2312"/>
              </w:rPr>
              <w:t>服务内容及服务邀请应答表 投标函 商务应答表 服务方案</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对采购内容的响应程度</w:t>
            </w:r>
          </w:p>
        </w:tc>
        <w:tc>
          <w:tcPr>
            <w:tcW w:type="dxa" w:w="3322"/>
          </w:tcPr>
          <w:p>
            <w:pPr>
              <w:pStyle w:val="null3"/>
            </w:pPr>
            <w:r>
              <w:rPr>
                <w:rFonts w:ascii="仿宋_GB2312" w:hAnsi="仿宋_GB2312" w:cs="仿宋_GB2312" w:eastAsia="仿宋_GB2312"/>
              </w:rPr>
              <w:t>满足招标文件规定</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监狱企业的证明文件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投标保证金交纳凭证</w:t>
            </w:r>
          </w:p>
        </w:tc>
        <w:tc>
          <w:tcPr>
            <w:tcW w:type="dxa" w:w="3322"/>
          </w:tcPr>
          <w:p>
            <w:pPr>
              <w:pStyle w:val="null3"/>
            </w:pPr>
            <w:r>
              <w:rPr>
                <w:rFonts w:ascii="仿宋_GB2312" w:hAnsi="仿宋_GB2312" w:cs="仿宋_GB2312" w:eastAsia="仿宋_GB2312"/>
              </w:rPr>
              <w:t>投标保证金交纳凭证</w:t>
            </w:r>
          </w:p>
        </w:tc>
        <w:tc>
          <w:tcPr>
            <w:tcW w:type="dxa" w:w="1661"/>
          </w:tcPr>
          <w:p>
            <w:pPr>
              <w:pStyle w:val="null3"/>
            </w:pPr>
            <w:r>
              <w:rPr>
                <w:rFonts w:ascii="仿宋_GB2312" w:hAnsi="仿宋_GB2312" w:cs="仿宋_GB2312" w:eastAsia="仿宋_GB2312"/>
              </w:rPr>
              <w:t>投标函 投标人应提交的相关资格证明材料 供应商认为需提供的其他资料.pdf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无其他做无效投标处理的情况</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监狱企业的证明文件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评审内容：①活动策划方案②工作思路③内容安排 评审标准：切合本项目实际情况，内容与要点相符、每个要点均有展开详细的阐述且能够适用于本项目的得15分；评审内容任意一项缺项扣5分；评审内容每一项存在1 处缺陷扣1分，扣完为止。（缺陷是指：方案粗略、逻辑混乱、描述过于简单、与项目特点不匹配、凭空编造、逻辑漏洞、出现常识性错误、套用其他项目方案、存在不可能实现的夸大情形、存在不适用项目实际情况的情形或只有标题没有实质性内容）扣1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总体执行方案</w:t>
            </w:r>
          </w:p>
        </w:tc>
        <w:tc>
          <w:tcPr>
            <w:tcW w:type="dxa" w:w="2492"/>
          </w:tcPr>
          <w:p>
            <w:pPr>
              <w:pStyle w:val="null3"/>
            </w:pPr>
            <w:r>
              <w:rPr>
                <w:rFonts w:ascii="仿宋_GB2312" w:hAnsi="仿宋_GB2312" w:cs="仿宋_GB2312" w:eastAsia="仿宋_GB2312"/>
              </w:rPr>
              <w:t>评审内容①团队组建方案②圣火采集及运行的实施方案③火炬传递实施方案④人员培训方案⑤模拟演练实施方案 评审标准：切合本项目实际情况，内容与要点相符、每个要点均有展开详细的阐述且能够适用于本项目的得15分；评审内容任意一项缺项扣3分；评审内容每一项存在1 处缺陷扣1分，扣完为止。（缺陷是指：方案粗略、逻辑混乱、描述过于简单、与项目特点不匹配、凭空编造、逻辑漏洞、出现常识性错误、套用其他项目方案、存在不可能实现的夸大情形、存在不适用项目实际情况的情形或只有标题没有实质性内容）</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评审内容：①火炬传递系列活动现场突发情况应急方案②运维保障服务方案③撤场方案。 评审标准：切合本项目实际情况，内容与要点相符、每个要点均有展开详细的阐述且能够适用于本项目的得15分；评审内容任意一项缺项扣5分；评审内容每一项存在1 处缺陷扣1分，扣完为止。（缺陷是指：方案粗略、逻辑混乱、描述过于简单、与项目特点不匹配、凭空编造、逻辑漏洞、出现常识性错误、套用其他项目方案、存在不可能实现的夸大情形、存在不适用项目实际情况的情形或只有标题没有实质性内容）</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根据供应商对项目的质量保证措施内容评分，包括①质量保证措施②安全防范措施③综合保障方案。 评审标准：切合本项目实际情况，内容与要点相符、每个要点均有展开详细的阐述且能够适用于本项目的得15分；评审内容任意一项缺项扣5分；评审内容每一项存在1 处缺陷扣1分，扣完为止。（缺陷是指：方案粗略、逻辑混乱、描述过于简单、与项目特点不匹配、凭空编造、逻辑漏洞、出现常识性错误、套用其他项目方案、存在不可能实现的夸大情形、存在不适用项目实际情况的情形或只有标题没有实质性内容）</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评审内容①进度安排②进度保障措施 评审标准：切合本项目实际情况，内容与要点相符、每个要点均有展开详细的阐述且能够适用于本项目的得10分；评审内容任意一项缺项扣5分；评审内容每一项存在1 处缺陷扣1分，扣完为止。（缺陷是指：方案粗略、逻辑混乱、描述过于简单、与项目特点不匹配、凭空编造、逻辑漏洞、出现常识性错误、套用其他项目方案、存在不可能实现的夸大情形、存在不适用项目实际情况的情形或只有标题没有实质性内容）</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近三年（2023年05月01日至今，以签订合同的时间为准）承担过1项类似项目业绩得5分，每增加1项得2.5分，满分10分。 注：以合同签订时间为准，提供的业绩复印件须清晰可辨，复印模糊无法辨认的将不予评分，未提供不得分。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1、配置不少于 10 人，得 2 分，每增加1 人得1 分，满分6分。 2、项目实施团队人员具有省级（含）以上综合性体育赛会火炬传递运行团队经验，需提供工作岗位履历、赛会证件等证明资料，每提供 1 人得 2 分，满分 4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1.经初审合格的响应文件，其投标报价为有效投标报价，并对有效投标报价进行政策性扣减，并依据扣减后的价格(评审价格)进行价格评审。 2.满足招标文件实质性要求且最终报价最低的投标人的价格为投标基准价，其价格分为满分 10 分。 3.投标报价得分=(投标基准价/投标报价)×10 的公式计算得分。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详见附件：供应商认为需提供的其他资料.pdf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