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CF8F27">
      <w:pPr>
        <w:pStyle w:val="4"/>
        <w:ind w:firstLine="402"/>
      </w:pPr>
      <w:r>
        <w:rPr>
          <w:rFonts w:ascii="仿宋_GB2312" w:hAnsi="仿宋_GB2312" w:eastAsia="仿宋_GB2312" w:cs="仿宋_GB2312"/>
          <w:b/>
          <w:sz w:val="21"/>
        </w:rPr>
        <w:t>一、最高限价编制说明</w:t>
      </w:r>
    </w:p>
    <w:p w14:paraId="7EFE5725">
      <w:pPr>
        <w:pStyle w:val="4"/>
        <w:ind w:firstLine="402"/>
      </w:pPr>
      <w:r>
        <w:rPr>
          <w:rFonts w:ascii="仿宋_GB2312" w:hAnsi="仿宋_GB2312" w:eastAsia="仿宋_GB2312" w:cs="仿宋_GB2312"/>
          <w:b/>
          <w:sz w:val="21"/>
        </w:rPr>
        <w:t>（一）工程概况</w:t>
      </w:r>
    </w:p>
    <w:p w14:paraId="5D4FAFE4">
      <w:pPr>
        <w:pStyle w:val="4"/>
        <w:ind w:firstLine="400"/>
      </w:pPr>
      <w:r>
        <w:rPr>
          <w:rFonts w:ascii="仿宋_GB2312" w:hAnsi="仿宋_GB2312" w:eastAsia="仿宋_GB2312" w:cs="仿宋_GB2312"/>
          <w:sz w:val="21"/>
        </w:rPr>
        <w:t>“风雨操场负一层室内改造项目”位于西安市长安区郭杜北街19号。</w:t>
      </w:r>
    </w:p>
    <w:p w14:paraId="6B038E71">
      <w:pPr>
        <w:pStyle w:val="4"/>
        <w:ind w:firstLine="400"/>
      </w:pPr>
      <w:r>
        <w:rPr>
          <w:rFonts w:ascii="仿宋_GB2312" w:hAnsi="仿宋_GB2312" w:eastAsia="仿宋_GB2312" w:cs="仿宋_GB2312"/>
          <w:sz w:val="21"/>
        </w:rPr>
        <w:t>该工程建设单位是：陕西开放大学。</w:t>
      </w:r>
    </w:p>
    <w:p w14:paraId="05462665">
      <w:pPr>
        <w:pStyle w:val="4"/>
        <w:ind w:firstLine="402"/>
      </w:pPr>
      <w:r>
        <w:rPr>
          <w:rFonts w:ascii="仿宋_GB2312" w:hAnsi="仿宋_GB2312" w:eastAsia="仿宋_GB2312" w:cs="仿宋_GB2312"/>
          <w:b/>
          <w:sz w:val="21"/>
        </w:rPr>
        <w:t>（二）编制范围</w:t>
      </w:r>
    </w:p>
    <w:p w14:paraId="7C6A4E0E">
      <w:pPr>
        <w:pStyle w:val="4"/>
        <w:ind w:firstLine="400"/>
      </w:pPr>
      <w:r>
        <w:rPr>
          <w:rFonts w:ascii="仿宋_GB2312" w:hAnsi="仿宋_GB2312" w:eastAsia="仿宋_GB2312" w:cs="仿宋_GB2312"/>
          <w:sz w:val="21"/>
        </w:rPr>
        <w:t>本次编制范围包括：陕西开放大学风雨操场负一层室内改造项目施工图包含的拆除工程、新建工程、精装修工程及电气工程等全部内容。</w:t>
      </w:r>
    </w:p>
    <w:p w14:paraId="0E0C3721">
      <w:pPr>
        <w:pStyle w:val="4"/>
        <w:ind w:firstLine="402"/>
      </w:pPr>
      <w:r>
        <w:rPr>
          <w:rFonts w:ascii="仿宋_GB2312" w:hAnsi="仿宋_GB2312" w:eastAsia="仿宋_GB2312" w:cs="仿宋_GB2312"/>
          <w:b/>
          <w:sz w:val="21"/>
        </w:rPr>
        <w:t>（三）编制依据</w:t>
      </w:r>
    </w:p>
    <w:p w14:paraId="60A6A528">
      <w:pPr>
        <w:pStyle w:val="4"/>
        <w:ind w:firstLine="400"/>
      </w:pPr>
      <w:r>
        <w:rPr>
          <w:rFonts w:ascii="仿宋_GB2312" w:hAnsi="仿宋_GB2312" w:eastAsia="仿宋_GB2312" w:cs="仿宋_GB2312"/>
          <w:sz w:val="21"/>
        </w:rPr>
        <w:t>建设工程规范标准、设计施工图纸、磋商文件等；</w:t>
      </w:r>
    </w:p>
    <w:p w14:paraId="4B7AAEC8">
      <w:pPr>
        <w:pStyle w:val="4"/>
        <w:ind w:firstLine="400"/>
      </w:pPr>
      <w:r>
        <w:rPr>
          <w:rFonts w:ascii="仿宋_GB2312" w:hAnsi="仿宋_GB2312" w:eastAsia="仿宋_GB2312" w:cs="仿宋_GB2312"/>
          <w:sz w:val="21"/>
        </w:rPr>
        <w:t>《陕西省建设工程工程量清单计价标准计算标准》(2025)；</w:t>
      </w:r>
    </w:p>
    <w:p w14:paraId="72E85C59">
      <w:pPr>
        <w:pStyle w:val="4"/>
        <w:ind w:firstLine="400"/>
      </w:pPr>
      <w:r>
        <w:rPr>
          <w:rFonts w:ascii="仿宋_GB2312" w:hAnsi="仿宋_GB2312" w:eastAsia="仿宋_GB2312" w:cs="仿宋_GB2312"/>
          <w:sz w:val="21"/>
        </w:rPr>
        <w:t>《陕西省房屋建筑与装饰工程基价表》(2025)；</w:t>
      </w:r>
    </w:p>
    <w:p w14:paraId="61BAD42F">
      <w:pPr>
        <w:pStyle w:val="4"/>
        <w:ind w:firstLine="400"/>
      </w:pPr>
      <w:r>
        <w:rPr>
          <w:rFonts w:ascii="仿宋_GB2312" w:hAnsi="仿宋_GB2312" w:eastAsia="仿宋_GB2312" w:cs="仿宋_GB2312"/>
          <w:sz w:val="21"/>
        </w:rPr>
        <w:t>《陕西省通用安装工程基价表》(2025)；</w:t>
      </w:r>
    </w:p>
    <w:p w14:paraId="6FF25E23">
      <w:pPr>
        <w:pStyle w:val="4"/>
        <w:ind w:firstLine="400"/>
      </w:pPr>
      <w:r>
        <w:rPr>
          <w:rFonts w:ascii="仿宋_GB2312" w:hAnsi="仿宋_GB2312" w:eastAsia="仿宋_GB2312" w:cs="仿宋_GB2312"/>
          <w:sz w:val="21"/>
        </w:rPr>
        <w:t>《陕西省房屋建筑与装饰工程消耗量定额》(2025)、《陕西省通用安装工程消耗量定额》(2025)；</w:t>
      </w:r>
    </w:p>
    <w:p w14:paraId="672E9953">
      <w:pPr>
        <w:pStyle w:val="4"/>
        <w:ind w:firstLine="400"/>
      </w:pPr>
      <w:r>
        <w:rPr>
          <w:rFonts w:ascii="仿宋_GB2312" w:hAnsi="仿宋_GB2312" w:eastAsia="仿宋_GB2312" w:cs="仿宋_GB2312"/>
          <w:sz w:val="21"/>
        </w:rPr>
        <w:t>《陕西省建设工程费用规则》（2025）；</w:t>
      </w:r>
    </w:p>
    <w:p w14:paraId="639385AE">
      <w:pPr>
        <w:pStyle w:val="4"/>
        <w:ind w:firstLine="400"/>
      </w:pPr>
      <w:r>
        <w:rPr>
          <w:rFonts w:ascii="仿宋_GB2312" w:hAnsi="仿宋_GB2312" w:eastAsia="仿宋_GB2312" w:cs="仿宋_GB2312"/>
          <w:sz w:val="21"/>
        </w:rPr>
        <w:t>正常施工组织设计及施工方法；</w:t>
      </w:r>
    </w:p>
    <w:p w14:paraId="20412519">
      <w:pPr>
        <w:pStyle w:val="4"/>
        <w:ind w:firstLine="400"/>
      </w:pPr>
      <w:r>
        <w:rPr>
          <w:rFonts w:ascii="仿宋_GB2312" w:hAnsi="仿宋_GB2312" w:eastAsia="仿宋_GB2312" w:cs="仿宋_GB2312"/>
          <w:sz w:val="21"/>
        </w:rPr>
        <w:t>施工规范及验收规范；</w:t>
      </w:r>
    </w:p>
    <w:p w14:paraId="6503B2F7">
      <w:pPr>
        <w:pStyle w:val="4"/>
        <w:ind w:firstLine="400"/>
      </w:pPr>
      <w:r>
        <w:rPr>
          <w:rFonts w:ascii="仿宋_GB2312" w:hAnsi="仿宋_GB2312" w:eastAsia="仿宋_GB2312" w:cs="仿宋_GB2312"/>
          <w:sz w:val="21"/>
        </w:rPr>
        <w:t>施工设计图中选用的相关标准图集；</w:t>
      </w:r>
    </w:p>
    <w:p w14:paraId="3F09FCBB">
      <w:pPr>
        <w:pStyle w:val="4"/>
        <w:ind w:firstLine="400"/>
      </w:pPr>
      <w:r>
        <w:rPr>
          <w:rFonts w:ascii="仿宋_GB2312" w:hAnsi="仿宋_GB2312" w:eastAsia="仿宋_GB2312" w:cs="仿宋_GB2312"/>
          <w:sz w:val="21"/>
        </w:rPr>
        <w:t>常规的施工组织设计、施工方法及相关标准图集、施工规范、验收规范</w:t>
      </w:r>
    </w:p>
    <w:p w14:paraId="32A1F66D">
      <w:pPr>
        <w:pStyle w:val="4"/>
        <w:ind w:firstLine="402"/>
      </w:pPr>
      <w:r>
        <w:rPr>
          <w:rFonts w:ascii="仿宋_GB2312" w:hAnsi="仿宋_GB2312" w:eastAsia="仿宋_GB2312" w:cs="仿宋_GB2312"/>
          <w:b/>
          <w:sz w:val="21"/>
        </w:rPr>
        <w:t>（四）编制方法</w:t>
      </w:r>
    </w:p>
    <w:p w14:paraId="10B62FA7">
      <w:pPr>
        <w:pStyle w:val="4"/>
        <w:ind w:firstLine="400"/>
      </w:pPr>
      <w:r>
        <w:rPr>
          <w:rFonts w:ascii="仿宋_GB2312" w:hAnsi="仿宋_GB2312" w:eastAsia="仿宋_GB2312" w:cs="仿宋_GB2312"/>
          <w:sz w:val="21"/>
        </w:rPr>
        <w:t>分部分项工程费用计价采用单价法；措施项目分别采用单价法和费率法，对于可计量部分的措施项目参照分部分项工程费用的计算方法采用单价法计价，对于以项计量或综合取定的措施费用采用费率法；其他项目费按项目实际情况列项；规费、税金采用费率法编制。</w:t>
      </w:r>
    </w:p>
    <w:p w14:paraId="2B56C381">
      <w:pPr>
        <w:pStyle w:val="4"/>
        <w:ind w:firstLine="402"/>
      </w:pPr>
      <w:r>
        <w:rPr>
          <w:rFonts w:ascii="仿宋_GB2312" w:hAnsi="仿宋_GB2312" w:eastAsia="仿宋_GB2312" w:cs="仿宋_GB2312"/>
          <w:b/>
          <w:sz w:val="21"/>
        </w:rPr>
        <w:t>（五）有关材料、设备、参数和费用的说明</w:t>
      </w:r>
    </w:p>
    <w:p w14:paraId="564EB500">
      <w:pPr>
        <w:pStyle w:val="4"/>
        <w:ind w:firstLine="400"/>
      </w:pPr>
      <w:r>
        <w:rPr>
          <w:rFonts w:ascii="仿宋_GB2312" w:hAnsi="仿宋_GB2312" w:eastAsia="仿宋_GB2312" w:cs="仿宋_GB2312"/>
          <w:sz w:val="21"/>
        </w:rPr>
        <w:t>1.本项目材料信息价执行陕西省2026年第4月信息价，无信息价的材料按同时期市场价计入；</w:t>
      </w:r>
    </w:p>
    <w:p w14:paraId="5432578A">
      <w:pPr>
        <w:pStyle w:val="4"/>
        <w:ind w:firstLine="402"/>
      </w:pPr>
      <w:r>
        <w:rPr>
          <w:rFonts w:ascii="仿宋_GB2312" w:hAnsi="仿宋_GB2312" w:eastAsia="仿宋_GB2312" w:cs="仿宋_GB2312"/>
          <w:b/>
          <w:sz w:val="21"/>
        </w:rPr>
        <w:t>（六）其他有关问题的说明</w:t>
      </w:r>
    </w:p>
    <w:p w14:paraId="14790EB3">
      <w:pPr>
        <w:pStyle w:val="4"/>
        <w:ind w:firstLine="400"/>
      </w:pPr>
      <w:r>
        <w:rPr>
          <w:rFonts w:ascii="仿宋_GB2312" w:hAnsi="仿宋_GB2312" w:eastAsia="仿宋_GB2312" w:cs="仿宋_GB2312"/>
          <w:sz w:val="21"/>
        </w:rPr>
        <w:t>云梯训练器材、钢网需定制，规格尺寸未明确，限价以暂定计入。</w:t>
      </w:r>
    </w:p>
    <w:p w14:paraId="2F502CAC">
      <w:pPr>
        <w:pStyle w:val="4"/>
        <w:ind w:firstLine="402"/>
      </w:pPr>
      <w:r>
        <w:rPr>
          <w:rFonts w:ascii="仿宋_GB2312" w:hAnsi="仿宋_GB2312" w:eastAsia="仿宋_GB2312" w:cs="仿宋_GB2312"/>
          <w:b/>
          <w:sz w:val="21"/>
        </w:rPr>
        <w:t>（七）暂列金</w:t>
      </w:r>
    </w:p>
    <w:p w14:paraId="316D44D8">
      <w:pPr>
        <w:pStyle w:val="4"/>
        <w:ind w:firstLine="400"/>
      </w:pPr>
      <w:r>
        <w:rPr>
          <w:rFonts w:ascii="仿宋_GB2312" w:hAnsi="仿宋_GB2312" w:eastAsia="仿宋_GB2312" w:cs="仿宋_GB2312"/>
          <w:sz w:val="21"/>
        </w:rPr>
        <w:t>暂列金额：110000元</w:t>
      </w:r>
    </w:p>
    <w:p w14:paraId="5406E71C">
      <w:pPr>
        <w:pStyle w:val="4"/>
        <w:ind w:firstLine="402"/>
      </w:pPr>
      <w:r>
        <w:rPr>
          <w:rFonts w:ascii="仿宋_GB2312" w:hAnsi="仿宋_GB2312" w:eastAsia="仿宋_GB2312" w:cs="仿宋_GB2312"/>
          <w:b/>
          <w:sz w:val="21"/>
        </w:rPr>
        <w:t>（八）编制使用软件</w:t>
      </w:r>
    </w:p>
    <w:p w14:paraId="708ABEE6">
      <w:pPr>
        <w:pStyle w:val="4"/>
        <w:ind w:firstLine="400"/>
      </w:pPr>
      <w:r>
        <w:rPr>
          <w:rFonts w:ascii="仿宋_GB2312" w:hAnsi="仿宋_GB2312" w:eastAsia="仿宋_GB2312" w:cs="仿宋_GB2312"/>
          <w:sz w:val="21"/>
        </w:rPr>
        <w:t>广联达云计价平台GCCP7.0（版本号7.5000.23.3）。</w:t>
      </w:r>
    </w:p>
    <w:p w14:paraId="4E2DCFEB">
      <w:pPr>
        <w:pStyle w:val="4"/>
        <w:ind w:firstLine="402"/>
      </w:pPr>
      <w:r>
        <w:rPr>
          <w:rFonts w:ascii="仿宋_GB2312" w:hAnsi="仿宋_GB2312" w:eastAsia="仿宋_GB2312" w:cs="仿宋_GB2312"/>
          <w:b/>
          <w:sz w:val="21"/>
        </w:rPr>
        <w:t>二、最高限价</w:t>
      </w:r>
    </w:p>
    <w:p w14:paraId="3296EA9E">
      <w:pPr>
        <w:pStyle w:val="4"/>
        <w:ind w:firstLine="400"/>
      </w:pPr>
      <w:r>
        <w:rPr>
          <w:rFonts w:ascii="仿宋_GB2312" w:hAnsi="仿宋_GB2312" w:eastAsia="仿宋_GB2312" w:cs="仿宋_GB2312"/>
          <w:sz w:val="21"/>
        </w:rPr>
        <w:t>小写：1417707.98元（大写：人民币壹佰肆拾壹万柒仟柒佰零柒元玖角捌分）</w:t>
      </w:r>
    </w:p>
    <w:p w14:paraId="703D1009">
      <w:pPr>
        <w:pStyle w:val="4"/>
        <w:ind w:firstLine="402"/>
      </w:pPr>
      <w:r>
        <w:rPr>
          <w:rFonts w:ascii="仿宋_GB2312" w:hAnsi="仿宋_GB2312" w:eastAsia="仿宋_GB2312" w:cs="仿宋_GB2312"/>
          <w:b/>
          <w:sz w:val="21"/>
        </w:rPr>
        <w:t>三、工程量清单及图纸</w:t>
      </w:r>
    </w:p>
    <w:p w14:paraId="0EE91B24">
      <w:pPr>
        <w:pStyle w:val="4"/>
        <w:ind w:firstLine="400"/>
      </w:pPr>
      <w:r>
        <w:rPr>
          <w:rFonts w:ascii="仿宋_GB2312" w:hAnsi="仿宋_GB2312" w:eastAsia="仿宋_GB2312" w:cs="仿宋_GB2312"/>
          <w:sz w:val="21"/>
        </w:rPr>
        <w:t>（一）工程量清单：另册提供。</w:t>
      </w:r>
    </w:p>
    <w:p w14:paraId="5113B307">
      <w:pPr>
        <w:pStyle w:val="4"/>
        <w:ind w:firstLine="400"/>
      </w:pPr>
      <w:r>
        <w:rPr>
          <w:rFonts w:ascii="仿宋_GB2312" w:hAnsi="仿宋_GB2312" w:eastAsia="仿宋_GB2312" w:cs="仿宋_GB2312"/>
          <w:sz w:val="21"/>
        </w:rPr>
        <w:t>（二）设计图纸：另册提供。</w:t>
      </w:r>
    </w:p>
    <w:p w14:paraId="3BC4EE14">
      <w:pPr>
        <w:pStyle w:val="4"/>
        <w:ind w:firstLine="400"/>
      </w:pPr>
      <w:r>
        <w:rPr>
          <w:rFonts w:ascii="仿宋_GB2312" w:hAnsi="仿宋_GB2312" w:eastAsia="仿宋_GB2312" w:cs="仿宋_GB2312"/>
          <w:sz w:val="21"/>
        </w:rPr>
        <w:t>（三）部分材料参数及施工要求。（此部分与设计图纸不一致时，以高标准执行）。</w:t>
      </w:r>
    </w:p>
    <w:p w14:paraId="07476AF8">
      <w:pPr>
        <w:pStyle w:val="4"/>
        <w:ind w:firstLine="402"/>
      </w:pPr>
      <w:r>
        <w:rPr>
          <w:rFonts w:ascii="仿宋_GB2312" w:hAnsi="仿宋_GB2312" w:eastAsia="仿宋_GB2312" w:cs="仿宋_GB2312"/>
          <w:b/>
          <w:sz w:val="21"/>
        </w:rPr>
        <w:t>四、工期</w:t>
      </w:r>
      <w:r>
        <w:rPr>
          <w:rFonts w:ascii="仿宋_GB2312" w:hAnsi="仿宋_GB2312" w:eastAsia="仿宋_GB2312" w:cs="仿宋_GB2312"/>
          <w:sz w:val="21"/>
        </w:rPr>
        <w:t>：90日历日。</w:t>
      </w:r>
    </w:p>
    <w:p w14:paraId="6A4A4F6D">
      <w:pPr>
        <w:pStyle w:val="4"/>
        <w:ind w:firstLine="402"/>
      </w:pPr>
      <w:r>
        <w:rPr>
          <w:rFonts w:ascii="仿宋_GB2312" w:hAnsi="仿宋_GB2312" w:eastAsia="仿宋_GB2312" w:cs="仿宋_GB2312"/>
          <w:b/>
          <w:sz w:val="21"/>
        </w:rPr>
        <w:t>五、质保期：</w:t>
      </w:r>
      <w:r>
        <w:rPr>
          <w:rFonts w:ascii="仿宋_GB2312" w:hAnsi="仿宋_GB2312" w:eastAsia="仿宋_GB2312" w:cs="仿宋_GB2312"/>
          <w:sz w:val="21"/>
        </w:rPr>
        <w:t>项目验收合格后两年。</w:t>
      </w:r>
    </w:p>
    <w:p w14:paraId="1E60F3BB">
      <w:pPr>
        <w:pStyle w:val="4"/>
        <w:ind w:firstLine="402"/>
      </w:pPr>
      <w:r>
        <w:rPr>
          <w:rFonts w:ascii="仿宋_GB2312" w:hAnsi="仿宋_GB2312" w:eastAsia="仿宋_GB2312" w:cs="仿宋_GB2312"/>
          <w:b/>
          <w:sz w:val="21"/>
        </w:rPr>
        <w:t>六、质量要求：</w:t>
      </w:r>
      <w:r>
        <w:rPr>
          <w:rFonts w:ascii="仿宋_GB2312" w:hAnsi="仿宋_GB2312" w:eastAsia="仿宋_GB2312" w:cs="仿宋_GB2312"/>
          <w:sz w:val="21"/>
        </w:rPr>
        <w:t>合格（达到国家强制性合格标准）并达到采购人采购需求。</w:t>
      </w:r>
    </w:p>
    <w:p w14:paraId="6EF9BB41">
      <w:pPr>
        <w:pStyle w:val="4"/>
        <w:ind w:firstLine="402"/>
      </w:pPr>
      <w:r>
        <w:rPr>
          <w:rFonts w:ascii="仿宋_GB2312" w:hAnsi="仿宋_GB2312" w:eastAsia="仿宋_GB2312" w:cs="仿宋_GB2312"/>
          <w:b/>
          <w:sz w:val="21"/>
        </w:rPr>
        <w:t>七、付款方式</w:t>
      </w:r>
    </w:p>
    <w:p w14:paraId="101DA047">
      <w:pPr>
        <w:pStyle w:val="4"/>
        <w:ind w:firstLine="400"/>
      </w:pPr>
      <w:r>
        <w:rPr>
          <w:rFonts w:ascii="仿宋_GB2312" w:hAnsi="仿宋_GB2312" w:eastAsia="仿宋_GB2312" w:cs="仿宋_GB2312"/>
          <w:sz w:val="21"/>
        </w:rPr>
        <w:t>（一）合同签订、施工队伍及主要材料全部进场并经甲方现场核验合格后5个工作日内，支付合同总价款的40%；</w:t>
      </w:r>
    </w:p>
    <w:p w14:paraId="7005E579">
      <w:pPr>
        <w:pStyle w:val="4"/>
        <w:ind w:firstLine="400"/>
      </w:pPr>
      <w:r>
        <w:rPr>
          <w:rFonts w:ascii="仿宋_GB2312" w:hAnsi="仿宋_GB2312" w:eastAsia="仿宋_GB2312" w:cs="仿宋_GB2312"/>
          <w:sz w:val="21"/>
        </w:rPr>
        <w:t>（二）工程全部完工、甲方组织竣工验收合格且乙方提交完整竣工图纸、验收资料后10个工作日内，支付至合同总价款的85%；</w:t>
      </w:r>
    </w:p>
    <w:p w14:paraId="4C6DB581">
      <w:pPr>
        <w:pStyle w:val="4"/>
        <w:ind w:firstLine="400"/>
      </w:pPr>
      <w:r>
        <w:rPr>
          <w:rFonts w:ascii="仿宋_GB2312" w:hAnsi="仿宋_GB2312" w:eastAsia="仿宋_GB2312" w:cs="仿宋_GB2312"/>
          <w:sz w:val="21"/>
        </w:rPr>
        <w:t>（三）双方完成竣工结算审计、确认最终结算总价且乙方开具全额发票后15 个工作日内，一次性支付至审计结算总价的 100%。</w:t>
      </w:r>
    </w:p>
    <w:p w14:paraId="39F8A6F0">
      <w:pPr>
        <w:pStyle w:val="4"/>
        <w:ind w:firstLine="402"/>
      </w:pPr>
      <w:r>
        <w:rPr>
          <w:rFonts w:ascii="仿宋_GB2312" w:hAnsi="仿宋_GB2312" w:eastAsia="仿宋_GB2312" w:cs="仿宋_GB2312"/>
          <w:b/>
          <w:sz w:val="21"/>
        </w:rPr>
        <w:t>八、技术参数要求</w:t>
      </w:r>
    </w:p>
    <w:p w14:paraId="5DB8FC3A">
      <w:pPr>
        <w:pStyle w:val="4"/>
        <w:ind w:firstLine="402"/>
      </w:pPr>
      <w:r>
        <w:rPr>
          <w:rFonts w:ascii="仿宋_GB2312" w:hAnsi="仿宋_GB2312" w:eastAsia="仿宋_GB2312" w:cs="仿宋_GB2312"/>
          <w:b/>
          <w:sz w:val="21"/>
        </w:rPr>
        <w:t>（一）PVC地胶系统</w:t>
      </w:r>
    </w:p>
    <w:p w14:paraId="251C63E0">
      <w:pPr>
        <w:pStyle w:val="4"/>
        <w:ind w:firstLine="420"/>
      </w:pPr>
      <w:r>
        <w:rPr>
          <w:rFonts w:ascii="仿宋_GB2312" w:hAnsi="仿宋_GB2312" w:eastAsia="仿宋_GB2312" w:cs="仿宋_GB2312"/>
          <w:sz w:val="21"/>
        </w:rPr>
        <w:t>1.邵氏硬度70-90度（邵A）</w:t>
      </w:r>
    </w:p>
    <w:p w14:paraId="5C68D284">
      <w:pPr>
        <w:pStyle w:val="4"/>
        <w:ind w:firstLine="420"/>
      </w:pPr>
      <w:r>
        <w:rPr>
          <w:rFonts w:ascii="仿宋_GB2312" w:hAnsi="仿宋_GB2312" w:eastAsia="仿宋_GB2312" w:cs="仿宋_GB2312"/>
          <w:sz w:val="21"/>
        </w:rPr>
        <w:t>2.拉伸强度≥2.0MPa</w:t>
      </w:r>
    </w:p>
    <w:p w14:paraId="58C21F64">
      <w:pPr>
        <w:pStyle w:val="4"/>
        <w:ind w:firstLine="420"/>
      </w:pPr>
      <w:r>
        <w:rPr>
          <w:rFonts w:ascii="仿宋_GB2312" w:hAnsi="仿宋_GB2312" w:eastAsia="仿宋_GB2312" w:cs="仿宋_GB2312"/>
          <w:sz w:val="21"/>
        </w:rPr>
        <w:t>3.拉伸伸长率≥120%</w:t>
      </w:r>
    </w:p>
    <w:p w14:paraId="02629180">
      <w:pPr>
        <w:pStyle w:val="4"/>
        <w:ind w:firstLine="420"/>
      </w:pPr>
      <w:r>
        <w:rPr>
          <w:rFonts w:ascii="仿宋_GB2312" w:hAnsi="仿宋_GB2312" w:eastAsia="仿宋_GB2312" w:cs="仿宋_GB2312"/>
          <w:sz w:val="21"/>
        </w:rPr>
        <w:t>4.面质量偏差±3%</w:t>
      </w:r>
    </w:p>
    <w:p w14:paraId="4C4AEF40">
      <w:pPr>
        <w:pStyle w:val="4"/>
        <w:ind w:firstLine="420"/>
      </w:pPr>
      <w:r>
        <w:rPr>
          <w:rFonts w:ascii="仿宋_GB2312" w:hAnsi="仿宋_GB2312" w:eastAsia="仿宋_GB2312" w:cs="仿宋_GB2312"/>
          <w:sz w:val="21"/>
        </w:rPr>
        <w:t>5.加热尺寸变化率（纵向，横向）≤0.4%</w:t>
      </w:r>
    </w:p>
    <w:p w14:paraId="0AFAAE35">
      <w:pPr>
        <w:pStyle w:val="4"/>
        <w:ind w:firstLine="420"/>
      </w:pPr>
      <w:r>
        <w:rPr>
          <w:rFonts w:ascii="仿宋_GB2312" w:hAnsi="仿宋_GB2312" w:eastAsia="仿宋_GB2312" w:cs="仿宋_GB2312"/>
          <w:sz w:val="21"/>
        </w:rPr>
        <w:t>6.耐磨性T级，体积损失≤0.030g（750g/500r）</w:t>
      </w:r>
    </w:p>
    <w:p w14:paraId="09E4FC31">
      <w:pPr>
        <w:pStyle w:val="4"/>
        <w:ind w:firstLine="420"/>
      </w:pPr>
      <w:r>
        <w:rPr>
          <w:rFonts w:ascii="仿宋_GB2312" w:hAnsi="仿宋_GB2312" w:eastAsia="仿宋_GB2312" w:cs="仿宋_GB2312"/>
          <w:sz w:val="21"/>
        </w:rPr>
        <w:t>7.焊接强度，平均值≥500N/50mm；最小值≥400N/50mm</w:t>
      </w:r>
    </w:p>
    <w:p w14:paraId="79A71844">
      <w:pPr>
        <w:pStyle w:val="4"/>
        <w:ind w:firstLine="420"/>
      </w:pPr>
      <w:r>
        <w:rPr>
          <w:rFonts w:ascii="仿宋_GB2312" w:hAnsi="仿宋_GB2312" w:eastAsia="仿宋_GB2312" w:cs="仿宋_GB2312"/>
          <w:sz w:val="21"/>
        </w:rPr>
        <w:t>8.防滑性(干法)≥0.60</w:t>
      </w:r>
    </w:p>
    <w:p w14:paraId="7558A93A">
      <w:pPr>
        <w:pStyle w:val="4"/>
        <w:ind w:firstLine="420"/>
      </w:pPr>
      <w:r>
        <w:rPr>
          <w:rFonts w:ascii="仿宋_GB2312" w:hAnsi="仿宋_GB2312" w:eastAsia="仿宋_GB2312" w:cs="仿宋_GB2312"/>
          <w:sz w:val="21"/>
        </w:rPr>
        <w:t>9.灰分含量≤0.2%</w:t>
      </w:r>
    </w:p>
    <w:p w14:paraId="623F0C4F">
      <w:pPr>
        <w:pStyle w:val="4"/>
        <w:ind w:firstLine="420"/>
      </w:pPr>
      <w:r>
        <w:rPr>
          <w:rFonts w:ascii="仿宋_GB2312" w:hAnsi="仿宋_GB2312" w:eastAsia="仿宋_GB2312" w:cs="仿宋_GB2312"/>
          <w:sz w:val="21"/>
        </w:rPr>
        <w:t>10.阻燃性能达到GB 8624-2012 B1（B）级，临界热辐射通量CHF≥8.0kW/㎡，20s内焰尖高度纵向、横向均≤150mm</w:t>
      </w:r>
    </w:p>
    <w:p w14:paraId="74EFCF81">
      <w:pPr>
        <w:pStyle w:val="4"/>
        <w:ind w:firstLine="420"/>
      </w:pPr>
      <w:r>
        <w:rPr>
          <w:rFonts w:ascii="仿宋_GB2312" w:hAnsi="仿宋_GB2312" w:eastAsia="仿宋_GB2312" w:cs="仿宋_GB2312"/>
          <w:sz w:val="21"/>
        </w:rPr>
        <w:t>11.可溶性重金属铅含量≤90mg/kg，可溶性重金属镉含量≤25mg/kg，铬≤60mg/kg，汞≤60mg/kg</w:t>
      </w:r>
    </w:p>
    <w:p w14:paraId="10BEE11C">
      <w:pPr>
        <w:pStyle w:val="4"/>
        <w:ind w:firstLine="420"/>
      </w:pPr>
      <w:r>
        <w:rPr>
          <w:rFonts w:ascii="仿宋_GB2312" w:hAnsi="仿宋_GB2312" w:eastAsia="仿宋_GB2312" w:cs="仿宋_GB2312"/>
          <w:sz w:val="21"/>
        </w:rPr>
        <w:t>12.甲醛含量：未检出</w:t>
      </w:r>
    </w:p>
    <w:p w14:paraId="2F6CB980">
      <w:pPr>
        <w:pStyle w:val="4"/>
        <w:ind w:firstLine="420"/>
      </w:pPr>
      <w:r>
        <w:rPr>
          <w:rFonts w:ascii="仿宋_GB2312" w:hAnsi="仿宋_GB2312" w:eastAsia="仿宋_GB2312" w:cs="仿宋_GB2312"/>
          <w:sz w:val="21"/>
        </w:rPr>
        <w:t>13.苯乙烯含量：未检出</w:t>
      </w:r>
    </w:p>
    <w:p w14:paraId="2799DF7E">
      <w:pPr>
        <w:pStyle w:val="4"/>
        <w:ind w:firstLine="420"/>
      </w:pPr>
      <w:r>
        <w:rPr>
          <w:rFonts w:ascii="仿宋_GB2312" w:hAnsi="仿宋_GB2312" w:eastAsia="仿宋_GB2312" w:cs="仿宋_GB2312"/>
          <w:sz w:val="21"/>
        </w:rPr>
        <w:t>14.挥发性有机物(VOC)含量≤80g/L，烷基酚聚氧乙烯醚(APEO)含量≤1000mg/kg</w:t>
      </w:r>
    </w:p>
    <w:p w14:paraId="6FA2054E">
      <w:pPr>
        <w:pStyle w:val="4"/>
        <w:ind w:firstLine="420"/>
      </w:pPr>
      <w:r>
        <w:rPr>
          <w:rFonts w:ascii="仿宋_GB2312" w:hAnsi="仿宋_GB2312" w:eastAsia="仿宋_GB2312" w:cs="仿宋_GB2312"/>
          <w:sz w:val="21"/>
        </w:rPr>
        <w:t>15.提供检测日期≥28天，甲苯、乙苯释放量（mg/m³）和释放速率mg/(m²·h)均未检出（提供国家认可的第三方检测机构出具的检测报告复印件）。</w:t>
      </w:r>
    </w:p>
    <w:p w14:paraId="4EBE5A56">
      <w:pPr>
        <w:pStyle w:val="4"/>
        <w:ind w:firstLine="422"/>
      </w:pPr>
      <w:r>
        <w:rPr>
          <w:rFonts w:ascii="仿宋_GB2312" w:hAnsi="仿宋_GB2312" w:eastAsia="仿宋_GB2312" w:cs="仿宋_GB2312"/>
          <w:b/>
          <w:sz w:val="21"/>
        </w:rPr>
        <w:t>16.▲提供耐酸耐碱循环处理（检测周期≥6000h），阻燃性达到B1级阻燃，耐磨性≤0.030g，抗滑值80-110（提供国家认可的第三方检测机构出具的检测报告复印件）。</w:t>
      </w:r>
    </w:p>
    <w:p w14:paraId="66C72488">
      <w:pPr>
        <w:pStyle w:val="4"/>
        <w:ind w:firstLine="422"/>
      </w:pPr>
      <w:r>
        <w:rPr>
          <w:rFonts w:ascii="仿宋_GB2312" w:hAnsi="仿宋_GB2312" w:eastAsia="仿宋_GB2312" w:cs="仿宋_GB2312"/>
          <w:b/>
          <w:sz w:val="21"/>
        </w:rPr>
        <w:t>17.▲提供耐环境应力开裂（检测起止日期≥6000h），达到破裂率0%（提供国家认可的第三方检测机构出具的检测报告复印件）。</w:t>
      </w:r>
    </w:p>
    <w:p w14:paraId="0A6CF940">
      <w:pPr>
        <w:pStyle w:val="4"/>
        <w:ind w:firstLine="422"/>
      </w:pPr>
      <w:r>
        <w:rPr>
          <w:rFonts w:ascii="仿宋_GB2312" w:hAnsi="仿宋_GB2312" w:eastAsia="仿宋_GB2312" w:cs="仿宋_GB2312"/>
          <w:b/>
          <w:sz w:val="21"/>
        </w:rPr>
        <w:t>18.▲提供耐人工气候（透过窗玻璃）老化（检测日期≥10000h），冲击吸收≥20%，抗滑值(20℃)//BPN 80-110（干测）（提供国家认可的第三方检测机构出具的检测报告复印件）。</w:t>
      </w:r>
    </w:p>
    <w:p w14:paraId="5F41D986">
      <w:pPr>
        <w:pStyle w:val="4"/>
        <w:ind w:firstLine="402"/>
      </w:pPr>
      <w:r>
        <w:rPr>
          <w:rFonts w:ascii="仿宋_GB2312" w:hAnsi="仿宋_GB2312" w:eastAsia="仿宋_GB2312" w:cs="仿宋_GB2312"/>
          <w:b/>
          <w:sz w:val="21"/>
        </w:rPr>
        <w:t>（二）丙烯酸运动地面</w:t>
      </w:r>
    </w:p>
    <w:p w14:paraId="207BDF0D">
      <w:pPr>
        <w:pStyle w:val="4"/>
        <w:ind w:firstLine="420"/>
      </w:pPr>
      <w:r>
        <w:rPr>
          <w:rFonts w:ascii="仿宋_GB2312" w:hAnsi="仿宋_GB2312" w:eastAsia="仿宋_GB2312" w:cs="仿宋_GB2312"/>
          <w:sz w:val="21"/>
        </w:rPr>
        <w:t>1.邵氏硬度70-90度（邵A）</w:t>
      </w:r>
    </w:p>
    <w:p w14:paraId="4976C595">
      <w:pPr>
        <w:pStyle w:val="4"/>
        <w:ind w:firstLine="420"/>
      </w:pPr>
      <w:r>
        <w:rPr>
          <w:rFonts w:ascii="仿宋_GB2312" w:hAnsi="仿宋_GB2312" w:eastAsia="仿宋_GB2312" w:cs="仿宋_GB2312"/>
          <w:sz w:val="21"/>
        </w:rPr>
        <w:t>2.拉伸强度：标准条件≥2.0MPa，浸水后≥2.0MPa</w:t>
      </w:r>
    </w:p>
    <w:p w14:paraId="0F9DB907">
      <w:pPr>
        <w:pStyle w:val="4"/>
        <w:ind w:firstLine="420"/>
      </w:pPr>
      <w:r>
        <w:rPr>
          <w:rFonts w:ascii="仿宋_GB2312" w:hAnsi="仿宋_GB2312" w:eastAsia="仿宋_GB2312" w:cs="仿宋_GB2312"/>
          <w:sz w:val="21"/>
        </w:rPr>
        <w:t>3.拉断伸长率≥120%</w:t>
      </w:r>
    </w:p>
    <w:p w14:paraId="3A774EFB">
      <w:pPr>
        <w:pStyle w:val="4"/>
        <w:ind w:firstLine="420"/>
      </w:pPr>
      <w:r>
        <w:rPr>
          <w:rFonts w:ascii="仿宋_GB2312" w:hAnsi="仿宋_GB2312" w:eastAsia="仿宋_GB2312" w:cs="仿宋_GB2312"/>
          <w:sz w:val="21"/>
        </w:rPr>
        <w:t>4.面质量偏差±3%</w:t>
      </w:r>
    </w:p>
    <w:p w14:paraId="1B0D3A67">
      <w:pPr>
        <w:pStyle w:val="4"/>
        <w:ind w:firstLine="420"/>
      </w:pPr>
      <w:r>
        <w:rPr>
          <w:rFonts w:ascii="仿宋_GB2312" w:hAnsi="仿宋_GB2312" w:eastAsia="仿宋_GB2312" w:cs="仿宋_GB2312"/>
          <w:sz w:val="21"/>
        </w:rPr>
        <w:t>5.加热尺寸变化率（纵向，横向）≤0.4%</w:t>
      </w:r>
    </w:p>
    <w:p w14:paraId="42289D66">
      <w:pPr>
        <w:pStyle w:val="4"/>
        <w:ind w:firstLine="420"/>
      </w:pPr>
      <w:r>
        <w:rPr>
          <w:rFonts w:ascii="仿宋_GB2312" w:hAnsi="仿宋_GB2312" w:eastAsia="仿宋_GB2312" w:cs="仿宋_GB2312"/>
          <w:sz w:val="21"/>
        </w:rPr>
        <w:t>6.耐磨性T级，体积损失≤0.030g（750g/500r）</w:t>
      </w:r>
    </w:p>
    <w:p w14:paraId="102E8707">
      <w:pPr>
        <w:pStyle w:val="4"/>
        <w:ind w:firstLine="420"/>
      </w:pPr>
      <w:r>
        <w:rPr>
          <w:rFonts w:ascii="仿宋_GB2312" w:hAnsi="仿宋_GB2312" w:eastAsia="仿宋_GB2312" w:cs="仿宋_GB2312"/>
          <w:sz w:val="21"/>
        </w:rPr>
        <w:t>7.焊接强度，平均值≥500N/50mm；最小值≥400N/50mm</w:t>
      </w:r>
    </w:p>
    <w:p w14:paraId="7A9E5A1E">
      <w:pPr>
        <w:pStyle w:val="4"/>
        <w:ind w:firstLine="420"/>
      </w:pPr>
      <w:r>
        <w:rPr>
          <w:rFonts w:ascii="仿宋_GB2312" w:hAnsi="仿宋_GB2312" w:eastAsia="仿宋_GB2312" w:cs="仿宋_GB2312"/>
          <w:sz w:val="21"/>
        </w:rPr>
        <w:t>8.防滑性(干法)≥0.60</w:t>
      </w:r>
    </w:p>
    <w:p w14:paraId="75303812">
      <w:pPr>
        <w:pStyle w:val="4"/>
        <w:ind w:firstLine="420"/>
      </w:pPr>
      <w:r>
        <w:rPr>
          <w:rFonts w:ascii="仿宋_GB2312" w:hAnsi="仿宋_GB2312" w:eastAsia="仿宋_GB2312" w:cs="仿宋_GB2312"/>
          <w:sz w:val="21"/>
        </w:rPr>
        <w:t>9.灰分含量≤0.2%</w:t>
      </w:r>
    </w:p>
    <w:p w14:paraId="48EC1D6D">
      <w:pPr>
        <w:pStyle w:val="4"/>
        <w:ind w:firstLine="420"/>
      </w:pPr>
      <w:r>
        <w:rPr>
          <w:rFonts w:ascii="仿宋_GB2312" w:hAnsi="仿宋_GB2312" w:eastAsia="仿宋_GB2312" w:cs="仿宋_GB2312"/>
          <w:sz w:val="21"/>
        </w:rPr>
        <w:t>10.耐水性（168h）：不起泡、不剥落，允许轻微变色，2h后恢复；耐碱性(20%NaOH,72h)、耐酸性(10%H₂SO₄,48h)、耐油性(120#溶剂油，72h)均不起泡、不剥落，允许轻微变色</w:t>
      </w:r>
    </w:p>
    <w:p w14:paraId="3D179529">
      <w:pPr>
        <w:pStyle w:val="4"/>
        <w:ind w:firstLine="420"/>
      </w:pPr>
      <w:r>
        <w:rPr>
          <w:rFonts w:ascii="仿宋_GB2312" w:hAnsi="仿宋_GB2312" w:eastAsia="仿宋_GB2312" w:cs="仿宋_GB2312"/>
          <w:sz w:val="21"/>
        </w:rPr>
        <w:t>11.铅笔硬度（擦伤）≥3H</w:t>
      </w:r>
    </w:p>
    <w:p w14:paraId="54DB4370">
      <w:pPr>
        <w:pStyle w:val="4"/>
        <w:ind w:firstLine="420"/>
      </w:pPr>
      <w:r>
        <w:rPr>
          <w:rFonts w:ascii="仿宋_GB2312" w:hAnsi="仿宋_GB2312" w:eastAsia="仿宋_GB2312" w:cs="仿宋_GB2312"/>
          <w:sz w:val="21"/>
        </w:rPr>
        <w:t>12.阻燃性能达到GB 8624-2012 B1（B）级，临界热辐射通量CHF≥8.0kW/㎡，20s内焰尖高度纵向、横向均≤150mm</w:t>
      </w:r>
    </w:p>
    <w:p w14:paraId="74308446">
      <w:pPr>
        <w:pStyle w:val="4"/>
        <w:ind w:firstLine="420"/>
      </w:pPr>
      <w:r>
        <w:rPr>
          <w:rFonts w:ascii="仿宋_GB2312" w:hAnsi="仿宋_GB2312" w:eastAsia="仿宋_GB2312" w:cs="仿宋_GB2312"/>
          <w:sz w:val="21"/>
        </w:rPr>
        <w:t>13.可溶性重金属铅含量≤90mg/kg，镉≤25mg/kg，铬≤60mg/kg，汞≤60mg/kg</w:t>
      </w:r>
    </w:p>
    <w:p w14:paraId="0C510DFC">
      <w:pPr>
        <w:pStyle w:val="4"/>
        <w:ind w:firstLine="420"/>
      </w:pPr>
      <w:r>
        <w:rPr>
          <w:rFonts w:ascii="仿宋_GB2312" w:hAnsi="仿宋_GB2312" w:eastAsia="仿宋_GB2312" w:cs="仿宋_GB2312"/>
          <w:sz w:val="21"/>
        </w:rPr>
        <w:t>14.甲醛含量≤50mg/kg，实测要求未检出；苯系物总和(限苯、甲苯、二甲苯(含乙苯))≤100mg/kg</w:t>
      </w:r>
    </w:p>
    <w:p w14:paraId="33513360">
      <w:pPr>
        <w:pStyle w:val="4"/>
        <w:ind w:firstLine="420"/>
      </w:pPr>
      <w:r>
        <w:rPr>
          <w:rFonts w:ascii="仿宋_GB2312" w:hAnsi="仿宋_GB2312" w:eastAsia="仿宋_GB2312" w:cs="仿宋_GB2312"/>
          <w:sz w:val="21"/>
        </w:rPr>
        <w:t>15.挥发性有机物(VOC)含量≤80g/L，烷基酚聚氧乙烯醚(APEO)含量≤1000mg/kg</w:t>
      </w:r>
    </w:p>
    <w:p w14:paraId="37F00130">
      <w:pPr>
        <w:pStyle w:val="4"/>
        <w:ind w:firstLine="420"/>
      </w:pPr>
      <w:r>
        <w:rPr>
          <w:rFonts w:ascii="仿宋_GB2312" w:hAnsi="仿宋_GB2312" w:eastAsia="仿宋_GB2312" w:cs="仿宋_GB2312"/>
          <w:sz w:val="21"/>
        </w:rPr>
        <w:t>16.提供检测日期≥28天，甲苯、乙苯释放量（mg/m³）和释放速率mg/(m²·h)均未检出（提供国家认可的第三方检测机构出具的检测报告复印件）。</w:t>
      </w:r>
    </w:p>
    <w:p w14:paraId="3490FAA8">
      <w:pPr>
        <w:pStyle w:val="4"/>
        <w:ind w:firstLine="422"/>
      </w:pPr>
      <w:r>
        <w:rPr>
          <w:rFonts w:ascii="仿宋_GB2312" w:hAnsi="仿宋_GB2312" w:eastAsia="仿宋_GB2312" w:cs="仿宋_GB2312"/>
          <w:b/>
          <w:sz w:val="21"/>
        </w:rPr>
        <w:t>17.▲提供耐酸耐碱循环处理（检测周期≥6000h），阻燃性达到B1级阻燃，耐磨性≤0.030g，抗滑值80-110（提供国家认可的第三方检测机构出具的检测报告复印件）。</w:t>
      </w:r>
    </w:p>
    <w:p w14:paraId="4AB23170">
      <w:pPr>
        <w:pStyle w:val="4"/>
        <w:ind w:firstLine="422"/>
      </w:pPr>
      <w:r>
        <w:rPr>
          <w:rFonts w:ascii="仿宋_GB2312" w:hAnsi="仿宋_GB2312" w:eastAsia="仿宋_GB2312" w:cs="仿宋_GB2312"/>
          <w:b/>
          <w:sz w:val="21"/>
        </w:rPr>
        <w:t>18.▲提供耐环境应力开裂（检测起止日期≥6000h），达到破裂率0%（提供国家认可的第三方检测机构出具的检测报告复印件）。</w:t>
      </w:r>
    </w:p>
    <w:p w14:paraId="402F1EE0">
      <w:pPr>
        <w:pStyle w:val="4"/>
        <w:ind w:firstLine="422"/>
      </w:pPr>
      <w:r>
        <w:rPr>
          <w:rFonts w:ascii="仿宋_GB2312" w:hAnsi="仿宋_GB2312" w:eastAsia="仿宋_GB2312" w:cs="仿宋_GB2312"/>
          <w:b/>
          <w:sz w:val="21"/>
        </w:rPr>
        <w:t>19.▲提供耐人工气候（透过窗玻璃）老化（检测日期≥10000h），冲击吸收≥20%，抗滑值(20℃)//BPN 80-110（干测）（提供国家认可的第三方检测机构出具的检测报告复印件）。</w:t>
      </w:r>
    </w:p>
    <w:p w14:paraId="14ECB443">
      <w:pPr>
        <w:pStyle w:val="4"/>
        <w:ind w:firstLine="402"/>
      </w:pPr>
      <w:r>
        <w:rPr>
          <w:rFonts w:ascii="仿宋_GB2312" w:hAnsi="仿宋_GB2312" w:eastAsia="仿宋_GB2312" w:cs="仿宋_GB2312"/>
          <w:b/>
          <w:sz w:val="21"/>
        </w:rPr>
        <w:t>（三）减震橡胶地面</w:t>
      </w:r>
    </w:p>
    <w:p w14:paraId="4AC0AF87">
      <w:pPr>
        <w:pStyle w:val="4"/>
        <w:ind w:firstLine="400"/>
      </w:pPr>
      <w:r>
        <w:rPr>
          <w:rFonts w:ascii="仿宋_GB2312" w:hAnsi="仿宋_GB2312" w:eastAsia="仿宋_GB2312" w:cs="仿宋_GB2312"/>
          <w:sz w:val="21"/>
        </w:rPr>
        <w:t>产品名称：地垫</w:t>
      </w:r>
    </w:p>
    <w:p w14:paraId="57DDCC85">
      <w:pPr>
        <w:pStyle w:val="4"/>
        <w:ind w:firstLine="420"/>
      </w:pPr>
      <w:r>
        <w:rPr>
          <w:rFonts w:ascii="仿宋_GB2312" w:hAnsi="仿宋_GB2312" w:eastAsia="仿宋_GB2312" w:cs="仿宋_GB2312"/>
          <w:sz w:val="21"/>
        </w:rPr>
        <w:t>1.材质：橡胶地垫EPDM、SBR聚合物；检测总挥发性有机化合物（TVOC）≤5.0mg/(m²·h)，甲醛≤0.4mg/(m²·h)；苯、甲苯、二甲苯和乙苯总和≤1.0mg/(m²·h)。</w:t>
      </w:r>
    </w:p>
    <w:p w14:paraId="17A57170">
      <w:pPr>
        <w:pStyle w:val="4"/>
        <w:ind w:firstLine="420"/>
      </w:pPr>
      <w:r>
        <w:rPr>
          <w:rFonts w:ascii="仿宋_GB2312" w:hAnsi="仿宋_GB2312" w:eastAsia="仿宋_GB2312" w:cs="仿宋_GB2312"/>
          <w:sz w:val="21"/>
        </w:rPr>
        <w:t>2.橡胶地垫依据GB 36246-2018《中小学合成材料面层运动场地》第1部分橡胶地板标准进行检测，尺寸偏差、抗弯曲性能、脆性温度指标均满足规范要求：长度偏差±0.15%，宽度偏差±0.15%，厚度偏差±0.20mm；抗弯扭曲声无裂纹；弹性温度为-50℃无破坏。</w:t>
      </w:r>
    </w:p>
    <w:p w14:paraId="5A66EA99">
      <w:pPr>
        <w:pStyle w:val="4"/>
        <w:ind w:firstLine="420"/>
      </w:pPr>
      <w:r>
        <w:rPr>
          <w:rFonts w:ascii="仿宋_GB2312" w:hAnsi="仿宋_GB2312" w:eastAsia="仿宋_GB2312" w:cs="仿宋_GB2312"/>
          <w:sz w:val="21"/>
        </w:rPr>
        <w:t>3.橡胶地垫依据GB/T 19889.8-2006检测橡胶地垫成品撞击声压级改善量≥19dB。</w:t>
      </w:r>
    </w:p>
    <w:p w14:paraId="0818C3B2">
      <w:pPr>
        <w:pStyle w:val="4"/>
        <w:ind w:firstLine="420"/>
      </w:pPr>
      <w:r>
        <w:rPr>
          <w:rFonts w:ascii="仿宋_GB2312" w:hAnsi="仿宋_GB2312" w:eastAsia="仿宋_GB2312" w:cs="仿宋_GB2312"/>
          <w:sz w:val="21"/>
        </w:rPr>
        <w:t>4.橡胶地垫依据HG/T 3747.1-2011《橡塑铺地材料第1部分:橡胶地板》检测地垫物理性能（相对体积磨耗量）≤160mm³，耐人造光色牢度≥3级。</w:t>
      </w:r>
    </w:p>
    <w:p w14:paraId="595AA80F">
      <w:pPr>
        <w:pStyle w:val="4"/>
        <w:ind w:firstLine="420"/>
      </w:pPr>
      <w:r>
        <w:rPr>
          <w:rFonts w:ascii="仿宋_GB2312" w:hAnsi="仿宋_GB2312" w:eastAsia="仿宋_GB2312" w:cs="仿宋_GB2312"/>
          <w:sz w:val="21"/>
        </w:rPr>
        <w:t>5.有害物质含量指标：</w:t>
      </w:r>
    </w:p>
    <w:p w14:paraId="6706C4ED">
      <w:pPr>
        <w:pStyle w:val="4"/>
        <w:ind w:firstLine="420"/>
      </w:pPr>
      <w:r>
        <w:rPr>
          <w:rFonts w:ascii="仿宋_GB2312" w:hAnsi="仿宋_GB2312" w:eastAsia="仿宋_GB2312" w:cs="仿宋_GB2312"/>
          <w:sz w:val="21"/>
        </w:rPr>
        <w:t>（1）3种邻苯二甲酸酯类化合物（DBP、BBP、DEHP）总和≤1.0g/kg；</w:t>
      </w:r>
    </w:p>
    <w:p w14:paraId="1B76DBBD">
      <w:pPr>
        <w:pStyle w:val="4"/>
        <w:ind w:firstLine="420"/>
      </w:pPr>
      <w:r>
        <w:rPr>
          <w:rFonts w:ascii="仿宋_GB2312" w:hAnsi="仿宋_GB2312" w:eastAsia="仿宋_GB2312" w:cs="仿宋_GB2312"/>
          <w:sz w:val="21"/>
        </w:rPr>
        <w:t>（2）3种邻苯二甲酸酯类化合物（DNOP、DINP、DIDP）总和≤1.0g/kg；</w:t>
      </w:r>
    </w:p>
    <w:p w14:paraId="193CFB8D">
      <w:pPr>
        <w:pStyle w:val="4"/>
        <w:ind w:firstLine="420"/>
      </w:pPr>
      <w:r>
        <w:rPr>
          <w:rFonts w:ascii="仿宋_GB2312" w:hAnsi="仿宋_GB2312" w:eastAsia="仿宋_GB2312" w:cs="仿宋_GB2312"/>
          <w:sz w:val="21"/>
        </w:rPr>
        <w:t>（3）18种多环芳烃总和≤50mg/kg；苯并[a]芘≤1.0mg/kg；</w:t>
      </w:r>
    </w:p>
    <w:p w14:paraId="0A395C8E">
      <w:pPr>
        <w:pStyle w:val="4"/>
        <w:ind w:firstLine="420"/>
      </w:pPr>
      <w:r>
        <w:rPr>
          <w:rFonts w:ascii="仿宋_GB2312" w:hAnsi="仿宋_GB2312" w:eastAsia="仿宋_GB2312" w:cs="仿宋_GB2312"/>
          <w:sz w:val="21"/>
        </w:rPr>
        <w:t>（4）短链氯化石蜡(C₁₀-C₁₃)≤1.5g/kg；4,4'-二氨基-3,3'-二氯二苯甲烷(MOCA)≤1.0g/kg；</w:t>
      </w:r>
    </w:p>
    <w:p w14:paraId="49A970E1">
      <w:pPr>
        <w:pStyle w:val="4"/>
        <w:ind w:firstLine="420"/>
      </w:pPr>
      <w:r>
        <w:rPr>
          <w:rFonts w:ascii="仿宋_GB2312" w:hAnsi="仿宋_GB2312" w:eastAsia="仿宋_GB2312" w:cs="仿宋_GB2312"/>
          <w:sz w:val="21"/>
        </w:rPr>
        <w:t>（5）游离甲苯二异氰酸酯（TDI）和游离亚甲基二异氰酸酯（HDI）总和≤0.2g/kg；游离二苯基甲烷二异氰酸酯（MDI）≤1.0g/kg；</w:t>
      </w:r>
    </w:p>
    <w:p w14:paraId="7C72B123">
      <w:pPr>
        <w:pStyle w:val="4"/>
        <w:ind w:firstLine="420"/>
      </w:pPr>
      <w:r>
        <w:rPr>
          <w:rFonts w:ascii="仿宋_GB2312" w:hAnsi="仿宋_GB2312" w:eastAsia="仿宋_GB2312" w:cs="仿宋_GB2312"/>
          <w:sz w:val="21"/>
        </w:rPr>
        <w:t>（6）可溶性铅≤50mg/kg，可溶性镉≤10mg/kg，可溶性铬≤10mg/kg，可溶性汞≤2mg/kg。</w:t>
      </w:r>
    </w:p>
    <w:p w14:paraId="5F31D75F">
      <w:pPr>
        <w:pStyle w:val="4"/>
        <w:ind w:firstLine="420"/>
      </w:pPr>
      <w:r>
        <w:rPr>
          <w:rFonts w:ascii="仿宋_GB2312" w:hAnsi="仿宋_GB2312" w:eastAsia="仿宋_GB2312" w:cs="仿宋_GB2312"/>
          <w:sz w:val="21"/>
        </w:rPr>
        <w:t>6.需提供国家体育用品质量监督检验中心出具的依据GB36246-2018完整检测报告复印件，全部有害物质及释放量项目均需判定合格。</w:t>
      </w:r>
    </w:p>
    <w:p w14:paraId="3A246E39">
      <w:pPr>
        <w:pStyle w:val="4"/>
        <w:ind w:firstLine="402"/>
      </w:pPr>
      <w:r>
        <w:rPr>
          <w:rFonts w:ascii="仿宋_GB2312" w:hAnsi="仿宋_GB2312" w:eastAsia="仿宋_GB2312" w:cs="仿宋_GB2312"/>
          <w:b/>
          <w:sz w:val="21"/>
        </w:rPr>
        <w:t>（四）镜面及玻璃</w:t>
      </w:r>
    </w:p>
    <w:p w14:paraId="34A7693D">
      <w:pPr>
        <w:pStyle w:val="4"/>
        <w:ind w:firstLine="400"/>
      </w:pPr>
      <w:r>
        <w:rPr>
          <w:rFonts w:ascii="仿宋_GB2312" w:hAnsi="仿宋_GB2312" w:eastAsia="仿宋_GB2312" w:cs="仿宋_GB2312"/>
          <w:sz w:val="21"/>
        </w:rPr>
        <w:t>产品用于室内过道玻璃隔墙，不作防火分隔使用；采用透明钢化安全玻璃及配套框架、五金和密封材料。</w:t>
      </w:r>
    </w:p>
    <w:p w14:paraId="335FC973">
      <w:pPr>
        <w:pStyle w:val="4"/>
        <w:ind w:firstLine="400"/>
      </w:pPr>
      <w:r>
        <w:rPr>
          <w:rFonts w:ascii="仿宋_GB2312" w:hAnsi="仿宋_GB2312" w:eastAsia="仿宋_GB2312" w:cs="仿宋_GB2312"/>
          <w:sz w:val="21"/>
        </w:rPr>
        <w:t>钢化玻璃公称厚度≥12 mm。最终厚度、分格尺寸、最大使用面积及支承方式应结合现场洞口尺寸、玻璃长宽比、支承条件和人员冲击风险进行受力验算，并符合JGJ 113《建筑玻璃应用技术规程》的现行规定；验算结果不得降低12 mm的最低厚度要求。</w:t>
      </w:r>
    </w:p>
    <w:p w14:paraId="0490B6BC">
      <w:pPr>
        <w:pStyle w:val="4"/>
        <w:ind w:firstLine="400"/>
      </w:pPr>
      <w:r>
        <w:rPr>
          <w:rFonts w:ascii="仿宋_GB2312" w:hAnsi="仿宋_GB2312" w:eastAsia="仿宋_GB2312" w:cs="仿宋_GB2312"/>
          <w:sz w:val="21"/>
        </w:rPr>
        <w:t>玻璃技术指标：厚度 12mm，厚度偏差±0.3mm；玻璃表面应力≥90MPa，承受1040g钢球1.2m 冲击不破碎；破碎后呈细小钝性颗粒，50mm范围内碎片≥40 粒；耐200℃温差不自爆；透光率≥89%</w:t>
      </w:r>
    </w:p>
    <w:p w14:paraId="3949EB87">
      <w:pPr>
        <w:pStyle w:val="4"/>
        <w:ind w:firstLine="400"/>
      </w:pPr>
      <w:r>
        <w:rPr>
          <w:rFonts w:ascii="仿宋_GB2312" w:hAnsi="仿宋_GB2312" w:eastAsia="仿宋_GB2312" w:cs="仿宋_GB2312"/>
          <w:sz w:val="21"/>
        </w:rPr>
        <w:t>玻璃原片应符合GB 11614《平板玻璃》现行规定；钢化玻璃应符合GB 15763.2《建筑用安全玻璃 第2部分：钢化玻璃》现行规定。</w:t>
      </w:r>
    </w:p>
    <w:p w14:paraId="6A28C251">
      <w:pPr>
        <w:pStyle w:val="4"/>
        <w:ind w:firstLine="400"/>
      </w:pPr>
      <w:r>
        <w:rPr>
          <w:rFonts w:ascii="仿宋_GB2312" w:hAnsi="仿宋_GB2312" w:eastAsia="仿宋_GB2312" w:cs="仿宋_GB2312"/>
          <w:sz w:val="21"/>
        </w:rPr>
        <w:t>钢化玻璃应具有清晰、永久的安全玻璃标识，并取得国家强制性产品认证（CCC）。所供产品规格应在认证证书及型式试验覆盖范围内。</w:t>
      </w:r>
    </w:p>
    <w:p w14:paraId="4AAB189F">
      <w:pPr>
        <w:pStyle w:val="4"/>
        <w:ind w:firstLine="400"/>
      </w:pPr>
      <w:r>
        <w:rPr>
          <w:rFonts w:ascii="仿宋_GB2312" w:hAnsi="仿宋_GB2312" w:eastAsia="仿宋_GB2312" w:cs="仿宋_GB2312"/>
          <w:sz w:val="21"/>
        </w:rPr>
        <w:t>玻璃厚度偏差、尺寸偏差、外观质量、弯曲度、抗冲击性和碎片状态均应符合GB 15763.2的规定。</w:t>
      </w:r>
    </w:p>
    <w:p w14:paraId="698CAEB9">
      <w:pPr>
        <w:pStyle w:val="4"/>
        <w:ind w:firstLine="400"/>
      </w:pPr>
      <w:r>
        <w:rPr>
          <w:rFonts w:ascii="仿宋_GB2312" w:hAnsi="仿宋_GB2312" w:eastAsia="仿宋_GB2312" w:cs="仿宋_GB2312"/>
          <w:sz w:val="21"/>
        </w:rPr>
        <w:t>玻璃表面不得有裂纹、爆边、明显划伤、麻点、气泡、夹杂物、结石等影响安全和观感的缺陷；外露边应进行精磨边处理。</w:t>
      </w:r>
    </w:p>
    <w:p w14:paraId="32BC4935">
      <w:pPr>
        <w:pStyle w:val="4"/>
        <w:ind w:firstLine="400"/>
      </w:pPr>
      <w:r>
        <w:rPr>
          <w:rFonts w:ascii="仿宋_GB2312" w:hAnsi="仿宋_GB2312" w:eastAsia="仿宋_GB2312" w:cs="仿宋_GB2312"/>
          <w:sz w:val="21"/>
        </w:rPr>
        <w:t>玻璃开孔、切角、磨边等加工应在钢化前完成。钢化完成后严禁进行切割、钻孔或可能破坏玻璃强度的二次加工。</w:t>
      </w:r>
    </w:p>
    <w:p w14:paraId="40D195EE">
      <w:pPr>
        <w:pStyle w:val="4"/>
        <w:ind w:firstLine="400"/>
      </w:pPr>
      <w:r>
        <w:rPr>
          <w:rFonts w:ascii="仿宋_GB2312" w:hAnsi="仿宋_GB2312" w:eastAsia="仿宋_GB2312" w:cs="仿宋_GB2312"/>
          <w:sz w:val="21"/>
        </w:rPr>
        <w:t>隔墙框架宜采用6063-T5铝合金型材或经防腐处理的钢型材。铝合金主要受力型材实测壁厚≥1.5 mm；型材截面、壁厚、跨度、连接节点和固定间距应通过受力验算确定，壁厚要求不得替代整体承载及变形验算。</w:t>
      </w:r>
    </w:p>
    <w:p w14:paraId="13EBDD2A">
      <w:pPr>
        <w:pStyle w:val="4"/>
        <w:ind w:firstLine="400"/>
      </w:pPr>
      <w:r>
        <w:rPr>
          <w:rFonts w:ascii="仿宋_GB2312" w:hAnsi="仿宋_GB2312" w:eastAsia="仿宋_GB2312" w:cs="仿宋_GB2312"/>
          <w:sz w:val="21"/>
        </w:rPr>
        <w:t>五金连接件、地槽、压板及紧固件应与玻璃重量和安装方式匹配；外露五金采用304不锈钢或性能不低于其耐腐蚀性的材料。</w:t>
      </w:r>
    </w:p>
    <w:p w14:paraId="30B705DC">
      <w:pPr>
        <w:pStyle w:val="4"/>
        <w:ind w:firstLine="400"/>
      </w:pPr>
      <w:r>
        <w:rPr>
          <w:rFonts w:ascii="仿宋_GB2312" w:hAnsi="仿宋_GB2312" w:eastAsia="仿宋_GB2312" w:cs="仿宋_GB2312"/>
          <w:sz w:val="21"/>
        </w:rPr>
        <w:t>玻璃与金属槽口、硬质构件之间应设置连续弹性垫块或胶条，严禁玻璃与金属直接硬接触。承重垫块的位置、数量和硬度应符合JGJ 113《建筑玻璃应用技术规程》的现行规定。</w:t>
      </w:r>
    </w:p>
    <w:p w14:paraId="3458F915">
      <w:pPr>
        <w:pStyle w:val="4"/>
        <w:ind w:firstLine="400"/>
      </w:pPr>
      <w:r>
        <w:rPr>
          <w:rFonts w:ascii="仿宋_GB2312" w:hAnsi="仿宋_GB2312" w:eastAsia="仿宋_GB2312" w:cs="仿宋_GB2312"/>
          <w:sz w:val="21"/>
        </w:rPr>
        <w:t>密封材料应采用中性硅酮建筑密封胶，并符合GB/T 14683《硅酮和改性硅酮建筑密封胶》的现行规定；密封胶与玻璃、型材之间应具有相容性。</w:t>
      </w:r>
    </w:p>
    <w:p w14:paraId="1283611C">
      <w:pPr>
        <w:pStyle w:val="4"/>
        <w:ind w:firstLine="400"/>
      </w:pPr>
      <w:r>
        <w:rPr>
          <w:rFonts w:ascii="仿宋_GB2312" w:hAnsi="仿宋_GB2312" w:eastAsia="仿宋_GB2312" w:cs="仿宋_GB2312"/>
          <w:sz w:val="21"/>
        </w:rPr>
        <w:t>隔墙安装应牢固、横平竖直，玻璃受力均匀。立面垂直度≤2 mm，表面平整度≤2 mm，接缝直线度≤2 mm；检验长度按现行验收规范执行。</w:t>
      </w:r>
    </w:p>
    <w:p w14:paraId="457152CC">
      <w:pPr>
        <w:pStyle w:val="4"/>
        <w:ind w:firstLine="400"/>
      </w:pPr>
      <w:r>
        <w:rPr>
          <w:rFonts w:ascii="仿宋_GB2312" w:hAnsi="仿宋_GB2312" w:eastAsia="仿宋_GB2312" w:cs="仿宋_GB2312"/>
          <w:sz w:val="21"/>
        </w:rPr>
        <w:t>人员通行区域的透明玻璃应在视线高度设置醒目的防碰撞标识。标识应牢固、连续或间隔均匀，不得因日常清洁轻易脱落。</w:t>
      </w:r>
    </w:p>
    <w:p w14:paraId="3B49A680">
      <w:pPr>
        <w:pStyle w:val="4"/>
        <w:ind w:firstLine="400"/>
      </w:pPr>
      <w:r>
        <w:rPr>
          <w:rFonts w:ascii="仿宋_GB2312" w:hAnsi="仿宋_GB2312" w:eastAsia="仿宋_GB2312" w:cs="仿宋_GB2312"/>
          <w:sz w:val="21"/>
        </w:rPr>
        <w:t>玻璃隔墙与地面、墙体及顶棚的连接节点应满足防松动、防脱落要求；不得将未经核验承载能力的装饰吊顶作为主要受力支承。</w:t>
      </w:r>
    </w:p>
    <w:p w14:paraId="4C0F5F25">
      <w:pPr>
        <w:pStyle w:val="4"/>
        <w:ind w:firstLine="402"/>
      </w:pPr>
      <w:r>
        <w:rPr>
          <w:rFonts w:ascii="仿宋_GB2312" w:hAnsi="仿宋_GB2312" w:eastAsia="仿宋_GB2312" w:cs="仿宋_GB2312"/>
          <w:b/>
          <w:sz w:val="21"/>
        </w:rPr>
        <w:t>▲提供钢化玻璃有效的CCC认证证书，证书中的生产企业、产品名称和规格范围应与所供产品一致。</w:t>
      </w:r>
    </w:p>
    <w:p w14:paraId="2D69DA38">
      <w:pPr>
        <w:pStyle w:val="4"/>
        <w:ind w:firstLine="400"/>
      </w:pPr>
      <w:r>
        <w:rPr>
          <w:rFonts w:ascii="仿宋_GB2312" w:hAnsi="仿宋_GB2312" w:eastAsia="仿宋_GB2312" w:cs="仿宋_GB2312"/>
          <w:sz w:val="21"/>
        </w:rPr>
        <w:t>供货前应提交玻璃分格图、节点图和现场尺寸复核记录，经采购人确认后加工；因未复核尺寸造成的返工由供应商承担。</w:t>
      </w:r>
    </w:p>
    <w:p w14:paraId="38DA9AAD">
      <w:pPr>
        <w:pStyle w:val="4"/>
        <w:ind w:firstLine="400"/>
      </w:pPr>
      <w:r>
        <w:rPr>
          <w:rFonts w:ascii="仿宋_GB2312" w:hAnsi="仿宋_GB2312" w:eastAsia="仿宋_GB2312" w:cs="仿宋_GB2312"/>
          <w:sz w:val="21"/>
        </w:rPr>
        <w:t>安装完成后应进行外观、尺寸偏差、连接牢固度和防碰撞措施验收。存在裂纹、爆边、明显划伤、松动或异响的玻璃不得交付使用。</w:t>
      </w:r>
    </w:p>
    <w:p w14:paraId="24FBAD8F">
      <w:pPr>
        <w:pStyle w:val="4"/>
        <w:ind w:firstLine="402"/>
      </w:pPr>
      <w:r>
        <w:rPr>
          <w:rFonts w:ascii="仿宋_GB2312" w:hAnsi="仿宋_GB2312" w:eastAsia="仿宋_GB2312" w:cs="仿宋_GB2312"/>
          <w:b/>
          <w:sz w:val="21"/>
        </w:rPr>
        <w:t>（五）攀岩墙专项要求</w:t>
      </w:r>
    </w:p>
    <w:p w14:paraId="6E8C9DD2">
      <w:pPr>
        <w:pStyle w:val="4"/>
        <w:ind w:firstLine="400"/>
      </w:pPr>
      <w:r>
        <w:rPr>
          <w:rFonts w:ascii="仿宋_GB2312" w:hAnsi="仿宋_GB2312" w:eastAsia="仿宋_GB2312" w:cs="仿宋_GB2312"/>
          <w:sz w:val="21"/>
        </w:rPr>
        <w:t>产品用于成人室内抱石训练。为控制建设及后期维护费用，采用无顶绳、无自动保护器的抱石墙方案，并配置连续缓冲垫。</w:t>
      </w:r>
    </w:p>
    <w:p w14:paraId="74EA2C4C">
      <w:pPr>
        <w:pStyle w:val="4"/>
        <w:ind w:firstLine="400"/>
      </w:pPr>
      <w:r>
        <w:rPr>
          <w:rFonts w:ascii="仿宋_GB2312" w:hAnsi="仿宋_GB2312" w:eastAsia="仿宋_GB2312" w:cs="仿宋_GB2312"/>
          <w:sz w:val="21"/>
        </w:rPr>
        <w:t>抱石墙有效攀爬高度及造型按现场条件确定，墙体最高攀爬点距缓冲垫表面不宜超过4.0 m，结构总高度不得超过现行标准对抱石结构的限值。</w:t>
      </w:r>
    </w:p>
    <w:p w14:paraId="623F2B4C">
      <w:pPr>
        <w:pStyle w:val="4"/>
        <w:ind w:firstLine="400"/>
      </w:pPr>
      <w:r>
        <w:rPr>
          <w:rFonts w:ascii="仿宋_GB2312" w:hAnsi="仿宋_GB2312" w:eastAsia="仿宋_GB2312" w:cs="仿宋_GB2312"/>
          <w:sz w:val="21"/>
        </w:rPr>
        <w:t>抱石场所开放条件和安全管理应符合GB 19079.4《体育场所开放条件与技术要求 第4部分：攀岩场所》的现行规定；人工抱石结构的设计、制造、安装、检验及落地区设置应符合EN 12572-2的现行规定。采用其他标准时，应提供安全性能不低于上述标准的等效性说明。</w:t>
      </w:r>
    </w:p>
    <w:p w14:paraId="5BFCE37D">
      <w:pPr>
        <w:pStyle w:val="4"/>
        <w:ind w:firstLine="400"/>
      </w:pPr>
      <w:r>
        <w:rPr>
          <w:rFonts w:ascii="仿宋_GB2312" w:hAnsi="仿宋_GB2312" w:eastAsia="仿宋_GB2312" w:cs="仿宋_GB2312"/>
          <w:sz w:val="21"/>
        </w:rPr>
        <w:t>攀岩墙应由具备相应设计和施工能力的单位深化设计。深化图应包含墙体立面、钢结构、面板分块、连接节点、岩点布置、缓冲区和安全净空。</w:t>
      </w:r>
    </w:p>
    <w:p w14:paraId="2F8BCCFF">
      <w:pPr>
        <w:pStyle w:val="4"/>
        <w:ind w:firstLine="400"/>
      </w:pPr>
      <w:r>
        <w:rPr>
          <w:rFonts w:ascii="仿宋_GB2312" w:hAnsi="仿宋_GB2312" w:eastAsia="仿宋_GB2312" w:cs="仿宋_GB2312"/>
          <w:sz w:val="21"/>
        </w:rPr>
        <w:t>主体钢骨架采用Q235B及以上性能钢材，材质应符合GB/T 700《碳素结构钢》现行规定。构件规格、间距和节点应经结构计算确定，不得以统一的最小管径代替受力设计。</w:t>
      </w:r>
    </w:p>
    <w:p w14:paraId="20776018">
      <w:pPr>
        <w:pStyle w:val="4"/>
        <w:ind w:firstLine="400"/>
      </w:pPr>
      <w:r>
        <w:rPr>
          <w:rFonts w:ascii="仿宋_GB2312" w:hAnsi="仿宋_GB2312" w:eastAsia="仿宋_GB2312" w:cs="仿宋_GB2312"/>
          <w:sz w:val="21"/>
        </w:rPr>
        <w:t>主要技术参数：锌层≥85μm，整体荷载≥5kN/㎡；墙面铺装 18mm 纤维水泥压力板，表面仿岩石造型，支点预埋孔抗拉≥3kN；配置 PU 彩色分级岩点，配套不锈钢背栓；每条攀爬线路独立配置具备安全认证自动缓降保护器；岩壁两侧设置通高尼龙安全防护网；抱石区域下方铺设 150mm 双层分层高密度 EVA 减震缓冲垫；整体施工、材料满足 GB19079.4 攀岩场所国家标准。</w:t>
      </w:r>
    </w:p>
    <w:p w14:paraId="38762625">
      <w:pPr>
        <w:pStyle w:val="4"/>
        <w:ind w:firstLine="400"/>
      </w:pPr>
      <w:r>
        <w:rPr>
          <w:rFonts w:ascii="仿宋_GB2312" w:hAnsi="仿宋_GB2312" w:eastAsia="仿宋_GB2312" w:cs="仿宋_GB2312"/>
          <w:sz w:val="21"/>
        </w:rPr>
        <w:t>钢构件焊缝应连续、饱满，无裂纹、夹渣、焊瘤、烧穿和明显气孔；焊接完成后应清除焊渣并进行防锈处理。室内钢结构表面采用防锈底漆加耐磨面漆或静电喷塑处理。</w:t>
      </w:r>
    </w:p>
    <w:p w14:paraId="1E23D23C">
      <w:pPr>
        <w:pStyle w:val="4"/>
        <w:ind w:firstLine="400"/>
      </w:pPr>
      <w:r>
        <w:rPr>
          <w:rFonts w:ascii="仿宋_GB2312" w:hAnsi="仿宋_GB2312" w:eastAsia="仿宋_GB2312" w:cs="仿宋_GB2312"/>
          <w:sz w:val="21"/>
        </w:rPr>
        <w:t>攀岩面板采用厚度≥18 mm的多层桦木胶合板或同等强度专用攀岩板。板材应无开裂、脱层、腐朽、明显翘曲和锐利毛刺。</w:t>
      </w:r>
    </w:p>
    <w:p w14:paraId="543B9D36">
      <w:pPr>
        <w:pStyle w:val="4"/>
        <w:ind w:firstLine="400"/>
      </w:pPr>
      <w:r>
        <w:rPr>
          <w:rFonts w:ascii="仿宋_GB2312" w:hAnsi="仿宋_GB2312" w:eastAsia="仿宋_GB2312" w:cs="仿宋_GB2312"/>
          <w:sz w:val="21"/>
        </w:rPr>
        <w:t>面板外露表面采用耐磨、防滑的环保涂层，颜色和颗粒应均匀；表面不得设置可能割伤、卡夹手指或勾挂衣物的突起和缝隙。</w:t>
      </w:r>
    </w:p>
    <w:p w14:paraId="02A40D2B">
      <w:pPr>
        <w:pStyle w:val="4"/>
        <w:ind w:firstLine="400"/>
      </w:pPr>
      <w:r>
        <w:rPr>
          <w:rFonts w:ascii="仿宋_GB2312" w:hAnsi="仿宋_GB2312" w:eastAsia="仿宋_GB2312" w:cs="仿宋_GB2312"/>
          <w:sz w:val="21"/>
        </w:rPr>
        <w:t>采用人造板材时，甲醛释放量应达到GB/T 39600规定的E0级及以上要求；室内装饰层燃烧性能按项目所在地消防及装饰设计要求执行。</w:t>
      </w:r>
    </w:p>
    <w:p w14:paraId="5F7245D6">
      <w:pPr>
        <w:pStyle w:val="4"/>
        <w:ind w:firstLine="400"/>
      </w:pPr>
      <w:r>
        <w:rPr>
          <w:rFonts w:ascii="仿宋_GB2312" w:hAnsi="仿宋_GB2312" w:eastAsia="仿宋_GB2312" w:cs="仿宋_GB2312"/>
          <w:sz w:val="21"/>
        </w:rPr>
        <w:t>面板背部采用M10及以上规格防转动爪母或专用预埋螺母，安装应牢固、无松动。岩点孔宜按规则网格布置，中心间距不宜大于250 mm，以便后期低成本调整线路。</w:t>
      </w:r>
    </w:p>
    <w:p w14:paraId="35B346DB">
      <w:pPr>
        <w:pStyle w:val="4"/>
        <w:ind w:firstLine="400"/>
      </w:pPr>
      <w:r>
        <w:rPr>
          <w:rFonts w:ascii="仿宋_GB2312" w:hAnsi="仿宋_GB2312" w:eastAsia="仿宋_GB2312" w:cs="仿宋_GB2312"/>
          <w:sz w:val="21"/>
        </w:rPr>
        <w:t>岩点采用聚氨酯或性能不低于其强度和耐磨性的专用材料，表面防滑、无锐边、无贯穿裂纹。每批岩点应配套符合规格的高强度螺栓及防松措施。</w:t>
      </w:r>
    </w:p>
    <w:p w14:paraId="4D65A47D">
      <w:pPr>
        <w:pStyle w:val="4"/>
        <w:ind w:firstLine="400"/>
      </w:pPr>
      <w:r>
        <w:rPr>
          <w:rFonts w:ascii="仿宋_GB2312" w:hAnsi="仿宋_GB2312" w:eastAsia="仿宋_GB2312" w:cs="仿宋_GB2312"/>
          <w:sz w:val="21"/>
        </w:rPr>
        <w:t>岩点尺寸和难度应满足初级至中级成人训练，至少包含大、中、小不同尺寸；最终数量、线路和颜色按确认后的墙面面积及布点图配置。</w:t>
      </w:r>
    </w:p>
    <w:p w14:paraId="3B8D663D">
      <w:pPr>
        <w:pStyle w:val="4"/>
        <w:ind w:firstLine="400"/>
      </w:pPr>
      <w:r>
        <w:rPr>
          <w:rFonts w:ascii="仿宋_GB2312" w:hAnsi="仿宋_GB2312" w:eastAsia="仿宋_GB2312" w:cs="仿宋_GB2312"/>
          <w:sz w:val="21"/>
        </w:rPr>
        <w:t>所有可触及连接件应采取防松、防转和防突出措施。螺栓端部、钢结构棱角及面板背部可能接触人员的位置应进行遮护或圆滑处理。</w:t>
      </w:r>
    </w:p>
    <w:p w14:paraId="2372AE67">
      <w:pPr>
        <w:pStyle w:val="4"/>
        <w:ind w:firstLine="400"/>
      </w:pPr>
      <w:r>
        <w:rPr>
          <w:rFonts w:ascii="仿宋_GB2312" w:hAnsi="仿宋_GB2312" w:eastAsia="仿宋_GB2312" w:cs="仿宋_GB2312"/>
          <w:sz w:val="21"/>
        </w:rPr>
        <w:t>落地区应铺设连续专用抱石缓冲垫。缓冲垫成品厚度≥300 mm，并采用多层不同密度发泡材料组合结构；其冲击衰减性能应与本项目最大可能跌落高度相匹配。垫体之间应可靠连接，使用时不得出现明显分缝、移位或异常下陷。厚度要求不得替代冲击衰减性能检验。</w:t>
      </w:r>
    </w:p>
    <w:p w14:paraId="1D76E1B9">
      <w:pPr>
        <w:pStyle w:val="4"/>
        <w:ind w:firstLine="400"/>
      </w:pPr>
      <w:r>
        <w:rPr>
          <w:rFonts w:ascii="仿宋_GB2312" w:hAnsi="仿宋_GB2312" w:eastAsia="仿宋_GB2312" w:cs="仿宋_GB2312"/>
          <w:sz w:val="21"/>
        </w:rPr>
        <w:t>缓冲垫覆盖范围应根据墙体高度、倾角、最外侧攀爬点和可能跌落轨迹确定，并符合EN 12572-2的现行规定。深化图必须标明墙前、两侧、转角及外挑部分对应的落地区边界和尺寸。墙体转角、立柱及相邻硬质构筑物应设置防碰撞软包。</w:t>
      </w:r>
    </w:p>
    <w:p w14:paraId="11E6F4D1">
      <w:pPr>
        <w:pStyle w:val="4"/>
        <w:ind w:firstLine="400"/>
      </w:pPr>
      <w:r>
        <w:rPr>
          <w:rFonts w:ascii="仿宋_GB2312" w:hAnsi="仿宋_GB2312" w:eastAsia="仿宋_GB2312" w:cs="仿宋_GB2312"/>
          <w:sz w:val="21"/>
        </w:rPr>
        <w:t>缓冲区内不得布置桌椅、器材、锐角构件及其他障碍物；墙体周边应设置安全使用说明、最大使用人数、禁止事项和日常检查标识。</w:t>
      </w:r>
    </w:p>
    <w:p w14:paraId="4D51E23A">
      <w:pPr>
        <w:pStyle w:val="4"/>
        <w:ind w:firstLine="402"/>
      </w:pPr>
      <w:r>
        <w:rPr>
          <w:rFonts w:ascii="仿宋_GB2312" w:hAnsi="仿宋_GB2312" w:eastAsia="仿宋_GB2312" w:cs="仿宋_GB2312"/>
          <w:sz w:val="21"/>
        </w:rPr>
        <w:t>提供钢材材质证明、攀岩面板厚度、岩点抗破坏性能等检测资料。人造板甲醛释放量应按GB 18580检验并达到GB/T 39600规定的E0级及以上；缓冲垫应提供与本项目最大可能跌落高度相适应的冲击衰减性能的国家认可的第三方检测机构出具的检测报告复印件。</w:t>
      </w:r>
    </w:p>
    <w:p w14:paraId="2604C664">
      <w:pPr>
        <w:pStyle w:val="4"/>
        <w:ind w:firstLine="402"/>
      </w:pPr>
      <w:r>
        <w:rPr>
          <w:rFonts w:ascii="仿宋_GB2312" w:hAnsi="仿宋_GB2312" w:eastAsia="仿宋_GB2312" w:cs="仿宋_GB2312"/>
          <w:sz w:val="21"/>
        </w:rPr>
        <w:t>投标时提供针对本项目的初步深化方案；施工前提供由设计责任人签署的结构计算书、施工图和主要连接节点，不得仅提供通用产品彩页（供应商提供承诺函）。</w:t>
      </w:r>
    </w:p>
    <w:p w14:paraId="09805CEC">
      <w:pPr>
        <w:pStyle w:val="4"/>
        <w:ind w:firstLine="402"/>
      </w:pPr>
      <w:r>
        <w:rPr>
          <w:rFonts w:ascii="仿宋_GB2312" w:hAnsi="仿宋_GB2312" w:eastAsia="仿宋_GB2312" w:cs="仿宋_GB2312"/>
          <w:b/>
          <w:sz w:val="21"/>
        </w:rPr>
        <w:t>▲安装完成后，由具有检验检测资质且能力范围覆盖相应项目的第三方机构，对主体结构、锚固连接、面板连接、岩点连接、缓冲垫、落地区边界和安全净空进行检验。检验报告应载明加载位置、试验荷载、保持时间、变形及卸载后状态，结论合格后方可投入使用。（供应商提供承诺函）</w:t>
      </w:r>
    </w:p>
    <w:p w14:paraId="47BFB786">
      <w:pPr>
        <w:pStyle w:val="4"/>
        <w:ind w:firstLine="400"/>
      </w:pPr>
      <w:r>
        <w:rPr>
          <w:rFonts w:ascii="仿宋_GB2312" w:hAnsi="仿宋_GB2312" w:eastAsia="仿宋_GB2312" w:cs="仿宋_GB2312"/>
          <w:sz w:val="21"/>
        </w:rPr>
        <w:t>供应商应提供使用维护手册，明确每日巡检、定期紧固、岩点更换、面板检查和缓冲垫维护周期，并对管理人员进行一次现场培训。</w:t>
      </w:r>
    </w:p>
    <w:p w14:paraId="5DBDC2A0">
      <w:pPr>
        <w:pStyle w:val="4"/>
        <w:ind w:firstLine="402"/>
      </w:pPr>
      <w:r>
        <w:rPr>
          <w:rFonts w:ascii="仿宋_GB2312" w:hAnsi="仿宋_GB2312" w:eastAsia="仿宋_GB2312" w:cs="仿宋_GB2312"/>
          <w:b/>
          <w:sz w:val="21"/>
        </w:rPr>
        <w:t>（六）吊环、云梯和钢网</w:t>
      </w:r>
    </w:p>
    <w:p w14:paraId="4EF3106E">
      <w:pPr>
        <w:pStyle w:val="4"/>
        <w:ind w:firstLine="400"/>
      </w:pPr>
      <w:r>
        <w:rPr>
          <w:rFonts w:ascii="仿宋_GB2312" w:hAnsi="仿宋_GB2312" w:eastAsia="仿宋_GB2312" w:cs="仿宋_GB2312"/>
          <w:sz w:val="21"/>
        </w:rPr>
        <w:t>产品用于成人室内体育训练，包含固定式吊环和固定式云梯。器材应按现场结构条件深化设计，确保主体结构、连接件和锚固基础共同满足承载要求。</w:t>
      </w:r>
    </w:p>
    <w:p w14:paraId="6BF62180">
      <w:pPr>
        <w:pStyle w:val="4"/>
        <w:ind w:firstLine="400"/>
      </w:pPr>
      <w:r>
        <w:rPr>
          <w:rFonts w:ascii="仿宋_GB2312" w:hAnsi="仿宋_GB2312" w:eastAsia="仿宋_GB2312" w:cs="仿宋_GB2312"/>
          <w:sz w:val="21"/>
        </w:rPr>
        <w:t>器材通用安全要求及试验方法应符合GB 17498.1《固定式健身器材 第1部分：通用安全要求和试验方法》的现行规定；钢材应符合GB/T 700《碳素结构钢》现行规定。</w:t>
      </w:r>
    </w:p>
    <w:p w14:paraId="22F8E28E">
      <w:pPr>
        <w:pStyle w:val="4"/>
        <w:ind w:firstLine="400"/>
      </w:pPr>
      <w:r>
        <w:rPr>
          <w:rFonts w:ascii="仿宋_GB2312" w:hAnsi="仿宋_GB2312" w:eastAsia="仿宋_GB2312" w:cs="仿宋_GB2312"/>
          <w:sz w:val="21"/>
        </w:rPr>
        <w:t>主体钢结构采用Q235B及以上性能钢材。主立柱宜采用截面不小于60 mm×60 mm、壁厚≥3.0 mm的方管，或承载能力不低于该规格的圆管。上述规格仅为最低材料要求，最终截面、壁厚、跨度和节点必须以结构计算结果为准。</w:t>
      </w:r>
    </w:p>
    <w:p w14:paraId="39B076DE">
      <w:pPr>
        <w:pStyle w:val="4"/>
        <w:ind w:firstLine="400"/>
      </w:pPr>
      <w:r>
        <w:rPr>
          <w:rFonts w:ascii="仿宋_GB2312" w:hAnsi="仿宋_GB2312" w:eastAsia="仿宋_GB2312" w:cs="仿宋_GB2312"/>
          <w:sz w:val="21"/>
        </w:rPr>
        <w:t>主要横梁宜采用外径≥48 mm、壁厚≥3.0 mm的钢管或同等承载能力型材；云梯横杆采用外径32 mm~38 mm、壁厚≥2.5 mm的圆管。</w:t>
      </w:r>
    </w:p>
    <w:p w14:paraId="56EA7926">
      <w:pPr>
        <w:pStyle w:val="4"/>
        <w:ind w:firstLine="400"/>
      </w:pPr>
      <w:r>
        <w:rPr>
          <w:rFonts w:ascii="仿宋_GB2312" w:hAnsi="仿宋_GB2312" w:eastAsia="仿宋_GB2312" w:cs="仿宋_GB2312"/>
          <w:sz w:val="21"/>
        </w:rPr>
        <w:t>所有钢管端部应封闭。人体可触及部位应平滑、无毛刺、锐边、尖角和明显焊瘤；不得存在易夹手、夹头、勾挂衣物的危险间隙。</w:t>
      </w:r>
    </w:p>
    <w:p w14:paraId="64105293">
      <w:pPr>
        <w:pStyle w:val="4"/>
        <w:ind w:firstLine="400"/>
      </w:pPr>
      <w:r>
        <w:rPr>
          <w:rFonts w:ascii="仿宋_GB2312" w:hAnsi="仿宋_GB2312" w:eastAsia="仿宋_GB2312" w:cs="仿宋_GB2312"/>
          <w:sz w:val="21"/>
        </w:rPr>
        <w:t>钢构件焊缝应连续、饱满，无裂纹、夹渣、烧穿和明显气孔。主要受力焊缝质量应进行检查，发现缺陷时应返修并重新检验。</w:t>
      </w:r>
    </w:p>
    <w:p w14:paraId="64E21F76">
      <w:pPr>
        <w:pStyle w:val="4"/>
        <w:ind w:firstLine="400"/>
      </w:pPr>
      <w:r>
        <w:rPr>
          <w:rFonts w:ascii="仿宋_GB2312" w:hAnsi="仿宋_GB2312" w:eastAsia="仿宋_GB2312" w:cs="仿宋_GB2312"/>
          <w:sz w:val="21"/>
        </w:rPr>
        <w:t>钢结构表面应经除锈、防锈处理后静电喷塑，涂层厚度≥70 μm；涂层应均匀、附着牢固，无露底、流挂、起泡和明显色差。</w:t>
      </w:r>
    </w:p>
    <w:p w14:paraId="48DF9B51">
      <w:pPr>
        <w:pStyle w:val="4"/>
        <w:ind w:firstLine="400"/>
      </w:pPr>
      <w:r>
        <w:rPr>
          <w:rFonts w:ascii="仿宋_GB2312" w:hAnsi="仿宋_GB2312" w:eastAsia="仿宋_GB2312" w:cs="仿宋_GB2312"/>
          <w:sz w:val="21"/>
        </w:rPr>
        <w:t>吊环环体采用桦木或性能不低于桦木的高强度复合材料，外径约235 mm、内径约180 mm、握持直径28 mm±1 mm，表面光滑、防滑、无开裂和毛刺。</w:t>
      </w:r>
    </w:p>
    <w:p w14:paraId="195CDB6E">
      <w:pPr>
        <w:pStyle w:val="4"/>
        <w:ind w:firstLine="400"/>
      </w:pPr>
      <w:r>
        <w:rPr>
          <w:rFonts w:ascii="仿宋_GB2312" w:hAnsi="仿宋_GB2312" w:eastAsia="仿宋_GB2312" w:cs="仿宋_GB2312"/>
          <w:sz w:val="21"/>
        </w:rPr>
        <w:t>吊环吊带采用高强度耐磨织带，带宽≥38 mm，长度可调；调节扣、卸扣和连接件应具备防松脱结构。金属连接件采用镀锌钢或304不锈钢。</w:t>
      </w:r>
    </w:p>
    <w:p w14:paraId="5515E80B">
      <w:pPr>
        <w:pStyle w:val="4"/>
        <w:ind w:firstLine="400"/>
      </w:pPr>
      <w:r>
        <w:rPr>
          <w:rFonts w:ascii="仿宋_GB2312" w:hAnsi="仿宋_GB2312" w:eastAsia="仿宋_GB2312" w:cs="仿宋_GB2312"/>
          <w:sz w:val="21"/>
        </w:rPr>
        <w:t>吊环安装后两环应处于同一水平面，中心间距宜为500 mm±20 mm；环体高度应可调，并满足成人训练及安全落地区要求。</w:t>
      </w:r>
    </w:p>
    <w:p w14:paraId="2FFFF432">
      <w:pPr>
        <w:pStyle w:val="4"/>
        <w:ind w:firstLine="400"/>
      </w:pPr>
      <w:r>
        <w:rPr>
          <w:rFonts w:ascii="仿宋_GB2312" w:hAnsi="仿宋_GB2312" w:eastAsia="仿宋_GB2312" w:cs="仿宋_GB2312"/>
          <w:sz w:val="21"/>
        </w:rPr>
        <w:t>吊环按单人使用设计，额定使用者质量≥120 kg。每个环体、吊带、调节扣、连接件及单个悬挂点均应能独立承受4.0 kN试验荷载；整套支撑结构应能承受两个悬挂点同时各施加3.0 kN的试验荷载。试验后不得出现裂纹、连接松动、功能失效或影响安全使用的永久变形。</w:t>
      </w:r>
    </w:p>
    <w:p w14:paraId="3A537B92">
      <w:pPr>
        <w:pStyle w:val="4"/>
        <w:ind w:firstLine="400"/>
      </w:pPr>
      <w:r>
        <w:rPr>
          <w:rFonts w:ascii="仿宋_GB2312" w:hAnsi="仿宋_GB2312" w:eastAsia="仿宋_GB2312" w:cs="仿宋_GB2312"/>
          <w:sz w:val="21"/>
        </w:rPr>
        <w:t>云梯有效训练宽度≥1200 mm，横杆中心间距宜为280 mm~320 mm，横杆排列应均匀；器材净高及首末端辅助上下结构按现场净高和成人使用要求确定。</w:t>
      </w:r>
    </w:p>
    <w:p w14:paraId="3C4D1537">
      <w:pPr>
        <w:pStyle w:val="4"/>
        <w:ind w:firstLine="400"/>
      </w:pPr>
      <w:r>
        <w:rPr>
          <w:rFonts w:ascii="仿宋_GB2312" w:hAnsi="仿宋_GB2312" w:eastAsia="仿宋_GB2312" w:cs="仿宋_GB2312"/>
          <w:sz w:val="21"/>
        </w:rPr>
        <w:t>云梯按单人使用设计，额定使用者质量≥120 kg。每根横杆应能承受3.0 kN试验荷载；整体横梁和支撑结构应能承受最不利位置两根横杆同时各施加2.0 kN的试验荷载。试验后横杆、横梁及连接节点不得出现裂纹、松动或影响安全使用的永久变形。</w:t>
      </w:r>
    </w:p>
    <w:p w14:paraId="497706C5">
      <w:pPr>
        <w:pStyle w:val="4"/>
        <w:ind w:firstLine="400"/>
      </w:pPr>
      <w:r>
        <w:rPr>
          <w:rFonts w:ascii="仿宋_GB2312" w:hAnsi="仿宋_GB2312" w:eastAsia="仿宋_GB2312" w:cs="仿宋_GB2312"/>
          <w:sz w:val="21"/>
        </w:rPr>
        <w:t>器材应与地面、墙体或顶部主体结构可靠连接。后置锚栓的类型、直径、数量、边距、间距和有效锚固深度应根据基材强度及受力计算确定，并符合JGJ 145《混凝土结构后锚固技术规程》的现行规定。严禁固定在装饰吊顶、轻质隔墙或无可靠承载能力的基层上。</w:t>
      </w:r>
    </w:p>
    <w:p w14:paraId="7DF36D03">
      <w:pPr>
        <w:pStyle w:val="4"/>
        <w:ind w:firstLine="400"/>
      </w:pPr>
      <w:r>
        <w:rPr>
          <w:rFonts w:ascii="仿宋_GB2312" w:hAnsi="仿宋_GB2312" w:eastAsia="仿宋_GB2312" w:cs="仿宋_GB2312"/>
          <w:sz w:val="21"/>
        </w:rPr>
        <w:t>安装前应对楼板、梁、墙体等既有结构进行核验。既有结构条件不能满足要求时，应增设独立钢结构或基础，不得通过增加锚栓数量替代承载能力核验。</w:t>
      </w:r>
    </w:p>
    <w:p w14:paraId="7CF42A2E">
      <w:pPr>
        <w:pStyle w:val="4"/>
        <w:ind w:firstLine="400"/>
      </w:pPr>
      <w:r>
        <w:rPr>
          <w:rFonts w:ascii="仿宋_GB2312" w:hAnsi="仿宋_GB2312" w:eastAsia="仿宋_GB2312" w:cs="仿宋_GB2312"/>
          <w:sz w:val="21"/>
        </w:rPr>
        <w:t>吊环及云梯下方应设置连续运动防护垫，厚度和冲击吸收性能应与器材高度和训练方式匹配；防护垫使用时不得明显滑移或形成危险缝隙。</w:t>
      </w:r>
    </w:p>
    <w:p w14:paraId="0FCD3334">
      <w:pPr>
        <w:pStyle w:val="4"/>
        <w:ind w:firstLine="400"/>
      </w:pPr>
      <w:r>
        <w:rPr>
          <w:rFonts w:ascii="仿宋_GB2312" w:hAnsi="仿宋_GB2312" w:eastAsia="仿宋_GB2312" w:cs="仿宋_GB2312"/>
          <w:sz w:val="21"/>
        </w:rPr>
        <w:t>器材四周应留有安全净空，不得与门窗、灯具、消防设施、墙角及其他器材发生碰撞；具体净空尺寸应在深化图中标明。</w:t>
      </w:r>
    </w:p>
    <w:p w14:paraId="7F7B96E1">
      <w:pPr>
        <w:pStyle w:val="4"/>
        <w:ind w:firstLine="402"/>
      </w:pPr>
      <w:r>
        <w:rPr>
          <w:rFonts w:ascii="仿宋_GB2312" w:hAnsi="仿宋_GB2312" w:eastAsia="仿宋_GB2312" w:cs="仿宋_GB2312"/>
          <w:sz w:val="21"/>
        </w:rPr>
        <w:t>提供钢材材质证明、钢管规格和壁厚检测资料，以及表面涂层厚度和附着力的国家认可的第三方检测机构出具的检测报告复印件。</w:t>
      </w:r>
    </w:p>
    <w:p w14:paraId="4D156427">
      <w:pPr>
        <w:pStyle w:val="4"/>
        <w:ind w:firstLine="402"/>
      </w:pPr>
      <w:r>
        <w:rPr>
          <w:rFonts w:ascii="仿宋_GB2312" w:hAnsi="仿宋_GB2312" w:eastAsia="仿宋_GB2312" w:cs="仿宋_GB2312"/>
          <w:b/>
          <w:sz w:val="21"/>
        </w:rPr>
        <w:t>▲安装完成后应进行现场静载检验：吊环每个悬挂点分别加载4.0 kN，并在两个悬挂点同时各加载3.0 kN；云梯最不利横杆加载3.0 kN，并在最不利的两根横杆上同时各加载2.0 kN。每种工况保持不少于5 min。检验期间及卸载后不得出现裂纹、锚固松动、连接失效或影响安全使用的永久变形；后置锚固连接同时应按设计及JGJ 145要求进行现场抗拔检验。检验应由具有相应能力的第三方机构实施并出具报告，未经验收不得投入使用。（供应商提供承诺函）</w:t>
      </w:r>
    </w:p>
    <w:p w14:paraId="27EBE15A">
      <w:pPr>
        <w:pStyle w:val="4"/>
        <w:ind w:firstLine="400"/>
      </w:pPr>
      <w:r>
        <w:rPr>
          <w:rFonts w:ascii="仿宋_GB2312" w:hAnsi="仿宋_GB2312" w:eastAsia="仿宋_GB2312" w:cs="仿宋_GB2312"/>
          <w:sz w:val="21"/>
        </w:rPr>
        <w:t>供应商应提供产品合格证、安装图、使用说明和维护手册，并明确额定使用载荷、使用人数、紧固件复检周期和易损件更换要求。</w:t>
      </w:r>
    </w:p>
    <w:p w14:paraId="159EC0FB">
      <w:pPr>
        <w:pStyle w:val="4"/>
        <w:ind w:firstLine="402"/>
      </w:pPr>
      <w:r>
        <w:rPr>
          <w:rFonts w:ascii="仿宋_GB2312" w:hAnsi="仿宋_GB2312" w:eastAsia="仿宋_GB2312" w:cs="仿宋_GB2312"/>
          <w:b/>
          <w:sz w:val="21"/>
        </w:rPr>
        <w:t>（七）银镜</w:t>
      </w:r>
    </w:p>
    <w:p w14:paraId="5DA0BF0C">
      <w:pPr>
        <w:pStyle w:val="4"/>
        <w:ind w:firstLine="400"/>
      </w:pPr>
      <w:r>
        <w:rPr>
          <w:rFonts w:ascii="仿宋_GB2312" w:hAnsi="仿宋_GB2312" w:eastAsia="仿宋_GB2312" w:cs="仿宋_GB2312"/>
          <w:sz w:val="21"/>
        </w:rPr>
        <w:t>产品用于室内舞蹈教学及训练，采用5 mm高清无铜镀银玻璃镜，背面满贴安全防爆膜。</w:t>
      </w:r>
    </w:p>
    <w:p w14:paraId="24FA667C">
      <w:pPr>
        <w:pStyle w:val="4"/>
        <w:ind w:firstLine="400"/>
      </w:pPr>
      <w:r>
        <w:rPr>
          <w:rFonts w:ascii="仿宋_GB2312" w:hAnsi="仿宋_GB2312" w:eastAsia="仿宋_GB2312" w:cs="仿宋_GB2312"/>
          <w:sz w:val="21"/>
        </w:rPr>
        <w:t>银镜基片应采用优等品平板玻璃，厚度允许偏差、外观质量和边部质量应符合GB 11614《平板玻璃》及GB/T 28804《无铜镀银玻璃镜》的现行规定。</w:t>
      </w:r>
    </w:p>
    <w:p w14:paraId="51BD36DB">
      <w:pPr>
        <w:pStyle w:val="4"/>
        <w:ind w:firstLine="400"/>
      </w:pPr>
      <w:r>
        <w:rPr>
          <w:rFonts w:ascii="仿宋_GB2312" w:hAnsi="仿宋_GB2312" w:eastAsia="仿宋_GB2312" w:cs="仿宋_GB2312"/>
          <w:sz w:val="21"/>
        </w:rPr>
        <w:t>镜面玻璃公称厚度5 mm；单块尺寸及分格应结合现场实测确定，排版应规整，并尽量减少影响使用的竖向接缝。</w:t>
      </w:r>
    </w:p>
    <w:p w14:paraId="3106FBC0">
      <w:pPr>
        <w:pStyle w:val="4"/>
        <w:ind w:firstLine="400"/>
      </w:pPr>
      <w:r>
        <w:rPr>
          <w:rFonts w:ascii="仿宋_GB2312" w:hAnsi="仿宋_GB2312" w:eastAsia="仿宋_GB2312" w:cs="仿宋_GB2312"/>
          <w:sz w:val="21"/>
        </w:rPr>
        <w:t>镜面偏差 ±0.15mm；银层≥700mg/㎡、铜保护层≥200mg/㎡；可见光反射率≥85%；色泽均匀；在正常使用距离内成像清晰，无肉眼可见的波纹、重影、明显畸变和色差。</w:t>
      </w:r>
    </w:p>
    <w:p w14:paraId="5634959A">
      <w:pPr>
        <w:pStyle w:val="4"/>
        <w:ind w:firstLine="400"/>
      </w:pPr>
      <w:r>
        <w:rPr>
          <w:rFonts w:ascii="仿宋_GB2312" w:hAnsi="仿宋_GB2312" w:eastAsia="仿宋_GB2312" w:cs="仿宋_GB2312"/>
          <w:sz w:val="21"/>
        </w:rPr>
        <w:t>镜面不得有裂纹、缺角、明显划伤、气泡、夹杂物、斑点、透底、针孔、脱银、发黑等影响使用的缺陷。</w:t>
      </w:r>
    </w:p>
    <w:p w14:paraId="3EAE7300">
      <w:pPr>
        <w:pStyle w:val="4"/>
        <w:ind w:firstLine="400"/>
      </w:pPr>
      <w:r>
        <w:rPr>
          <w:rFonts w:ascii="仿宋_GB2312" w:hAnsi="仿宋_GB2312" w:eastAsia="仿宋_GB2312" w:cs="仿宋_GB2312"/>
          <w:sz w:val="21"/>
        </w:rPr>
        <w:t>所有外露边应采用机器精磨边处理，边角顺直、光滑、无锋利棱角；需拼接的镜片边部不得存在崩边。</w:t>
      </w:r>
    </w:p>
    <w:p w14:paraId="511D313C">
      <w:pPr>
        <w:pStyle w:val="4"/>
        <w:ind w:firstLine="400"/>
      </w:pPr>
      <w:r>
        <w:rPr>
          <w:rFonts w:ascii="仿宋_GB2312" w:hAnsi="仿宋_GB2312" w:eastAsia="仿宋_GB2312" w:cs="仿宋_GB2312"/>
          <w:sz w:val="21"/>
        </w:rPr>
        <w:t>镜背安全防爆膜采用PET材质，厚度≥0.12 mm，应连续满贴、无漏贴、明显气泡、翘边和褶皱。防爆膜应具有相应的拉伸、断裂伸长和粘着性能；最终安全性以银镜与防爆膜组合试件破碎后碎片保持性能为主要判定依据，膜厚不得作为唯一判定指标。</w:t>
      </w:r>
    </w:p>
    <w:p w14:paraId="69ABBD5B">
      <w:pPr>
        <w:pStyle w:val="4"/>
        <w:ind w:firstLine="400"/>
      </w:pPr>
      <w:r>
        <w:rPr>
          <w:rFonts w:ascii="仿宋_GB2312" w:hAnsi="仿宋_GB2312" w:eastAsia="仿宋_GB2312" w:cs="仿宋_GB2312"/>
          <w:sz w:val="21"/>
        </w:rPr>
        <w:t>镜背保护涂层应均匀、完整，具备耐湿热和耐腐蚀性能；安装时不得使用可能腐蚀镜背涂层的酸性胶。</w:t>
      </w:r>
    </w:p>
    <w:p w14:paraId="5BB3CC8C">
      <w:pPr>
        <w:pStyle w:val="4"/>
        <w:ind w:firstLine="400"/>
      </w:pPr>
      <w:r>
        <w:rPr>
          <w:rFonts w:ascii="仿宋_GB2312" w:hAnsi="仿宋_GB2312" w:eastAsia="仿宋_GB2312" w:cs="仿宋_GB2312"/>
          <w:sz w:val="21"/>
        </w:rPr>
        <w:t>镜面基层应平整、干燥、牢固。采用人造板基层时，甲醛释放量应按GB 18580的现行规定检验，并达到GB/T 39600规定的E0级及以上要求。</w:t>
      </w:r>
    </w:p>
    <w:p w14:paraId="36DFC107">
      <w:pPr>
        <w:pStyle w:val="4"/>
        <w:ind w:firstLine="400"/>
      </w:pPr>
      <w:r>
        <w:rPr>
          <w:rFonts w:ascii="仿宋_GB2312" w:hAnsi="仿宋_GB2312" w:eastAsia="仿宋_GB2312" w:cs="仿宋_GB2312"/>
          <w:sz w:val="21"/>
        </w:rPr>
        <w:t>镜面粘接材料应为中性、无腐蚀、适用于银镜的专用镜面胶；有害物质限量应符合GB 18583《室内装饰装修材料 胶粘剂中有害物质限量》的现行规定。</w:t>
      </w:r>
    </w:p>
    <w:p w14:paraId="40C8AFD8">
      <w:pPr>
        <w:pStyle w:val="4"/>
        <w:ind w:firstLine="400"/>
      </w:pPr>
      <w:r>
        <w:rPr>
          <w:rFonts w:ascii="仿宋_GB2312" w:hAnsi="仿宋_GB2312" w:eastAsia="仿宋_GB2312" w:cs="仿宋_GB2312"/>
          <w:sz w:val="21"/>
        </w:rPr>
        <w:t>镜面安装应牢固可靠，并设置必要的托件或防坠构造，不得仅依靠普通双面胶固定。镜面胶的粘接点或粘接条应分布均匀，不得形成局部集中受力、松动、翘曲或影响成像的变形。</w:t>
      </w:r>
    </w:p>
    <w:p w14:paraId="7C410BE3">
      <w:pPr>
        <w:pStyle w:val="4"/>
        <w:ind w:firstLine="400"/>
      </w:pPr>
      <w:r>
        <w:rPr>
          <w:rFonts w:ascii="仿宋_GB2312" w:hAnsi="仿宋_GB2312" w:eastAsia="仿宋_GB2312" w:cs="仿宋_GB2312"/>
          <w:sz w:val="21"/>
        </w:rPr>
        <w:t>镜面完成面应平整、垂直，相邻镜片高低差≤0.5 mm，拼缝宽度宜为2 mm~3 mm，接缝应顺直、均匀。</w:t>
      </w:r>
    </w:p>
    <w:p w14:paraId="70D27D2A">
      <w:pPr>
        <w:pStyle w:val="4"/>
        <w:ind w:firstLine="400"/>
      </w:pPr>
      <w:r>
        <w:rPr>
          <w:rFonts w:ascii="仿宋_GB2312" w:hAnsi="仿宋_GB2312" w:eastAsia="仿宋_GB2312" w:cs="仿宋_GB2312"/>
          <w:sz w:val="21"/>
        </w:rPr>
        <w:t>镜面下沿高度、整体高度及收口方式按施工图和现场尺寸确定；外露收口材料应圆滑、牢固，不得形成割伤、碰伤风险。</w:t>
      </w:r>
    </w:p>
    <w:p w14:paraId="778B7421">
      <w:pPr>
        <w:pStyle w:val="4"/>
        <w:ind w:firstLine="402"/>
      </w:pPr>
      <w:r>
        <w:rPr>
          <w:rFonts w:ascii="仿宋_GB2312" w:hAnsi="仿宋_GB2312" w:eastAsia="仿宋_GB2312" w:cs="仿宋_GB2312"/>
          <w:sz w:val="21"/>
        </w:rPr>
        <w:t>提供银镜厚度、可见光反射率、外观质量、耐湿热或耐腐蚀性能的国家认可的第三方检测机构出具的检测报告复印件。报告送检产品应与所供产品的材质和厚度一致。</w:t>
      </w:r>
    </w:p>
    <w:p w14:paraId="761B9DA0">
      <w:pPr>
        <w:pStyle w:val="4"/>
        <w:ind w:firstLine="402"/>
      </w:pPr>
      <w:r>
        <w:rPr>
          <w:rFonts w:ascii="仿宋_GB2312" w:hAnsi="仿宋_GB2312" w:eastAsia="仿宋_GB2312" w:cs="仿宋_GB2312"/>
          <w:b/>
          <w:sz w:val="21"/>
        </w:rPr>
        <w:t>▲提供镜面胶有害物质限量国家认可的第三方检测机构出具的检测报告复印件；采用人造板基层时，同时提供按GB 18580检验的甲醛释放量报告，并证明达到GB/T 39600规定的E0级及以上。</w:t>
      </w:r>
    </w:p>
    <w:p w14:paraId="7996EB72">
      <w:pPr>
        <w:pStyle w:val="4"/>
        <w:ind w:firstLine="402"/>
      </w:pPr>
      <w:r>
        <w:rPr>
          <w:rFonts w:ascii="仿宋_GB2312" w:hAnsi="仿宋_GB2312" w:eastAsia="仿宋_GB2312" w:cs="仿宋_GB2312"/>
          <w:b/>
          <w:sz w:val="21"/>
        </w:rPr>
        <w:t>备注：1.本文件所引用的标准如有更新或替代，以采购公告发布时国家现行有效版本为准。</w:t>
      </w:r>
    </w:p>
    <w:p w14:paraId="2E4B6DE6">
      <w:r>
        <w:rPr>
          <w:rFonts w:ascii="仿宋_GB2312" w:hAnsi="仿宋_GB2312" w:eastAsia="仿宋_GB2312" w:cs="仿宋_GB2312"/>
          <w:b/>
          <w:sz w:val="21"/>
        </w:rPr>
        <w:t>2.带有“▲”的条款为重要技术参数，按要求提供相应佐证材料。</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191423"/>
    <w:rsid w:val="28191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2026-07-28T08:34:00Z</dcterms:created>
  <dc:creator>zl</dc:creator>
  <cp:lastModifiedBy>zl</cp:lastModifiedBy>
  <dcterms:modified xsi:type="dcterms:W3CDTF">2026-07-28T08:35:22Z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81B5AC4CF0354DADA2E9EE0F543E1CAC_11</vt:lpwstr>
  </property>
  <property fmtid="{D5CDD505-2E9C-101B-9397-08002B2CF9AE}" pid="4" name="KSOTemplateDocerSaveRecord">
    <vt:lpwstr>eyJoZGlkIjoiNTFjN2FhOGEyYTBlMTgwMDAxOWMzZTE0NTAwMjNiMDkiLCJ1c2VySWQiOiIyNzQ5OTcwMTQifQ==</vt:lpwstr>
  </property>
</Properties>
</file>