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版本号：政采-渭南市-2026-01461、SCZB2026-CS-1770-1.1B120260721001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渭南市DIP支付方式改革第三方服务采购项目(二次)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政采-渭南市-2026-01461、SCZB2026-CS-1770-1.1B1</w:t>
      </w:r>
      <w:r>
        <w:br/>
      </w:r>
      <w:r>
        <w:br/>
      </w:r>
      <w:r>
        <w:br/>
      </w:r>
    </w:p>
    <w:p>
      <w:pPr>
        <w:pStyle w:val="null3"/>
        <w:jc w:val="center"/>
        <w:outlineLvl w:val="2"/>
      </w:pPr>
      <w:r>
        <w:rPr>
          <w:rFonts w:ascii="仿宋_GB2312" w:hAnsi="仿宋_GB2312" w:cs="仿宋_GB2312" w:eastAsia="仿宋_GB2312"/>
          <w:sz w:val="28"/>
          <w:b/>
        </w:rPr>
        <w:t>渭南市医疗保障局</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渭南市医疗保障局</w:t>
      </w:r>
      <w:r>
        <w:rPr>
          <w:rFonts w:ascii="仿宋_GB2312" w:hAnsi="仿宋_GB2312" w:cs="仿宋_GB2312" w:eastAsia="仿宋_GB2312"/>
        </w:rPr>
        <w:t>委托，拟对</w:t>
      </w:r>
      <w:r>
        <w:rPr>
          <w:rFonts w:ascii="仿宋_GB2312" w:hAnsi="仿宋_GB2312" w:cs="仿宋_GB2312" w:eastAsia="仿宋_GB2312"/>
        </w:rPr>
        <w:t>渭南市DIP支付方式改革第三方服务采购项目(二次)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政采-渭南市-2026-01461、SCZB2026-CS-1770-1.1B1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渭南市DIP支付方式改革第三方服务采购项目(二次)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托第三方专业技术能力，完成渭南市统筹区DIP病种目录库建设与维护；实现医保基金总额预算精细化管理，规范临床诊疗行为，平衡医疗服务成本与收益；在保障医保基金安全运行的前提下，提升医保支付管理精细化水平，推动区域医疗资源高效分配，达成医保基金“高效使用、精准支付”的改革目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在递交磋商响应文件截止时间前被“信用中国”网站（www.creditchina.gov.cn）和中国政府采购网（www.ccgp.gov.cn）上被列入失信被执行人、重大税收违法失信主体、政府采购严重违法失信行为记录名单的，不得参加磋商（以现场查询截图为准）。</w:t>
      </w:r>
    </w:p>
    <w:p>
      <w:pPr>
        <w:pStyle w:val="null3"/>
      </w:pPr>
      <w:r>
        <w:rPr>
          <w:rFonts w:ascii="仿宋_GB2312" w:hAnsi="仿宋_GB2312" w:cs="仿宋_GB2312" w:eastAsia="仿宋_GB2312"/>
        </w:rPr>
        <w:t>2、法定代表人授权书/法定代表人身份证明：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4、非联合体：参与供应商为非联合体（提供声明函）。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渭南市医疗保障局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渭南市临渭区车雷大街69号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裴峰刚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0913-2933259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熊磊、年婷婷、张学强、刘艳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银行账号：103661182657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代理服务费收费标准：参照原国家计委计价格【2002】1980号文和国家发改委发改办价格【2003】857号文的计算方法（按合同包）收取，不足6000元按6000元收取。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渭南市医疗保障局</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渭南市医疗保障局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渭南市医疗保障局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联系人：代理机构</w:t>
      </w:r>
    </w:p>
    <w:p>
      <w:pPr>
        <w:pStyle w:val="null3"/>
      </w:pPr>
      <w:r>
        <w:rPr>
          <w:rFonts w:ascii="仿宋_GB2312" w:hAnsi="仿宋_GB2312" w:cs="仿宋_GB2312" w:eastAsia="仿宋_GB2312"/>
        </w:rPr>
        <w:t>联系电话：029-88481271</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托第三方专业技术能力，完成渭南市统筹区DIP病种目录库建设与维护；实现医保基金总额预算精细化管理，规范临床诊疗行为，平衡医疗服务成本与收益；在保障医保基金安全运行的前提下，提升医保支付管理精细化水平，推动区域医疗资源高效分配，达成医保基金“高效使用、精准支付”的改革目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渭南市DIP支付方式改革第三方服务采购项目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标的名称：渭南市DIP支付方式改革第三方服务采购项目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b/>
              </w:rPr>
              <w:t>一、基本要求</w:t>
            </w:r>
          </w:p>
          <w:p>
            <w:pPr>
              <w:pStyle w:val="null3"/>
              <w:ind w:firstLine="400"/>
              <w:jc w:val="both"/>
            </w:pPr>
            <w:r>
              <w:rPr>
                <w:rFonts w:ascii="仿宋_GB2312" w:hAnsi="仿宋_GB2312" w:cs="仿宋_GB2312" w:eastAsia="仿宋_GB2312"/>
                <w:b/>
              </w:rPr>
              <w:t>1.</w:t>
            </w:r>
            <w:r>
              <w:rPr>
                <w:rFonts w:ascii="仿宋_GB2312" w:hAnsi="仿宋_GB2312" w:cs="仿宋_GB2312" w:eastAsia="仿宋_GB2312"/>
                <w:b/>
              </w:rPr>
              <w:t>功能要求：</w:t>
            </w:r>
            <w:r>
              <w:rPr>
                <w:rFonts w:ascii="仿宋_GB2312" w:hAnsi="仿宋_GB2312" w:cs="仿宋_GB2312" w:eastAsia="仿宋_GB2312"/>
              </w:rPr>
              <w:t>依托第三方专业技术能力，完成渭南市统筹区DIP病种目录库建设与维护；实现医保基金总额预算精细化管理，规范临床诊疗行为，平衡医疗服务成本与收益；在保障医保基金安全运行的前提下，提升医保支付管理精细化水平，推动区域医疗资源高效分配，达成医保基金“高效使用、精准支付”的改革目标。</w:t>
            </w:r>
          </w:p>
          <w:p>
            <w:pPr>
              <w:pStyle w:val="null3"/>
              <w:ind w:firstLine="402"/>
              <w:jc w:val="both"/>
            </w:pPr>
            <w:r>
              <w:rPr>
                <w:rFonts w:ascii="仿宋_GB2312" w:hAnsi="仿宋_GB2312" w:cs="仿宋_GB2312" w:eastAsia="仿宋_GB2312"/>
                <w:b/>
              </w:rPr>
              <w:t>2.采购项目需要落实的政府采购政策：</w:t>
            </w:r>
          </w:p>
          <w:p>
            <w:pPr>
              <w:pStyle w:val="null3"/>
              <w:ind w:firstLine="400"/>
              <w:jc w:val="both"/>
            </w:pPr>
            <w:r>
              <w:rPr>
                <w:rFonts w:ascii="仿宋_GB2312" w:hAnsi="仿宋_GB2312" w:cs="仿宋_GB2312" w:eastAsia="仿宋_GB2312"/>
              </w:rPr>
              <w:t>2.1《关于进一步加大政府采购支持中小企业力度的通知》（财库〔2022〕19号）、《政府采购促进中小企业发展管理办法》（财库〔2020〕46号）、《财政部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w:t>
            </w:r>
          </w:p>
          <w:p>
            <w:pPr>
              <w:pStyle w:val="null3"/>
              <w:ind w:firstLine="400"/>
              <w:jc w:val="both"/>
            </w:pPr>
            <w:r>
              <w:rPr>
                <w:rFonts w:ascii="仿宋_GB2312" w:hAnsi="仿宋_GB2312" w:cs="仿宋_GB2312" w:eastAsia="仿宋_GB2312"/>
              </w:rPr>
              <w:t>2.2《国务院办公厅关于建立政府强制采购节能产品制度的通知》（国办发〔2007〕51号）、《财政部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w:t>
            </w:r>
          </w:p>
          <w:p>
            <w:pPr>
              <w:pStyle w:val="null3"/>
              <w:ind w:firstLine="400"/>
              <w:jc w:val="both"/>
            </w:pPr>
            <w:r>
              <w:rPr>
                <w:rFonts w:ascii="仿宋_GB2312" w:hAnsi="仿宋_GB2312" w:cs="仿宋_GB2312" w:eastAsia="仿宋_GB2312"/>
              </w:rPr>
              <w:t>2.3《关于运用政府采购政策支持乡村产业振兴的通知》（财库〔2021〕19 号）、《关于印发&lt;关于深入开展政府采购脱贫地区农副产品工作推进乡村产业振兴的实施意见&gt;的通知》（财库〔2021〕20 号）。</w:t>
            </w:r>
          </w:p>
          <w:p>
            <w:pPr>
              <w:pStyle w:val="null3"/>
              <w:ind w:firstLine="400"/>
              <w:jc w:val="both"/>
            </w:pPr>
            <w:r>
              <w:rPr>
                <w:rFonts w:ascii="仿宋_GB2312" w:hAnsi="仿宋_GB2312" w:cs="仿宋_GB2312" w:eastAsia="仿宋_GB2312"/>
              </w:rPr>
              <w:t>2.4《国家互联网信息办公室 工业和信息化部 公安部 财政部 国家认证认可监督管理委员会关于调整网络安全专用产品安全管理有关事项的公告》（2023年第1号）。</w:t>
            </w:r>
          </w:p>
          <w:p>
            <w:pPr>
              <w:pStyle w:val="null3"/>
              <w:ind w:firstLine="400"/>
              <w:jc w:val="both"/>
            </w:pPr>
            <w:r>
              <w:rPr>
                <w:rFonts w:ascii="仿宋_GB2312" w:hAnsi="仿宋_GB2312" w:cs="仿宋_GB2312" w:eastAsia="仿宋_GB2312"/>
              </w:rPr>
              <w:t>2.5《陕西省财政厅关于加快推进我省中小企业政府采购信用融资工作的通知》（陕财办采〔2020〕15 号）、《陕西省财政厅关于印发&lt;陕西省中小企业政府采购信用融资办法&gt;的通知》（陕财办采〔2018〕23 号）。</w:t>
            </w:r>
          </w:p>
          <w:p>
            <w:pPr>
              <w:pStyle w:val="null3"/>
              <w:ind w:firstLine="400"/>
              <w:jc w:val="both"/>
            </w:pPr>
            <w:r>
              <w:rPr>
                <w:rFonts w:ascii="仿宋_GB2312" w:hAnsi="仿宋_GB2312" w:cs="仿宋_GB2312" w:eastAsia="仿宋_GB2312"/>
              </w:rPr>
              <w:t>2.6《关于扩大政府采购支持绿色建材促进建筑品质提升政策实施范围的通知》（财库〔2022〕35号）、《财政部办公厅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w:t>
            </w:r>
          </w:p>
          <w:p>
            <w:pPr>
              <w:pStyle w:val="null3"/>
              <w:ind w:firstLine="400"/>
              <w:jc w:val="both"/>
            </w:pPr>
            <w:r>
              <w:rPr>
                <w:rFonts w:ascii="仿宋_GB2312" w:hAnsi="仿宋_GB2312" w:cs="仿宋_GB2312" w:eastAsia="仿宋_GB2312"/>
              </w:rPr>
              <w:t>2.7《国务院办公厅关于在政府采购中实施本国产品标准及相关政策的通知》（国办发〔2025〕34号）。</w:t>
            </w:r>
          </w:p>
          <w:p>
            <w:pPr>
              <w:pStyle w:val="null3"/>
              <w:ind w:firstLine="400"/>
              <w:jc w:val="both"/>
            </w:pPr>
            <w:r>
              <w:rPr>
                <w:rFonts w:ascii="仿宋_GB2312" w:hAnsi="仿宋_GB2312" w:cs="仿宋_GB2312" w:eastAsia="仿宋_GB2312"/>
              </w:rPr>
              <w:t>若享受以上政策优惠的企业，提供相应声明函或品目清单范围内产品的有效认证证书或相关证明。</w:t>
            </w:r>
          </w:p>
          <w:p>
            <w:pPr>
              <w:pStyle w:val="null3"/>
              <w:ind w:firstLine="402"/>
              <w:jc w:val="both"/>
            </w:pPr>
            <w:r>
              <w:rPr>
                <w:rFonts w:ascii="仿宋_GB2312" w:hAnsi="仿宋_GB2312" w:cs="仿宋_GB2312" w:eastAsia="仿宋_GB2312"/>
                <w:b/>
              </w:rPr>
              <w:t>3.服务期限：</w:t>
            </w:r>
            <w:r>
              <w:rPr>
                <w:rFonts w:ascii="仿宋_GB2312" w:hAnsi="仿宋_GB2312" w:cs="仿宋_GB2312" w:eastAsia="仿宋_GB2312"/>
              </w:rPr>
              <w:t>合同签订生效后一年，服务期限到期前，采购人可根据供应商的服务质量及考核情况续签一年合同。</w:t>
            </w:r>
          </w:p>
          <w:p>
            <w:pPr>
              <w:pStyle w:val="null3"/>
              <w:ind w:firstLine="402"/>
              <w:jc w:val="both"/>
            </w:pPr>
            <w:r>
              <w:rPr>
                <w:rFonts w:ascii="仿宋_GB2312" w:hAnsi="仿宋_GB2312" w:cs="仿宋_GB2312" w:eastAsia="仿宋_GB2312"/>
                <w:b/>
              </w:rPr>
              <w:t>4.服务地点：</w:t>
            </w:r>
            <w:r>
              <w:rPr>
                <w:rFonts w:ascii="仿宋_GB2312" w:hAnsi="仿宋_GB2312" w:cs="仿宋_GB2312" w:eastAsia="仿宋_GB2312"/>
              </w:rPr>
              <w:t>采购人指定地点。</w:t>
            </w:r>
          </w:p>
          <w:p>
            <w:pPr>
              <w:pStyle w:val="null3"/>
              <w:ind w:firstLine="402"/>
              <w:jc w:val="both"/>
            </w:pPr>
            <w:r>
              <w:rPr>
                <w:rFonts w:ascii="仿宋_GB2312" w:hAnsi="仿宋_GB2312" w:cs="仿宋_GB2312" w:eastAsia="仿宋_GB2312"/>
                <w:b/>
              </w:rPr>
              <w:t>二、需执行的国家相关标准、行业标准、地方标准或者其他标准、规范标准</w:t>
            </w:r>
          </w:p>
          <w:p>
            <w:pPr>
              <w:pStyle w:val="null3"/>
              <w:ind w:firstLine="400"/>
              <w:jc w:val="both"/>
            </w:pPr>
            <w:r>
              <w:rPr>
                <w:rFonts w:ascii="仿宋_GB2312" w:hAnsi="仿宋_GB2312" w:cs="仿宋_GB2312" w:eastAsia="仿宋_GB2312"/>
              </w:rPr>
              <w:t>1.遵循国家现行的其它相关规范和标准要求，并统一执行最新标准规范。</w:t>
            </w:r>
          </w:p>
          <w:p>
            <w:pPr>
              <w:pStyle w:val="null3"/>
              <w:ind w:firstLine="400"/>
              <w:jc w:val="both"/>
            </w:pPr>
            <w:r>
              <w:rPr>
                <w:rFonts w:ascii="仿宋_GB2312" w:hAnsi="仿宋_GB2312" w:cs="仿宋_GB2312" w:eastAsia="仿宋_GB2312"/>
              </w:rPr>
              <w:t>2.</w:t>
            </w:r>
            <w:r>
              <w:rPr>
                <w:rFonts w:ascii="仿宋_GB2312" w:hAnsi="仿宋_GB2312" w:cs="仿宋_GB2312" w:eastAsia="仿宋_GB2312"/>
              </w:rPr>
              <w:t>本项目非专门面向中小企业采购。</w:t>
            </w:r>
          </w:p>
          <w:p>
            <w:pPr>
              <w:pStyle w:val="null3"/>
              <w:ind w:left="405"/>
              <w:jc w:val="both"/>
            </w:pPr>
            <w:r>
              <w:rPr>
                <w:rFonts w:ascii="仿宋_GB2312" w:hAnsi="仿宋_GB2312" w:cs="仿宋_GB2312" w:eastAsia="仿宋_GB2312"/>
                <w:b/>
              </w:rPr>
              <w:t>三、服务指标的具体要求</w:t>
            </w:r>
          </w:p>
          <w:tbl>
            <w:tblPr>
              <w:tblBorders>
                <w:top w:val="single"/>
                <w:left w:val="single"/>
                <w:bottom w:val="single"/>
                <w:right w:val="single"/>
                <w:insideH w:val="single"/>
                <w:insideV w:val="single"/>
              </w:tblBorders>
            </w:tblPr>
            <w:tblGrid>
              <w:gridCol w:w="229"/>
              <w:gridCol w:w="408"/>
              <w:gridCol w:w="551"/>
              <w:gridCol w:w="1357"/>
            </w:tblGrid>
            <w:tr>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序号</w:t>
                  </w:r>
                </w:p>
              </w:tc>
              <w:tc>
                <w:tcPr>
                  <w:tcW w:type="dxa" w:w="4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服务分类</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服务名称</w:t>
                  </w:r>
                </w:p>
              </w:tc>
              <w:tc>
                <w:tcPr>
                  <w:tcW w:type="dxa" w:w="135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具体服务内容</w:t>
                  </w:r>
                </w:p>
              </w:tc>
            </w:tr>
            <w:tr>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数据支撑服务</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历史数据</w:t>
                  </w:r>
                </w:p>
                <w:p>
                  <w:pPr>
                    <w:pStyle w:val="null3"/>
                    <w:jc w:val="center"/>
                  </w:pPr>
                  <w:r>
                    <w:rPr>
                      <w:rFonts w:ascii="仿宋_GB2312" w:hAnsi="仿宋_GB2312" w:cs="仿宋_GB2312" w:eastAsia="仿宋_GB2312"/>
                    </w:rPr>
                    <w:t>治理服务</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采集统筹区近3年医保结算清单数据，作为DIP目录测算及支付标准制定的数据底座。包含制定医保结算清单数据提取字段表，完成数据清洗及质控，诊断、手术编码映射等服务内容。</w:t>
                  </w:r>
                </w:p>
              </w:tc>
            </w:tr>
            <w:tr>
              <w:tc>
                <w:tcPr>
                  <w:tcW w:type="dxa" w:w="229"/>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医疗机构数据指导服务</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对医疗机构在结算过程中遇到的数据困难，及时进行反馈指导，包括数据上传、质控、特例单议、分组等环节。</w:t>
                  </w:r>
                </w:p>
              </w:tc>
            </w:tr>
            <w:tr>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DIP目录、病种分值、调节系数、点值等测算服务</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DIP病种目录、分值、系数测算服务</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根据国家DIP技术规范及《陕西省DIP病种目录库（3.0版）》，结合地市数据特点，深入分析，形成能体现本地医疗特点、数据特点的核心病种、综合病种等，并提供专家论证全流程服务，包括目录形成逻辑培训、病种论证方案、初步待论证内容、病种论证会议服务、病种论证答疑沟通等，最终形成确定的渭南市DIP 3.0病种目录。</w:t>
                  </w:r>
                </w:p>
              </w:tc>
            </w:tr>
            <w:tr>
              <w:tc>
                <w:tcPr>
                  <w:tcW w:type="dxa" w:w="229"/>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DIP点值测算服务</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结合既往基金预算及医疗费用、病种分值、调节系数等核心因素，测算结算、清算点值。</w:t>
                  </w:r>
                </w:p>
              </w:tc>
            </w:tr>
            <w:tr>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DIP付费政策配套建设服务</w:t>
                  </w:r>
                </w:p>
              </w:tc>
              <w:tc>
                <w:tcPr>
                  <w:tcW w:type="dxa" w:w="551"/>
                  <w:vMerge w:val="restart"/>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DIP月度支付政策确定服务</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根据渭南本地实际特点，确定纳入DIP付费的医疗类别、适合本地市的除外支付政策、日间手术、中医优势病种等配套政策。</w:t>
                  </w:r>
                </w:p>
              </w:tc>
            </w:tr>
            <w:tr>
              <w:tc>
                <w:tcPr>
                  <w:tcW w:type="dxa" w:w="229"/>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551"/>
                  <w:vMerge/>
                  <w:tcBorders>
                    <w:top w:val="none" w:color="000000" w:sz="4"/>
                    <w:left w:val="none" w:color="000000" w:sz="4"/>
                    <w:bottom w:val="none" w:color="000000" w:sz="4"/>
                    <w:right w:val="single" w:color="000000" w:sz="4"/>
                  </w:tcBorders>
                </w:tcP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根据渭南本地市医疗服务特点、费用分布趋势、医疗机构分布形态，确定月度预结算支付核心算法，确保医保基金安全运行。</w:t>
                  </w:r>
                </w:p>
              </w:tc>
            </w:tr>
            <w:tr>
              <w:tc>
                <w:tcPr>
                  <w:tcW w:type="dxa" w:w="229"/>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DIP年度清算政策确定服务</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针对基金情况及医疗机构月度预结算情况，协助市医保局制定适合渭南的DIP清算方案，确定清算流程、清算算法、清算加成等内容。</w:t>
                  </w:r>
                </w:p>
              </w:tc>
            </w:tr>
            <w:tr>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w:t>
                  </w:r>
                </w:p>
              </w:tc>
              <w:tc>
                <w:tcPr>
                  <w:tcW w:type="dxa" w:w="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DIP付费结算服务</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月度预结算</w:t>
                  </w:r>
                </w:p>
                <w:p>
                  <w:pPr>
                    <w:pStyle w:val="null3"/>
                    <w:jc w:val="center"/>
                  </w:pPr>
                  <w:r>
                    <w:rPr>
                      <w:rFonts w:ascii="仿宋_GB2312" w:hAnsi="仿宋_GB2312" w:cs="仿宋_GB2312" w:eastAsia="仿宋_GB2312"/>
                    </w:rPr>
                    <w:t>服务</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建立规范、完整的月度结算流程。从数据上传、质控、分组、基金计算、结果审核提交、机构申报、经办对账、结算，形成完整闭环服务流程，支撑月度预结算顺利高效进行；</w:t>
                  </w:r>
                </w:p>
                <w:p>
                  <w:pPr>
                    <w:pStyle w:val="null3"/>
                    <w:jc w:val="left"/>
                  </w:pPr>
                  <w:r>
                    <w:rPr>
                      <w:rFonts w:ascii="仿宋_GB2312" w:hAnsi="仿宋_GB2312" w:cs="仿宋_GB2312" w:eastAsia="仿宋_GB2312"/>
                    </w:rPr>
                    <w:t>协助医保管理部门对特例单议申报范围、评审原则等政策进行优化，提供申报、初审统计、专家评审、复审评审、终审结果应用、单议结果定期统计分析等全流程服务。</w:t>
                  </w:r>
                </w:p>
              </w:tc>
            </w:tr>
            <w:tr>
              <w:tc>
                <w:tcPr>
                  <w:tcW w:type="dxa" w:w="229"/>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年度清算</w:t>
                  </w:r>
                </w:p>
                <w:p>
                  <w:pPr>
                    <w:pStyle w:val="null3"/>
                    <w:jc w:val="center"/>
                  </w:pPr>
                  <w:r>
                    <w:rPr>
                      <w:rFonts w:ascii="仿宋_GB2312" w:hAnsi="仿宋_GB2312" w:cs="仿宋_GB2312" w:eastAsia="仿宋_GB2312"/>
                    </w:rPr>
                    <w:t>服务</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结合月度预结算结果、医疗机构考核、年度医保基金情况，制定年终清算方案、模拟预清算结果、协助医保管理部门完成全套清算测试、清算报告、政策解释、清算争议沟通；</w:t>
                  </w:r>
                </w:p>
                <w:p>
                  <w:pPr>
                    <w:pStyle w:val="null3"/>
                    <w:jc w:val="left"/>
                  </w:pPr>
                  <w:r>
                    <w:rPr>
                      <w:rFonts w:ascii="仿宋_GB2312" w:hAnsi="仿宋_GB2312" w:cs="仿宋_GB2312" w:eastAsia="仿宋_GB2312"/>
                    </w:rPr>
                    <w:t>落实结余适当留用、超支合理分担机制，确保年终清算稳定、高效完成。</w:t>
                  </w:r>
                </w:p>
              </w:tc>
            </w:tr>
            <w:tr>
              <w:tc>
                <w:tcPr>
                  <w:tcW w:type="dxa" w:w="229"/>
                  <w:vMerge/>
                  <w:tcBorders>
                    <w:top w:val="none" w:color="000000" w:sz="4"/>
                    <w:left w:val="single" w:color="000000" w:sz="4"/>
                    <w:bottom w:val="single" w:color="000000" w:sz="4"/>
                    <w:right w:val="single" w:color="000000" w:sz="4"/>
                  </w:tcBorders>
                </w:tcPr>
                <w:p/>
              </w:tc>
              <w:tc>
                <w:tcPr>
                  <w:tcW w:type="dxa" w:w="408"/>
                  <w:vMerge/>
                  <w:tcBorders>
                    <w:top w:val="none" w:color="000000" w:sz="4"/>
                    <w:left w:val="none" w:color="000000" w:sz="4"/>
                    <w:bottom w:val="single" w:color="000000" w:sz="4"/>
                    <w:right w:val="single" w:color="000000" w:sz="4"/>
                  </w:tcBorders>
                </w:tcP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DIP合规监测核查服务</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按照国家DIP分组指标体系，对数据质量、诊疗行为、费用结构等进行常态化监测。开展数据核查与现场检查相结合，发现DIP数据违规问题，并横向对比同级医疗机构运行差异，排查基金流失风险；</w:t>
                  </w:r>
                  <w:r>
                    <w:br/>
                  </w:r>
                  <w:r>
                    <w:rPr>
                      <w:rFonts w:ascii="仿宋_GB2312" w:hAnsi="仿宋_GB2312" w:cs="仿宋_GB2312" w:eastAsia="仿宋_GB2312"/>
                    </w:rPr>
                    <w:t xml:space="preserve"> 每季度开展深度研判，分析基金支出变化趋势，识别基金运行隐患，提出总额预算、监督管控优化建议，为医保基金精细化管理、政策调整提供数据支撑。</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人员配备服务</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人员配备</w:t>
                  </w:r>
                </w:p>
                <w:p>
                  <w:pPr>
                    <w:pStyle w:val="null3"/>
                    <w:jc w:val="center"/>
                  </w:pPr>
                  <w:r>
                    <w:rPr>
                      <w:rFonts w:ascii="仿宋_GB2312" w:hAnsi="仿宋_GB2312" w:cs="仿宋_GB2312" w:eastAsia="仿宋_GB2312"/>
                    </w:rPr>
                    <w:t>服务</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项目驻场不少于3人，陕西省内需配置医保支付方面有关的专业团队，团队人员需包含信息技术、数据分析、临床医学、统计测算等相关专业人员，参与月度预结算、年度清算、政策制定、目录形成、数据监测、考核评价、业务培训等全流程服务。</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基金运行分析服务</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基金运行</w:t>
                  </w:r>
                </w:p>
                <w:p>
                  <w:pPr>
                    <w:pStyle w:val="null3"/>
                    <w:jc w:val="center"/>
                  </w:pPr>
                  <w:r>
                    <w:rPr>
                      <w:rFonts w:ascii="仿宋_GB2312" w:hAnsi="仿宋_GB2312" w:cs="仿宋_GB2312" w:eastAsia="仿宋_GB2312"/>
                    </w:rPr>
                    <w:t>分析服务</w:t>
                  </w:r>
                </w:p>
              </w:tc>
              <w:tc>
                <w:tcPr>
                  <w:tcW w:type="dxa" w:w="13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对月度、季度、年度DIP付费结算数据进行分析，并出具数据分析报告，包含质控分组、基金结算、费用变化、医疗行为等指标，并结合数据指标优化付费规则与配套政策，保障基金安全高效使用，医患多方良性共赢。</w:t>
                  </w:r>
                </w:p>
              </w:tc>
            </w:tr>
          </w:tbl>
          <w:p>
            <w:pPr>
              <w:pStyle w:val="null3"/>
              <w:ind w:firstLine="402"/>
              <w:jc w:val="both"/>
            </w:pPr>
            <w:r>
              <w:rPr>
                <w:rFonts w:ascii="仿宋_GB2312" w:hAnsi="仿宋_GB2312" w:cs="仿宋_GB2312" w:eastAsia="仿宋_GB2312"/>
                <w:b/>
              </w:rPr>
              <w:t>四、拟投入本项目的费用测算</w:t>
            </w:r>
          </w:p>
          <w:p>
            <w:pPr>
              <w:pStyle w:val="null3"/>
              <w:ind w:firstLine="400"/>
              <w:jc w:val="both"/>
            </w:pPr>
            <w:r>
              <w:rPr>
                <w:rFonts w:ascii="仿宋_GB2312" w:hAnsi="仿宋_GB2312" w:cs="仿宋_GB2312" w:eastAsia="仿宋_GB2312"/>
              </w:rPr>
              <w:t>本次采购预算80万元。</w:t>
            </w:r>
          </w:p>
          <w:p>
            <w:pPr>
              <w:pStyle w:val="null3"/>
              <w:ind w:firstLine="402"/>
              <w:jc w:val="both"/>
            </w:pPr>
            <w:r>
              <w:rPr>
                <w:rFonts w:ascii="仿宋_GB2312" w:hAnsi="仿宋_GB2312" w:cs="仿宋_GB2312" w:eastAsia="仿宋_GB2312"/>
                <w:b/>
              </w:rPr>
              <w:t>五、服务质量、标准、期限、效率等要求</w:t>
            </w:r>
          </w:p>
          <w:p>
            <w:pPr>
              <w:pStyle w:val="null3"/>
              <w:ind w:firstLine="376"/>
              <w:jc w:val="both"/>
            </w:pPr>
            <w:r>
              <w:rPr>
                <w:rFonts w:ascii="仿宋_GB2312" w:hAnsi="仿宋_GB2312" w:cs="仿宋_GB2312" w:eastAsia="仿宋_GB2312"/>
              </w:rPr>
              <w:t>1.服务质量：达到国家及竞争性磋商文件规定的“合格”标准。</w:t>
            </w:r>
          </w:p>
          <w:p>
            <w:pPr>
              <w:pStyle w:val="null3"/>
              <w:ind w:firstLine="376"/>
              <w:jc w:val="both"/>
            </w:pPr>
            <w:r>
              <w:rPr>
                <w:rFonts w:ascii="仿宋_GB2312" w:hAnsi="仿宋_GB2312" w:cs="仿宋_GB2312" w:eastAsia="仿宋_GB2312"/>
              </w:rPr>
              <w:t>2.服务标准：符合国家法律法规规定的标准、磋商文件和供应商响应文件所要求的技术标准。</w:t>
            </w:r>
          </w:p>
          <w:p>
            <w:pPr>
              <w:pStyle w:val="null3"/>
              <w:ind w:firstLine="376"/>
              <w:jc w:val="both"/>
            </w:pPr>
            <w:r>
              <w:rPr>
                <w:rFonts w:ascii="仿宋_GB2312" w:hAnsi="仿宋_GB2312" w:cs="仿宋_GB2312" w:eastAsia="仿宋_GB2312"/>
              </w:rPr>
              <w:t>3.服务效率：按照采购人要求按时保质保量的完成。</w:t>
            </w:r>
          </w:p>
          <w:p>
            <w:pPr>
              <w:pStyle w:val="null3"/>
              <w:ind w:firstLine="402"/>
              <w:jc w:val="both"/>
            </w:pPr>
            <w:r>
              <w:rPr>
                <w:rFonts w:ascii="仿宋_GB2312" w:hAnsi="仿宋_GB2312" w:cs="仿宋_GB2312" w:eastAsia="仿宋_GB2312"/>
                <w:b/>
              </w:rPr>
              <w:t>六、付款方式</w:t>
            </w:r>
          </w:p>
          <w:p>
            <w:pPr>
              <w:pStyle w:val="null3"/>
              <w:ind w:firstLine="376"/>
              <w:jc w:val="both"/>
            </w:pPr>
            <w:r>
              <w:rPr>
                <w:rFonts w:ascii="仿宋_GB2312" w:hAnsi="仿宋_GB2312" w:cs="仿宋_GB2312" w:eastAsia="仿宋_GB2312"/>
              </w:rPr>
              <w:t>签订合同后10个工作日内，采购人向供应商支付合同金额的40%，服务期满10个月时支付合同金额的35%，验收通过后支付合同金额剩余的25%，供应商须向采购人出具合法有效的发票。</w:t>
            </w:r>
          </w:p>
          <w:p>
            <w:pPr>
              <w:pStyle w:val="null3"/>
              <w:ind w:firstLine="402"/>
              <w:jc w:val="both"/>
            </w:pPr>
            <w:r>
              <w:rPr>
                <w:rFonts w:ascii="仿宋_GB2312" w:hAnsi="仿宋_GB2312" w:cs="仿宋_GB2312" w:eastAsia="仿宋_GB2312"/>
                <w:b/>
              </w:rPr>
              <w:t>七、验收标准</w:t>
            </w:r>
          </w:p>
          <w:p>
            <w:pPr>
              <w:pStyle w:val="null3"/>
              <w:ind w:firstLine="376"/>
              <w:jc w:val="both"/>
            </w:pPr>
            <w:r>
              <w:rPr>
                <w:rFonts w:ascii="仿宋_GB2312" w:hAnsi="仿宋_GB2312" w:cs="仿宋_GB2312" w:eastAsia="仿宋_GB2312"/>
              </w:rPr>
              <w:t>1.按照国家和采购人验收相关规定执行。</w:t>
            </w:r>
          </w:p>
          <w:p>
            <w:pPr>
              <w:pStyle w:val="null3"/>
              <w:ind w:firstLine="376"/>
              <w:jc w:val="both"/>
            </w:pPr>
            <w:r>
              <w:rPr>
                <w:rFonts w:ascii="仿宋_GB2312" w:hAnsi="仿宋_GB2312" w:cs="仿宋_GB2312" w:eastAsia="仿宋_GB2312"/>
              </w:rPr>
              <w:t>2.服务质量达到国家相关法律法规要求、磋商文件、磋商响应文件及采购要求。</w:t>
            </w:r>
          </w:p>
          <w:p>
            <w:pPr>
              <w:pStyle w:val="null3"/>
              <w:ind w:left="405"/>
              <w:jc w:val="both"/>
            </w:pPr>
            <w:r>
              <w:rPr>
                <w:rFonts w:ascii="仿宋_GB2312" w:hAnsi="仿宋_GB2312" w:cs="仿宋_GB2312" w:eastAsia="仿宋_GB2312"/>
              </w:rPr>
              <w:t>3.确保系统能够正常工作及运行,且满足相关技术标准及采购要求。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合同签订生效后一年，服务期限到期前，采购人可根据供应商的服务质量及考核情况续签一年合同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进度款，服务期满10个月，达到付款条件起10个工作日内，支付合同总金额的35.0%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进度款，验收通过后，达到付款条件起10个工作日内，支付合同总金额的25.0%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1.异常低价审查 1.1评审中出现下列情形之一的，磋商小组应当启动异常低价投标审查程序： ①最终报价低于全部通过符合性审查供应商最终报价平均值50%的，即最终报价&lt;全部通过符合性审查供应商最终报价平均值×50%； ②最终报价低于通过符合性审查的次低报价供应商最终报价50%的，即最终报价&lt;通过符合性审查的次低最终报价供应商最终报价×50%； ③最终报价低于采购项目最高限价45%的，即最终报价&lt;采购项目最高限价×45%； ④磋商小组基于专业判断，认为供应商报价过低，有可能影响产品质量或者不能诚信履约的其他情形。 相关法律法规对供应商报价有规定的，从其规定。 1.2磋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磋商小组应当将其作为无效投标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供应商需在项目电子化交易系统中按要求填写《响应函》完成承诺并在资格证明材料中响应同时进行电子签章。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财务状况报告：提供（1）或提供（2）：（1）提供递交响应文件截止之日前两年内任意一个年度经审计的财务报告，应满足以下要求：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供应商需在项目电子化交易系统中按要求填写《响应函》完成承诺并在资格证明材料中响应同时进行电子签章。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以现场查询截图为准）。</w:t>
            </w:r>
          </w:p>
        </w:tc>
        <w:tc>
          <w:tcPr>
            <w:tcW w:type="dxa" w:w="1661"/>
          </w:tcPr>
          <w:p>
            <w:pPr>
              <w:pStyle w:val="null3"/>
            </w:pPr>
            <w:r>
              <w:rPr>
                <w:rFonts w:ascii="仿宋_GB2312" w:hAnsi="仿宋_GB2312" w:cs="仿宋_GB2312" w:eastAsia="仿宋_GB2312"/>
              </w:rPr>
              <w:t>资格证明文件.docx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参与供应商为非联合体（提供声明函）。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磋商文件签字、盖章</w:t>
            </w:r>
          </w:p>
        </w:tc>
        <w:tc>
          <w:tcPr>
            <w:tcW w:type="dxa" w:w="3322"/>
          </w:tcPr>
          <w:p>
            <w:pPr>
              <w:pStyle w:val="null3"/>
            </w:pPr>
            <w:r>
              <w:rPr>
                <w:rFonts w:ascii="仿宋_GB2312" w:hAnsi="仿宋_GB2312" w:cs="仿宋_GB2312" w:eastAsia="仿宋_GB2312"/>
              </w:rPr>
              <w:t>响应文件按采购文件要求签字、盖章。</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供应商首次磋商报价没有超出采购预算和最高限价。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保证金提交符合磋商文件要求。</w:t>
            </w:r>
          </w:p>
        </w:tc>
        <w:tc>
          <w:tcPr>
            <w:tcW w:type="dxa" w:w="1661"/>
          </w:tcPr>
          <w:p>
            <w:pPr>
              <w:pStyle w:val="null3"/>
            </w:pPr>
            <w:r>
              <w:rPr>
                <w:rFonts w:ascii="仿宋_GB2312" w:hAnsi="仿宋_GB2312" w:cs="仿宋_GB2312" w:eastAsia="仿宋_GB2312"/>
              </w:rPr>
              <w:t>磋商保证金.docx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磋商内容</w:t>
            </w:r>
          </w:p>
        </w:tc>
        <w:tc>
          <w:tcPr>
            <w:tcW w:type="dxa" w:w="3322"/>
          </w:tcPr>
          <w:p>
            <w:pPr>
              <w:pStyle w:val="null3"/>
            </w:pPr>
            <w:r>
              <w:rPr>
                <w:rFonts w:ascii="仿宋_GB2312" w:hAnsi="仿宋_GB2312" w:cs="仿宋_GB2312" w:eastAsia="仿宋_GB2312"/>
              </w:rPr>
              <w:t>磋商内容未出现漏项，与要求相符，未出现重大负偏差。且满足服务期限、服务地点、付款方式、合同主要条款等实质性商务内容。</w:t>
            </w:r>
          </w:p>
        </w:tc>
        <w:tc>
          <w:tcPr>
            <w:tcW w:type="dxa" w:w="1661"/>
          </w:tcPr>
          <w:p>
            <w:pPr>
              <w:pStyle w:val="null3"/>
            </w:pPr>
            <w:r>
              <w:rPr>
                <w:rFonts w:ascii="仿宋_GB2312" w:hAnsi="仿宋_GB2312" w:cs="仿宋_GB2312" w:eastAsia="仿宋_GB2312"/>
              </w:rPr>
              <w:t>商务应答表 服务内容及服务要求应答表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商务应答表 服务内容及服务要求应答表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需求理解分析</w:t>
            </w:r>
          </w:p>
        </w:tc>
        <w:tc>
          <w:tcPr>
            <w:tcW w:type="dxa" w:w="2492"/>
          </w:tcPr>
          <w:p>
            <w:pPr>
              <w:pStyle w:val="null3"/>
            </w:pPr>
            <w:r>
              <w:rPr>
                <w:rFonts w:ascii="仿宋_GB2312" w:hAnsi="仿宋_GB2312" w:cs="仿宋_GB2312" w:eastAsia="仿宋_GB2312"/>
              </w:rPr>
              <w:t>评审内容:供应商针对本项目提出具体的需求理解分析，方案各部分内容全面详细、阐述条理清晰详尽、符合采购要求。方案内容包含：①国家医保改革需求分析；②陕西省改革需求分析；③渭南市本地化需求分析；④对DIP3.0版分组方案变化的理解。 评审标准:上述每项方案内容无缺陷得2分，满分为8分。方案内容每存在1处缺陷：扣0.5分，扣完为止。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 方案</w:t>
            </w:r>
          </w:p>
        </w:tc>
        <w:tc>
          <w:tcPr>
            <w:tcW w:type="dxa" w:w="2492"/>
          </w:tcPr>
          <w:p>
            <w:pPr>
              <w:pStyle w:val="null3"/>
            </w:pPr>
            <w:r>
              <w:rPr>
                <w:rFonts w:ascii="仿宋_GB2312" w:hAnsi="仿宋_GB2312" w:cs="仿宋_GB2312" w:eastAsia="仿宋_GB2312"/>
              </w:rPr>
              <w:t>评审内容:供应商针对本项目提出具体的服务方案，方案各部分内容全面详细、阐述条理清晰详尽、符合采购要求。方案内容包含：①数据支撑服务；②DIP目录、病种分值、调节系数、点值等测算服务；③DIP付费政策配套建设服务；④DIP付费结算服务；⑤基金运行分析服务。 评审标准:上述每项方案内容无缺陷得2分，满分为10分。方案内容每存在1处缺陷：扣0.5分，扣完为止。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评审内容:供应商针对本项目提出具体的项目管理方案，方案各部分内容全面详细、阐述条理清晰详尽、符合采购要求。方案内容包含：①项目组织管理；②范围管理；③质量管理；④沟通管理。 评审标准:上述每项方案内容无缺陷得1.5分，满分为6分。方案内容每存在1处缺陷：扣0.5分，扣完为止。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运行监测方案</w:t>
            </w:r>
          </w:p>
        </w:tc>
        <w:tc>
          <w:tcPr>
            <w:tcW w:type="dxa" w:w="2492"/>
          </w:tcPr>
          <w:p>
            <w:pPr>
              <w:pStyle w:val="null3"/>
            </w:pPr>
            <w:r>
              <w:rPr>
                <w:rFonts w:ascii="仿宋_GB2312" w:hAnsi="仿宋_GB2312" w:cs="仿宋_GB2312" w:eastAsia="仿宋_GB2312"/>
              </w:rPr>
              <w:t>评审内容:根据供应商针对本项目的运行监测方案，各部分内容全面详细、阐述条理清晰详尽、符合磋商文件要求。方案内容包含：①监测数据采集；②监测指标体系设计；③监测主题设计；④监测分析报告编制。 评审标准:上述每项方案内容无缺陷得1.5分，满分为6分。方案内容每存在1处缺陷：扣0.5分，扣完为止。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评审内容:根据供应商针对本项目的安全保密方案，各部分内容全面详细、阐述条理清晰详尽、符合磋商文件要求。方案内容包含：①数据安全保证措施；②人员保密管控；③服务成果保密与交付管控。 评审标准:上述每项方案内容无缺陷得1分，满分为3分。方案内容每存在1处缺陷：扣0.5分，扣完为止。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培训咨询服务方案</w:t>
            </w:r>
          </w:p>
        </w:tc>
        <w:tc>
          <w:tcPr>
            <w:tcW w:type="dxa" w:w="2492"/>
          </w:tcPr>
          <w:p>
            <w:pPr>
              <w:pStyle w:val="null3"/>
            </w:pPr>
            <w:r>
              <w:rPr>
                <w:rFonts w:ascii="仿宋_GB2312" w:hAnsi="仿宋_GB2312" w:cs="仿宋_GB2312" w:eastAsia="仿宋_GB2312"/>
              </w:rPr>
              <w:t>评审内容:根据供应商针对本项目的培训咨询服务方案，各部分内容全面详细、阐述条理清晰详尽、符合磋商文件要求。方案内容包含：①培训对象分层与定位；②培训核心内容讲解；③培训实施方案与计划；④培训后跟进与技术支持。 评审标准:上述每项方案内容无缺陷得1分，满分为4分。方案内容每存在1处缺陷：扣0.5分，扣完为止。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评审内容:供应商针对本项目提出具体的售后服务方案，方案各部分内容全面详细、阐述条理清晰详尽、符合招标要求。方案内容包含：①售后服务人员组织；②售后服务保障措施；③响应时间。 评审标准:上述每项方案内容无缺陷得1分，满分为3分。方案内容每存在1处缺陷：扣0.5分，扣完为止。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专家支撑服务</w:t>
            </w:r>
          </w:p>
        </w:tc>
        <w:tc>
          <w:tcPr>
            <w:tcW w:type="dxa" w:w="2492"/>
          </w:tcPr>
          <w:p>
            <w:pPr>
              <w:pStyle w:val="null3"/>
            </w:pPr>
            <w:r>
              <w:rPr>
                <w:rFonts w:ascii="仿宋_GB2312" w:hAnsi="仿宋_GB2312" w:cs="仿宋_GB2312" w:eastAsia="仿宋_GB2312"/>
              </w:rPr>
              <w:t>供应商配备具备至少10名临床医学、药学、病案学高级职称（至少涵盖医学、药学、病案学专家各1名）的人员得4分，在此基础上，每增加1名得0.5分。本项最多得7分。 （提供在本项目发布竞争性磋商公告之日前，供应商与聘用人员签署的有效期内聘用协议，以及专家的专业资格证书复印件，否则不得分）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专业服务团队</w:t>
            </w:r>
          </w:p>
        </w:tc>
        <w:tc>
          <w:tcPr>
            <w:tcW w:type="dxa" w:w="2492"/>
          </w:tcPr>
          <w:p>
            <w:pPr>
              <w:pStyle w:val="null3"/>
            </w:pPr>
            <w:r>
              <w:rPr>
                <w:rFonts w:ascii="仿宋_GB2312" w:hAnsi="仿宋_GB2312" w:cs="仿宋_GB2312" w:eastAsia="仿宋_GB2312"/>
              </w:rPr>
              <w:t>1.项目负责人同时具备PMP项目经理认证、大数据分析师（高级），得5分；具备任意一项，得3分，未提供不得分。 2.团队人员（除项目负责人）具有统计学、卫生、医学、药学相关专业硕士研究生及以上学历，每1人得1分，最高得3分。 3.团队人员（除项目负责人）具有计算机相关专业本科及以上学历，每1人得1分，最高得3分。 4.团队人员（除项目负责人）具有统计学、卫生、医学、药学相关专业高级及以上职称每1人得1分；中级职称每1人的0.5分；最高得5分。 （团队人员只计最高学历得分，同一人员学历及职称符合上述要求的可同时得分。须提供符合上述要求人员的相关证书复印件及递交响应文件截止时间前半年内供应商为其缴纳社保的证明材料复印件，否则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企业综合实力</w:t>
            </w:r>
          </w:p>
        </w:tc>
        <w:tc>
          <w:tcPr>
            <w:tcW w:type="dxa" w:w="2492"/>
          </w:tcPr>
          <w:p>
            <w:pPr>
              <w:pStyle w:val="null3"/>
            </w:pPr>
            <w:r>
              <w:rPr>
                <w:rFonts w:ascii="仿宋_GB2312" w:hAnsi="仿宋_GB2312" w:cs="仿宋_GB2312" w:eastAsia="仿宋_GB2312"/>
              </w:rPr>
              <w:t>供应商具备信息安全管理体系、质量管理体系、职业健康管理体系、环境管理体系认证，每提供一个得1.75分，满分7分。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提供2023年1月以来供应商类似项目的业绩合同（以合同签订日期为准），附业绩合同复印件加盖公章，每提供一项业绩合同得2分，满分10分；未提供不计分。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价格权值%×100（磋商小组认为供应商的最终报价明显低于其他通过符合性审查供应商的报价，有可能影响服务质量或者不能诚信履约的，应当在磋商现场提供书面说明及相关证明材料。供应商不能证明其报价合理性的，为无效磋商） 注：本项目为服务类采购项目，根据《政府采购促进中小企业发展管理办法》[2020]46号文件规定，当供应商为小微企业或监狱企业或残疾人福利性单位时可享受15%价格扣除，供应商应如实填写《中小企业声明函》。</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本项目非专门面向中小企业采购，供应商为小微企业、或监狱企业、或残疾人福利企业，则供应商的最终响应总报价扣除15%后参与评审。</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