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版本号：ZYGJ-HZZC-261020260520001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附溪社区八组新田河至四季河村陈家岭通组道路硬化工程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ZYGJ-HZZC-2610</w:t>
      </w:r>
      <w:r>
        <w:br/>
      </w:r>
      <w:r>
        <w:br/>
      </w:r>
      <w:r>
        <w:br/>
      </w:r>
    </w:p>
    <w:p>
      <w:pPr>
        <w:pStyle w:val="null3"/>
        <w:jc w:val="center"/>
        <w:outlineLvl w:val="2"/>
      </w:pPr>
      <w:r>
        <w:rPr>
          <w:rFonts w:ascii="仿宋_GB2312" w:hAnsi="仿宋_GB2312" w:cs="仿宋_GB2312" w:eastAsia="仿宋_GB2312"/>
          <w:sz w:val="28"/>
          <w:b/>
        </w:rPr>
        <w:t>西乡县城北街道办事处</w:t>
      </w:r>
    </w:p>
    <w:p>
      <w:pPr>
        <w:pStyle w:val="null3"/>
        <w:jc w:val="center"/>
        <w:outlineLvl w:val="2"/>
      </w:pPr>
      <w:r>
        <w:rPr>
          <w:rFonts w:ascii="仿宋_GB2312" w:hAnsi="仿宋_GB2312" w:cs="仿宋_GB2312" w:eastAsia="仿宋_GB2312"/>
          <w:sz w:val="28"/>
          <w:b/>
        </w:rPr>
        <w:t>众赢国际咨询有限责任公司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众赢国际咨询有限责任公司</w:t>
      </w:r>
      <w:r>
        <w:rPr>
          <w:rFonts w:ascii="仿宋_GB2312" w:hAnsi="仿宋_GB2312" w:cs="仿宋_GB2312" w:eastAsia="仿宋_GB2312"/>
        </w:rPr>
        <w:t>（以下简称“代理机构”）受</w:t>
      </w:r>
      <w:r>
        <w:rPr>
          <w:rFonts w:ascii="仿宋_GB2312" w:hAnsi="仿宋_GB2312" w:cs="仿宋_GB2312" w:eastAsia="仿宋_GB2312"/>
        </w:rPr>
        <w:t>西乡县城北街道办事处</w:t>
      </w:r>
      <w:r>
        <w:rPr>
          <w:rFonts w:ascii="仿宋_GB2312" w:hAnsi="仿宋_GB2312" w:cs="仿宋_GB2312" w:eastAsia="仿宋_GB2312"/>
        </w:rPr>
        <w:t>委托，拟对</w:t>
      </w:r>
      <w:r>
        <w:rPr>
          <w:rFonts w:ascii="仿宋_GB2312" w:hAnsi="仿宋_GB2312" w:cs="仿宋_GB2312" w:eastAsia="仿宋_GB2312"/>
        </w:rPr>
        <w:t>附溪社区八组新田河至四季河村陈家岭通组道路硬化工程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ZYGJ-HZZC-2610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附溪社区八组新田河至四季河村陈家岭通组道路硬化工程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道路硬化，路线总长2.696公里，路基宽度4.5米,路面宽度3.5米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1、供应商代表：法定代表人直接参加磋商的，须出具法人身份证；法定代表人授权代表参加磋商的，须出具法定代表人授权书及授权代表身份证；</w:t>
      </w:r>
    </w:p>
    <w:p>
      <w:pPr>
        <w:pStyle w:val="null3"/>
      </w:pPr>
      <w:r>
        <w:rPr>
          <w:rFonts w:ascii="仿宋_GB2312" w:hAnsi="仿宋_GB2312" w:cs="仿宋_GB2312" w:eastAsia="仿宋_GB2312"/>
        </w:rPr>
        <w:t>2、供应商资格条件：供应商具备具备建设行政主管部门核发公路工程施工总承包三级及以上资质或市政公用工程总承包三级及以上资质和有效的安全生产许可证，并在人员、设备、资金等方面具有相应的施工能力；</w:t>
      </w:r>
    </w:p>
    <w:p>
      <w:pPr>
        <w:pStyle w:val="null3"/>
      </w:pPr>
      <w:r>
        <w:rPr>
          <w:rFonts w:ascii="仿宋_GB2312" w:hAnsi="仿宋_GB2312" w:cs="仿宋_GB2312" w:eastAsia="仿宋_GB2312"/>
        </w:rPr>
        <w:t>3、拟派项目负责人资格条件：拟委派项目负责人须具有公路工程专业贰级（含）及以上或市政公用工程专业贰级（含）及以上注册建造师资质，近六个月任意一月社保缴纳证明，并具有有效的安全生产考核合格证（交安B证或建安B证），在本单位注册且无在建工程</w:t>
      </w:r>
    </w:p>
    <w:p>
      <w:pPr>
        <w:pStyle w:val="null3"/>
      </w:pPr>
      <w:r>
        <w:rPr>
          <w:rFonts w:ascii="仿宋_GB2312" w:hAnsi="仿宋_GB2312" w:cs="仿宋_GB2312" w:eastAsia="仿宋_GB2312"/>
        </w:rPr>
        <w:t>4、信誉资格条件：具有良好的商业信誉和健全的财务会计制度,具有履行合同所必需的设备和专业技术能力，具有依法缴纳税收和社会保障金的良好记录，参加本项目采购活动前三年内无重大违法活动记录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)，供应商应按照汉中市财政局《关于全面推行政府采购供应商基本资格条件承诺制的通知》（汉采办采管〔2024〕20号）文件要求，提供资格承诺函；（承诺函模板详见磋商文件格式）；</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西乡县城北街道办事处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西乡县进站路陈家营巷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西乡县城北街道办事处经办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13389162011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众赢国际咨询有限责任公司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陕西省汉中市汉台区悦景湾门面房四单元二楼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13369258576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采购包1：1,169,482.00元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代理服务费收费标准：参见国家计委颁布的《招标代理服务收费管理暂行办法》（计价格[2002]1980号）和（发改办价格[2011]534号）规定的比例收费标准收取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西乡县城北街道办事处</w:t>
      </w:r>
      <w:r>
        <w:rPr>
          <w:rFonts w:ascii="仿宋_GB2312" w:hAnsi="仿宋_GB2312" w:cs="仿宋_GB2312" w:eastAsia="仿宋_GB2312"/>
        </w:rPr>
        <w:t>和</w:t>
      </w:r>
      <w:r>
        <w:rPr>
          <w:rFonts w:ascii="仿宋_GB2312" w:hAnsi="仿宋_GB2312" w:cs="仿宋_GB2312" w:eastAsia="仿宋_GB2312"/>
        </w:rPr>
        <w:t>众赢国际咨询有限责任公司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西乡县城北街道办事处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众赢国际咨询有限责任公司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西乡县城北街道办事处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众赢国际咨询有限责任公司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政府采购相关法律法规以及《财政部关于进一步加强政府采购需求和履约验收管理的指导意见》（财库﹝2016﹞205号）的要求、招标文件的技术要求、商务要求、供应商的投标文件承诺以及合同约定标准，通过相关部门组织的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联系人：邓先生</w:t>
      </w:r>
    </w:p>
    <w:p>
      <w:pPr>
        <w:pStyle w:val="null3"/>
      </w:pPr>
      <w:r>
        <w:rPr>
          <w:rFonts w:ascii="仿宋_GB2312" w:hAnsi="仿宋_GB2312" w:cs="仿宋_GB2312" w:eastAsia="仿宋_GB2312"/>
        </w:rPr>
        <w:t>联系电话：13369258576</w:t>
      </w:r>
    </w:p>
    <w:p>
      <w:pPr>
        <w:pStyle w:val="null3"/>
      </w:pPr>
      <w:r>
        <w:rPr>
          <w:rFonts w:ascii="仿宋_GB2312" w:hAnsi="仿宋_GB2312" w:cs="仿宋_GB2312" w:eastAsia="仿宋_GB2312"/>
        </w:rPr>
        <w:t>地址：陕西省汉中市汉台区悦景湾门面房四单元二楼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1,169,482.00</w:t>
      </w:r>
    </w:p>
    <w:p>
      <w:pPr>
        <w:pStyle w:val="null3"/>
      </w:pPr>
      <w:r>
        <w:rPr>
          <w:rFonts w:ascii="仿宋_GB2312" w:hAnsi="仿宋_GB2312" w:cs="仿宋_GB2312" w:eastAsia="仿宋_GB2312"/>
        </w:rPr>
        <w:t>采购包最高限价（元）: 1,169,482.00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通组道路硬化工程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1,169,482.00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标的名称：通组道路硬化工程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达到国家及行业验收合格标准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符合国家相关验收标准及其配套的规范要求，并达到合格标准。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供应商须对照本项目《项目评审办法》，逐项响应全部技术及商务指标，附对应支撑材料并按评审顺序标注，确保无遗漏、符合要求、便核查。</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（1）施工范围：工程量清单内所含的全部内容 （2）工期：90日历天 （3）付款条款相关：见磋商公告附件《采购需求》相关条款</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如按照汉中市财政局《关于全面推行政府采购供应商基本资格条件承诺制的通知》（汉采办采管〔2024〕20号）文件要求，提供资格承诺函则此项不提供；</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供应商代表</w:t>
            </w:r>
          </w:p>
        </w:tc>
        <w:tc>
          <w:tcPr>
            <w:tcW w:type="dxa" w:w="3322"/>
          </w:tcPr>
          <w:p>
            <w:pPr>
              <w:pStyle w:val="null3"/>
            </w:pPr>
            <w:r>
              <w:rPr>
                <w:rFonts w:ascii="仿宋_GB2312" w:hAnsi="仿宋_GB2312" w:cs="仿宋_GB2312" w:eastAsia="仿宋_GB2312"/>
              </w:rPr>
              <w:t>法定代表人直接参加磋商的，须出具法人身份证；法定代表人授权代表参加磋商的，须出具法定代表人授权书及授权代表身份证；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供应商资格条件</w:t>
            </w:r>
          </w:p>
        </w:tc>
        <w:tc>
          <w:tcPr>
            <w:tcW w:type="dxa" w:w="3322"/>
          </w:tcPr>
          <w:p>
            <w:pPr>
              <w:pStyle w:val="null3"/>
            </w:pPr>
            <w:r>
              <w:rPr>
                <w:rFonts w:ascii="仿宋_GB2312" w:hAnsi="仿宋_GB2312" w:cs="仿宋_GB2312" w:eastAsia="仿宋_GB2312"/>
              </w:rPr>
              <w:t>供应商具备具备建设行政主管部门核发公路工程施工总承包三级及以上资质或市政公用工程总承包三级及以上资质和有效的安全生产许可证，并在人员、设备、资金等方面具有相应的施工能力；</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拟派项目负责人资格条件</w:t>
            </w:r>
          </w:p>
        </w:tc>
        <w:tc>
          <w:tcPr>
            <w:tcW w:type="dxa" w:w="3322"/>
          </w:tcPr>
          <w:p>
            <w:pPr>
              <w:pStyle w:val="null3"/>
            </w:pPr>
            <w:r>
              <w:rPr>
                <w:rFonts w:ascii="仿宋_GB2312" w:hAnsi="仿宋_GB2312" w:cs="仿宋_GB2312" w:eastAsia="仿宋_GB2312"/>
              </w:rPr>
              <w:t>拟委派项目负责人须具有公路工程专业贰级（含）及以上或市政公用工程专业贰级（含）及以上注册建造师资质，近六个月任意一月社保缴纳证明，并具有有效的安全生产考核合格证（交安B证或建安B证），在本单位注册且无在建工程</w:t>
            </w:r>
          </w:p>
        </w:tc>
        <w:tc>
          <w:tcPr>
            <w:tcW w:type="dxa" w:w="1661"/>
          </w:tcPr>
          <w:p>
            <w:pPr>
              <w:pStyle w:val="null3"/>
            </w:pPr>
            <w:r>
              <w:rPr>
                <w:rFonts w:ascii="仿宋_GB2312" w:hAnsi="仿宋_GB2312" w:cs="仿宋_GB2312" w:eastAsia="仿宋_GB2312"/>
              </w:rPr>
              <w:t>供应商应提交的相关资格证明材料.docx 主要人员简历表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信誉资格条件</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)，供应商应按照汉中市财政局《关于全面推行政府采购供应商基本资格条件承诺制的通知》（汉采办采管〔2024〕20号）文件要求，提供资格承诺函；（承诺函模板详见磋商文件格式）；</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磋商响应文件签署、盖章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完全响应竞争性磋商文件要求的各项技术（服务）条款、商务实质性条款。</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内容包括但不限于①施工准备及总体概述；②施工平面布置；③项目总体部署；④施工方法；评审标准：各项内容全面详细、阐述条理清晰详尽、符合本项 目采购需求、对项目的理解准确、 针对性强能有效保障本项目实施得12分；每缺一项扣3分，每一项内容存在缺陷，扣1.5分，扣完为止。备注:缺陷是指内容过于简单、不完善、前后表述不一致、套用其他项 目方案或与项目需求不匹配、凭空 编造、出现常识性错误及其他不利 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内容包括但不限于①项目管理机构；②岗位安排及职责（配备技术人员、施工员、安全员、资料员、 材料员、质量员等）配备齐全。提供人员身份证、学历证、岗位证证明；③劳动力保证措施；④劳动力计划表等。 评审标准：各项内容全面详细、阐述条理清晰详尽、符合本项目采购需求、对项目的理解准确、针对性强能有效保障本项目实施得8分；每缺一项扣2分，每一项内容存在缺陷，扣1分，扣完为止。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内容包括但不限于①工程质量目标；②工程质量保证措施；③工程质量控制体系； ④质量管理机构职责等。 评审标准：各项内容全面详细、阐述条理清晰详尽、符合本项目采购需求、对项目的理解准确、针对性强能有效保障本项目实施得8分；每缺一项扣2分，每一项内容存在缺陷，扣1分，扣完为止。 备注:缺陷是指内容过于简单、不完善、前后表述不 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内容包括但不限于①文明保护及环境保护施工管理制度；②文明施工现场管理； ③防尘降噪、治污减霾、节能减排措施等。评审标准：各项内容全面详细 、阐述条理清晰详尽、符合本项目 采购需求、对项目的理解准确、针对性强能有效保障本项目实施得6分；每缺一项扣2分，每一项内容 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内容包括但不限于①工期进度安排计划；②工期保证措施； ③机械设备投入计划； ④材料投入计划；⑤ 施工计划进度图等。评审标准：各项内容全面详细、阐述条理清晰详尽、符合本项目采购需求、对项目 的理解准确、针对性强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后续服务承诺及合理化建议</w:t>
            </w:r>
          </w:p>
        </w:tc>
        <w:tc>
          <w:tcPr>
            <w:tcW w:type="dxa" w:w="2492"/>
          </w:tcPr>
          <w:p>
            <w:pPr>
              <w:pStyle w:val="null3"/>
            </w:pPr>
            <w:r>
              <w:rPr>
                <w:rFonts w:ascii="仿宋_GB2312" w:hAnsi="仿宋_GB2312" w:cs="仿宋_GB2312" w:eastAsia="仿宋_GB2312"/>
              </w:rPr>
              <w:t>内容包括但不限于①提供具体可行并符合国家相关保修规范的售后服务承诺；②根据本项目实际需求，对降低工程造价及缩短施工周期提供合理化建议。评审标准：各项内容全面详细、阐述条理清晰详尽、符合本项目采购需求、能有效保障本项目实施得4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 月1日至今完成的类似业绩证明，每提供一份得3分，最高得6分； 注：业绩须是供应商完成的类似项目，提供中标通知书或协议书（合同）扫描件或加盖公章的复印件，并电子签章，否则不作为加分项。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1、具备工程类中级及以上职称得2分，初级职称得1分； 评审依据：以申请人职称原件或电子证件为准； 2、具有3年（含）及以上类似工程施工工作经验得2分（以执业资格证或建造师注册证书发证发证时间为准），3年以下的得1分；评审依据：以申请人加盖公章的执业资格证或建造师注册证书发证时间为准； 3、至少提供2023年1月1日至今类似业绩证明，得2分。 （注：业绩须是供应商项目经理完成的类似项目，提供中标通知书或协议书（合同）扫描件或加盖公章的复印件，并电子签章，否则不得分。项目经理业绩不能作为企业业绩同时使用）</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价格分统一采用低价优先法计算，即满足磋商文件要求且磋商价格最低（通过异常低价审查）的报价为评标基准价，其价格分为满分。其他供应商的价格分统一按照下列公式计算：价格分= (评标基准价／磋商报价)×30。 注：价格得分以供应商最后报价为计算依据，结果 四舍五入保留小数点后两位。供应商不得以低于成本的报价参与磋商。经符合性审查合格的响应文件，出现下列情形之一的，评审委员会应当启动异常低价审查程序：（1）报价低于全部合格供应商报价平均值的 50%；（2）报价低于全部合格供应商次低报价的 50%；（3）报价低于本项目最高限价的 45%；（4）评审委员会认为可能影响项目质量或履约的其他情形。 本项目异常低价审查的具体程序、举证要求及处理标准，严格按照《财政部关于推动解决政府采购异常低价问题的通知》（财库〔2026〕2号）执行。</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详见附件：施工组织方案.docx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