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版本号：ZCBN-西安市-2026-0100520260513001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2026年度烟花爆竹储存库房租赁项目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ZCBN-西安市-2026-01005</w:t>
      </w:r>
      <w:r>
        <w:br/>
      </w:r>
      <w:r>
        <w:br/>
      </w:r>
      <w:r>
        <w:br/>
      </w:r>
    </w:p>
    <w:p>
      <w:pPr>
        <w:pStyle w:val="null3"/>
        <w:jc w:val="center"/>
        <w:outlineLvl w:val="2"/>
      </w:pPr>
      <w:r>
        <w:rPr>
          <w:rFonts w:ascii="仿宋_GB2312" w:hAnsi="仿宋_GB2312" w:cs="仿宋_GB2312" w:eastAsia="仿宋_GB2312"/>
          <w:sz w:val="28"/>
          <w:b/>
        </w:rPr>
        <w:t>西安市公安局治安管理支队</w:t>
      </w:r>
    </w:p>
    <w:p>
      <w:pPr>
        <w:pStyle w:val="null3"/>
        <w:jc w:val="center"/>
        <w:outlineLvl w:val="2"/>
      </w:pPr>
      <w:r>
        <w:rPr>
          <w:rFonts w:ascii="仿宋_GB2312" w:hAnsi="仿宋_GB2312" w:cs="仿宋_GB2312" w:eastAsia="仿宋_GB2312"/>
          <w:sz w:val="28"/>
          <w:b/>
        </w:rPr>
        <w:t>陕西中招诚采项目管理有限责任公司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陕西中招诚采项目管理有限责任公司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西安市公安局治安管理支队</w:t>
      </w:r>
      <w:r>
        <w:rPr>
          <w:rFonts w:ascii="仿宋_GB2312" w:hAnsi="仿宋_GB2312" w:cs="仿宋_GB2312" w:eastAsia="仿宋_GB2312"/>
        </w:rPr>
        <w:t>委托，拟对</w:t>
      </w:r>
      <w:r>
        <w:rPr>
          <w:rFonts w:ascii="仿宋_GB2312" w:hAnsi="仿宋_GB2312" w:cs="仿宋_GB2312" w:eastAsia="仿宋_GB2312"/>
        </w:rPr>
        <w:t>2026年度烟花爆竹储存库房租赁项目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ZCBN-西安市-2026-01005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2026年度烟花爆竹储存库房租赁项目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2026年烟花爆竹储存库房租赁项目，需配备烟花爆竹专业运输人员及专用运输车辆到甲方指定地点运输收缴的烟花爆竹至存储库房，装卸现场专业工作人员应轻拿轻放，注意周边及个人安全。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采购包1（采购包一）：属于专门面向中小企业采购。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或授权书：法定代表人直接参加磋商活动的，须提供法定代表人身份证明书原件及法定代表人身份证复印件（加盖公章）；法定代表人授权代表参加磋商活动的，须提供法定代表人授权委托书原件、被授权人身份证复印件（加盖公章），以及授权代表在本单位缴纳的社保证明（须提供2025年12月以来任意一个月的个人养老保险缴纳证明）。</w:t>
      </w:r>
    </w:p>
    <w:p>
      <w:pPr>
        <w:pStyle w:val="null3"/>
      </w:pPr>
      <w:r>
        <w:rPr>
          <w:rFonts w:ascii="仿宋_GB2312" w:hAnsi="仿宋_GB2312" w:cs="仿宋_GB2312" w:eastAsia="仿宋_GB2312"/>
        </w:rPr>
        <w:t>3、财务状况报告：提供 2024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4、税收缴纳证明：供应商须提供磋商截止时间前一年内任意1个月的缴税证明（注：依法免税或零申报的供应商应提供相关文件证明；）</w:t>
      </w:r>
    </w:p>
    <w:p>
      <w:pPr>
        <w:pStyle w:val="null3"/>
      </w:pPr>
      <w:r>
        <w:rPr>
          <w:rFonts w:ascii="仿宋_GB2312" w:hAnsi="仿宋_GB2312" w:cs="仿宋_GB2312" w:eastAsia="仿宋_GB2312"/>
        </w:rPr>
        <w:t>5、社会保障资金缴纳证明：供应商须提供磋商截止时间前一年内任意1个月的社会保险缴纳证明（注：依法不需要缴纳社会保障资金的供应商应提供相关文件证明；）</w:t>
      </w:r>
    </w:p>
    <w:p>
      <w:pPr>
        <w:pStyle w:val="null3"/>
      </w:pPr>
      <w:r>
        <w:rPr>
          <w:rFonts w:ascii="仿宋_GB2312" w:hAnsi="仿宋_GB2312" w:cs="仿宋_GB2312" w:eastAsia="仿宋_GB2312"/>
        </w:rPr>
        <w:t>6、承诺函：供应商须提供具有履行合同所必需的设备和专业技术能力的承诺函</w:t>
      </w:r>
    </w:p>
    <w:p>
      <w:pPr>
        <w:pStyle w:val="null3"/>
      </w:pPr>
      <w:r>
        <w:rPr>
          <w:rFonts w:ascii="仿宋_GB2312" w:hAnsi="仿宋_GB2312" w:cs="仿宋_GB2312" w:eastAsia="仿宋_GB2312"/>
        </w:rPr>
        <w:t>7、书面声明：供应商应具备良好的商业信誉，提供参加政府采购活动前3年内在经营活动中没有重大违法记录的书面声明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查询记录：供应商不得为“信用中国”网站(wwm.creditchina.goy.cn)中列入“失信被执行人(中国执行信息公开网http://zxgk,court.goy.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9、控股关联关系说明：供应商在本项目磋商中，不存在与其它供应商负责人为同一人，有控股、管理等关联关系</w:t>
      </w:r>
    </w:p>
    <w:p>
      <w:pPr>
        <w:pStyle w:val="null3"/>
      </w:pPr>
      <w:r>
        <w:rPr>
          <w:rFonts w:ascii="仿宋_GB2312" w:hAnsi="仿宋_GB2312" w:cs="仿宋_GB2312" w:eastAsia="仿宋_GB2312"/>
        </w:rPr>
        <w:t>10、非联合体磋商声明：本项目不接受联合体磋商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西安市公安局治安管理支队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西安市西大街63号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18591871956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陕西中招诚采项目管理有限责任公司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陕西省西安市灞桥区陕西省西安市国际港务区灞渭大道枫林九溪观澜26号楼1单元2902室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许文凯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13309277096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采购包1：416,200.00元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代理服务费收费标准：1、采购代理服务费参照“计价格[2002]1980号文件”计费标准。 2、由成交供应商在领取成交通知书前向受托人一次性付清。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西安市公安局治安管理支队</w:t>
      </w:r>
      <w:r>
        <w:rPr>
          <w:rFonts w:ascii="仿宋_GB2312" w:hAnsi="仿宋_GB2312" w:cs="仿宋_GB2312" w:eastAsia="仿宋_GB2312"/>
        </w:rPr>
        <w:t>和</w:t>
      </w:r>
      <w:r>
        <w:rPr>
          <w:rFonts w:ascii="仿宋_GB2312" w:hAnsi="仿宋_GB2312" w:cs="仿宋_GB2312" w:eastAsia="仿宋_GB2312"/>
        </w:rPr>
        <w:t>陕西中招诚采项目管理有限责任公司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西安市公安局治安管理支队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陕西中招诚采项目管理有限责任公司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西安市公安局治安管理支队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陕西中招诚采项目管理有限责任公司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联系人：许文凯</w:t>
      </w:r>
    </w:p>
    <w:p>
      <w:pPr>
        <w:pStyle w:val="null3"/>
      </w:pPr>
      <w:r>
        <w:rPr>
          <w:rFonts w:ascii="仿宋_GB2312" w:hAnsi="仿宋_GB2312" w:cs="仿宋_GB2312" w:eastAsia="仿宋_GB2312"/>
        </w:rPr>
        <w:t>联系电话：13309277096</w:t>
      </w:r>
    </w:p>
    <w:p>
      <w:pPr>
        <w:pStyle w:val="null3"/>
      </w:pPr>
      <w:r>
        <w:rPr>
          <w:rFonts w:ascii="仿宋_GB2312" w:hAnsi="仿宋_GB2312" w:cs="仿宋_GB2312" w:eastAsia="仿宋_GB2312"/>
        </w:rPr>
        <w:t>地址：陕西省西安市未央区凤城九路海博广场C座815室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2026年烟花爆竹储存库房租赁项目，需配备烟花爆竹专业运输人员及专用运输车辆到甲方指定地点运输收缴的烟花爆竹至存储库房，装卸现场专业工作人员应轻拿轻放，注意周边及个人安全。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416,200.00</w:t>
      </w:r>
    </w:p>
    <w:p>
      <w:pPr>
        <w:pStyle w:val="null3"/>
      </w:pPr>
      <w:r>
        <w:rPr>
          <w:rFonts w:ascii="仿宋_GB2312" w:hAnsi="仿宋_GB2312" w:cs="仿宋_GB2312" w:eastAsia="仿宋_GB2312"/>
        </w:rPr>
        <w:t>采购包最高限价（元）: 416,200.00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烟花爆竹储存库房租赁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416,200.00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标的名称：烟花爆竹储存库房租赁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（一）商务条款</w:t>
            </w:r>
          </w:p>
          <w:p>
            <w:pPr>
              <w:pStyle w:val="null3"/>
              <w:ind w:firstLine="640"/>
              <w:jc w:val="both"/>
            </w:pPr>
            <w:r>
              <w:rPr>
                <w:rFonts w:ascii="仿宋_GB2312" w:hAnsi="仿宋_GB2312" w:cs="仿宋_GB2312" w:eastAsia="仿宋_GB2312"/>
                <w:sz w:val="32"/>
              </w:rPr>
              <w:t>1.服务期限：合同签订后1年</w:t>
            </w:r>
          </w:p>
          <w:p>
            <w:pPr>
              <w:pStyle w:val="null3"/>
              <w:ind w:firstLine="640"/>
              <w:jc w:val="both"/>
            </w:pPr>
            <w:r>
              <w:rPr>
                <w:rFonts w:ascii="仿宋_GB2312" w:hAnsi="仿宋_GB2312" w:cs="仿宋_GB2312" w:eastAsia="仿宋_GB2312"/>
                <w:sz w:val="32"/>
              </w:rPr>
              <w:t>2.付款方式：合同签订后库房经甲方验收合格后一次性支付全部合同额。</w:t>
            </w:r>
          </w:p>
          <w:p>
            <w:pPr>
              <w:pStyle w:val="null3"/>
              <w:ind w:firstLine="640"/>
              <w:jc w:val="both"/>
            </w:pPr>
            <w:r>
              <w:rPr>
                <w:rFonts w:ascii="仿宋_GB2312" w:hAnsi="仿宋_GB2312" w:cs="仿宋_GB2312" w:eastAsia="仿宋_GB2312"/>
                <w:sz w:val="32"/>
              </w:rPr>
              <w:t>（二）服务内容</w:t>
            </w:r>
          </w:p>
          <w:p>
            <w:pPr>
              <w:pStyle w:val="null3"/>
              <w:ind w:firstLine="640"/>
              <w:jc w:val="both"/>
            </w:pPr>
            <w:r>
              <w:rPr>
                <w:rFonts w:ascii="仿宋_GB2312" w:hAnsi="仿宋_GB2312" w:cs="仿宋_GB2312" w:eastAsia="仿宋_GB2312"/>
                <w:sz w:val="32"/>
              </w:rPr>
              <w:t>需配备烟花爆竹专业运输人员及专用运输车辆到甲方指定地点运输收缴的烟花爆竹至存储库房，装卸现场专业工作人员应轻拿轻放，注意周边及个人安全。</w:t>
            </w:r>
          </w:p>
          <w:p>
            <w:pPr>
              <w:pStyle w:val="null3"/>
              <w:ind w:firstLine="640"/>
              <w:jc w:val="both"/>
            </w:pPr>
            <w:r>
              <w:rPr>
                <w:rFonts w:ascii="仿宋_GB2312" w:hAnsi="仿宋_GB2312" w:cs="仿宋_GB2312" w:eastAsia="仿宋_GB2312"/>
                <w:sz w:val="32"/>
              </w:rPr>
              <w:t>（三）服务要求</w:t>
            </w:r>
          </w:p>
          <w:p>
            <w:pPr>
              <w:pStyle w:val="null3"/>
              <w:ind w:firstLine="640"/>
              <w:jc w:val="both"/>
            </w:pPr>
            <w:r>
              <w:rPr>
                <w:rFonts w:ascii="仿宋_GB2312" w:hAnsi="仿宋_GB2312" w:cs="仿宋_GB2312" w:eastAsia="仿宋_GB2312"/>
                <w:sz w:val="32"/>
              </w:rPr>
              <w:t>1.运输车辆要求</w:t>
            </w:r>
          </w:p>
          <w:p>
            <w:pPr>
              <w:pStyle w:val="null3"/>
              <w:ind w:firstLine="640"/>
              <w:jc w:val="both"/>
            </w:pPr>
            <w:r>
              <w:rPr>
                <w:rFonts w:ascii="仿宋_GB2312" w:hAnsi="仿宋_GB2312" w:cs="仿宋_GB2312" w:eastAsia="仿宋_GB2312"/>
                <w:sz w:val="32"/>
              </w:rPr>
              <w:t>★（1）运输收缴烟花爆竹车辆应满足《爆破器材运输车辆安全技术条件》科工爆（2001）156号中的相关要求（危险货物运输），并经有关部门审验后，在合法有效期内。</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2）运输烟花爆竹车辆除应当遵守《中华人民共和国道路交通安全法》外，还应当遵守下列规定：</w:t>
            </w:r>
          </w:p>
          <w:p>
            <w:pPr>
              <w:pStyle w:val="null3"/>
              <w:ind w:firstLine="640"/>
              <w:jc w:val="both"/>
            </w:pPr>
            <w:r>
              <w:rPr>
                <w:rFonts w:ascii="仿宋_GB2312" w:hAnsi="仿宋_GB2312" w:cs="仿宋_GB2312" w:eastAsia="仿宋_GB2312"/>
                <w:sz w:val="21"/>
              </w:rPr>
              <w:t>①</w:t>
            </w:r>
            <w:r>
              <w:rPr>
                <w:rFonts w:ascii="仿宋_GB2312" w:hAnsi="仿宋_GB2312" w:cs="仿宋_GB2312" w:eastAsia="仿宋_GB2312"/>
                <w:sz w:val="32"/>
              </w:rPr>
              <w:t>随车携带《烟花爆竹道路运输许可证》；</w:t>
            </w:r>
          </w:p>
          <w:p>
            <w:pPr>
              <w:pStyle w:val="null3"/>
              <w:ind w:firstLine="640"/>
              <w:jc w:val="both"/>
            </w:pPr>
            <w:r>
              <w:rPr>
                <w:rFonts w:ascii="仿宋_GB2312" w:hAnsi="仿宋_GB2312" w:cs="仿宋_GB2312" w:eastAsia="仿宋_GB2312"/>
                <w:sz w:val="21"/>
              </w:rPr>
              <w:t>②</w:t>
            </w:r>
            <w:r>
              <w:rPr>
                <w:rFonts w:ascii="仿宋_GB2312" w:hAnsi="仿宋_GB2312" w:cs="仿宋_GB2312" w:eastAsia="仿宋_GB2312"/>
                <w:sz w:val="32"/>
              </w:rPr>
              <w:t>不得违反运输许可事项；</w:t>
            </w:r>
          </w:p>
          <w:p>
            <w:pPr>
              <w:pStyle w:val="null3"/>
              <w:ind w:firstLine="640"/>
              <w:jc w:val="both"/>
            </w:pPr>
            <w:r>
              <w:rPr>
                <w:rFonts w:ascii="仿宋_GB2312" w:hAnsi="仿宋_GB2312" w:cs="仿宋_GB2312" w:eastAsia="仿宋_GB2312"/>
                <w:sz w:val="21"/>
              </w:rPr>
              <w:t>③</w:t>
            </w:r>
            <w:r>
              <w:rPr>
                <w:rFonts w:ascii="仿宋_GB2312" w:hAnsi="仿宋_GB2312" w:cs="仿宋_GB2312" w:eastAsia="仿宋_GB2312"/>
                <w:sz w:val="32"/>
              </w:rPr>
              <w:t>运输车辆悬挂或者安装符合国家标准的易燃易爆危险物品警示标志；</w:t>
            </w:r>
          </w:p>
          <w:p>
            <w:pPr>
              <w:pStyle w:val="null3"/>
              <w:ind w:firstLine="640"/>
              <w:jc w:val="both"/>
            </w:pPr>
            <w:r>
              <w:rPr>
                <w:rFonts w:ascii="仿宋_GB2312" w:hAnsi="仿宋_GB2312" w:cs="仿宋_GB2312" w:eastAsia="仿宋_GB2312"/>
                <w:sz w:val="21"/>
              </w:rPr>
              <w:t>④</w:t>
            </w:r>
            <w:r>
              <w:rPr>
                <w:rFonts w:ascii="仿宋_GB2312" w:hAnsi="仿宋_GB2312" w:cs="仿宋_GB2312" w:eastAsia="仿宋_GB2312"/>
                <w:sz w:val="32"/>
              </w:rPr>
              <w:t>烟花爆竹装载符合国家有关标准和规范；</w:t>
            </w:r>
          </w:p>
          <w:p>
            <w:pPr>
              <w:pStyle w:val="null3"/>
              <w:ind w:firstLine="640"/>
              <w:jc w:val="both"/>
            </w:pPr>
            <w:r>
              <w:rPr>
                <w:rFonts w:ascii="仿宋_GB2312" w:hAnsi="仿宋_GB2312" w:cs="仿宋_GB2312" w:eastAsia="仿宋_GB2312"/>
                <w:sz w:val="21"/>
              </w:rPr>
              <w:t>⑤</w:t>
            </w:r>
            <w:r>
              <w:rPr>
                <w:rFonts w:ascii="仿宋_GB2312" w:hAnsi="仿宋_GB2312" w:cs="仿宋_GB2312" w:eastAsia="仿宋_GB2312"/>
                <w:sz w:val="32"/>
              </w:rPr>
              <w:t>装载烟花爆竹的车厢不得载人；</w:t>
            </w:r>
          </w:p>
          <w:p>
            <w:pPr>
              <w:pStyle w:val="null3"/>
              <w:ind w:firstLine="640"/>
              <w:jc w:val="both"/>
            </w:pPr>
            <w:r>
              <w:rPr>
                <w:rFonts w:ascii="仿宋_GB2312" w:hAnsi="仿宋_GB2312" w:cs="仿宋_GB2312" w:eastAsia="仿宋_GB2312"/>
                <w:sz w:val="21"/>
              </w:rPr>
              <w:t>⑥</w:t>
            </w:r>
            <w:r>
              <w:rPr>
                <w:rFonts w:ascii="仿宋_GB2312" w:hAnsi="仿宋_GB2312" w:cs="仿宋_GB2312" w:eastAsia="仿宋_GB2312"/>
                <w:sz w:val="32"/>
              </w:rPr>
              <w:t>运输车辆限速行驶，途中经停必须由专人看守；</w:t>
            </w:r>
          </w:p>
          <w:p>
            <w:pPr>
              <w:pStyle w:val="null3"/>
              <w:ind w:firstLine="640"/>
              <w:jc w:val="both"/>
            </w:pPr>
            <w:r>
              <w:rPr>
                <w:rFonts w:ascii="仿宋_GB2312" w:hAnsi="仿宋_GB2312" w:cs="仿宋_GB2312" w:eastAsia="仿宋_GB2312"/>
                <w:sz w:val="21"/>
              </w:rPr>
              <w:t>⑦</w:t>
            </w:r>
            <w:r>
              <w:rPr>
                <w:rFonts w:ascii="仿宋_GB2312" w:hAnsi="仿宋_GB2312" w:cs="仿宋_GB2312" w:eastAsia="仿宋_GB2312"/>
                <w:sz w:val="32"/>
              </w:rPr>
              <w:t>出现危险情况立即采取必要措施，并报告当地公安部门。</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3）运输烟花爆竹的车辆必须实行特种车辆及运输许可证，落实定期检查制度。</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4）运输时，所运输物品堆码应平稳、整齐，物品堆码高度不应超过运输工具围板、挡板高度。在库区内，车辆速度小于或等于15km/h,使用手推车、板车在坡道上运输时应有人协助并以低速行驶。</w:t>
            </w:r>
          </w:p>
          <w:p>
            <w:pPr>
              <w:pStyle w:val="null3"/>
              <w:ind w:firstLine="640"/>
              <w:jc w:val="both"/>
            </w:pPr>
            <w:r>
              <w:rPr>
                <w:rFonts w:ascii="仿宋_GB2312" w:hAnsi="仿宋_GB2312" w:cs="仿宋_GB2312" w:eastAsia="仿宋_GB2312"/>
                <w:sz w:val="32"/>
              </w:rPr>
              <w:t>2.存储库要求</w:t>
            </w:r>
          </w:p>
          <w:p>
            <w:pPr>
              <w:pStyle w:val="null3"/>
              <w:ind w:firstLine="640"/>
              <w:jc w:val="both"/>
            </w:pPr>
            <w:r>
              <w:rPr>
                <w:rFonts w:ascii="仿宋_GB2312" w:hAnsi="仿宋_GB2312" w:cs="仿宋_GB2312" w:eastAsia="仿宋_GB2312"/>
                <w:sz w:val="32"/>
              </w:rPr>
              <w:t>★（1）库房应满足《烟花爆竹作业安全技术规程》（GB11652-2012），新建、改扩建库房应满足《烟花爆竹工程设计安全标准》（GB50161-2022）要求。库房应有相关验收报告及安全现状评价报告。</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2）仓库须位于远离城镇的独立地段，应避开居民点、学校、工业区、旅游区、铁路和公路运输线等。</w:t>
            </w:r>
          </w:p>
          <w:p>
            <w:pPr>
              <w:pStyle w:val="null3"/>
              <w:ind w:firstLine="640"/>
              <w:jc w:val="both"/>
            </w:pPr>
            <w:r>
              <w:rPr>
                <w:rFonts w:ascii="仿宋_GB2312" w:hAnsi="仿宋_GB2312" w:cs="仿宋_GB2312" w:eastAsia="仿宋_GB2312"/>
                <w:sz w:val="32"/>
              </w:rPr>
              <w:t>★（3）库区面积不少于1000平方米，库房面积不少于500平方米。</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4）存储库应为单层建筑，可采用砖墙承重，屋盖宜为钢筋混凝土结构，净高度不宜低于3米。库区需设置高度不低于2米的密砌围墙，围墙与仓库外墙距离不小于5米。</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存储库地面宜采用不发生火花的地面，当以包装箱方式存储且不在存储库内开箱时，存储库地面可采用一般地面。仓库内应保持卫生整洁，通道畅通，物品摆放整齐、平码堆放。堆垛与库墙之间宜留有大于或等于0.45m的通风巷，堆垛与堆垛之间应留有大于或等于0.75m的检查通道，每个堆垛的边长应小于或等于10m，堆垛高度应小于或等于2.5m。</w:t>
            </w:r>
            <w:r>
              <w:rPr>
                <w:rFonts w:ascii="仿宋_GB2312" w:hAnsi="仿宋_GB2312" w:cs="仿宋_GB2312" w:eastAsia="仿宋_GB2312"/>
                <w:sz w:val="32"/>
              </w:rPr>
              <w:t>库房内应有温、湿度计，库房温度控制范围应为</w:t>
            </w:r>
            <w:r>
              <w:rPr>
                <w:rFonts w:ascii="仿宋_GB2312" w:hAnsi="仿宋_GB2312" w:cs="仿宋_GB2312" w:eastAsia="仿宋_GB2312"/>
                <w:sz w:val="32"/>
              </w:rPr>
              <w:t>-20°C～45°C，相对湿度控制范围为50%～85%。</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6）存储库门口8米范围内不应有枯草等易燃物，存储库区内以及围墙外10米范围内不应有针叶树或竹林等易燃油性植物。存储库内不应堆放易燃物和种植高棵植物。</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7）存储库区有两个（含）以上存储库时，应按每个存储库的危险等级及计算药量分别计算其外部距离，取其最大值为存储库区的外部距离。外部距离应自存储库的外墙算起。</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8）存储库库区宜设有供操作人员使用的生活辅助用室。库区应当设置明显的安全警示标志，库房外及库房内应安装24小时监控装置。</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9）存储库库区必须设置可靠的消防给水系统，并保证充足的消防水源，需配备足量的灭火器、消防沙等并确保器材完好有效。</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10）供应商需提供库房场地自有证明材料或租赁材料。</w:t>
            </w:r>
          </w:p>
          <w:p>
            <w:pPr>
              <w:pStyle w:val="null3"/>
              <w:ind w:firstLine="640"/>
              <w:jc w:val="both"/>
            </w:pPr>
            <w:r>
              <w:rPr>
                <w:rFonts w:ascii="仿宋_GB2312" w:hAnsi="仿宋_GB2312" w:cs="仿宋_GB2312" w:eastAsia="仿宋_GB2312"/>
                <w:sz w:val="32"/>
              </w:rPr>
              <w:t>3.值守人员应符合以下要求</w:t>
            </w:r>
          </w:p>
          <w:p>
            <w:pPr>
              <w:pStyle w:val="null3"/>
              <w:ind w:firstLine="640"/>
              <w:jc w:val="both"/>
            </w:pPr>
            <w:r>
              <w:rPr>
                <w:rFonts w:ascii="仿宋_GB2312" w:hAnsi="仿宋_GB2312" w:cs="仿宋_GB2312" w:eastAsia="仿宋_GB2312"/>
                <w:sz w:val="32"/>
              </w:rPr>
              <w:t>★（1）存储库应设专门保管人员，保管人员应熟悉所储存物品的安全性能和消防器材的使用方法，加强对消防设施（器材）以及通风、防潮、防鼠等设施的维护，保障其功能有效、适用安全要求。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2）存储库应建立危险品登记台账，如实登记危险品进出库数量、流向和储量，核对收缴烟花爆竹存储库库存情况。</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3）存储库房的门锁钥匙应由双人分别保管，开启门时两人应同时在场。存储库实行24小时专人值守且应随时保持通信畅通。值守人员履行值班、检查等岗位职责，严格交接班制度。</w:t>
            </w:r>
          </w:p>
          <w:p>
            <w:pPr>
              <w:pStyle w:val="null3"/>
              <w:ind w:firstLine="640"/>
              <w:jc w:val="both"/>
            </w:pPr>
            <w:r>
              <w:rPr>
                <w:rFonts w:ascii="仿宋_GB2312" w:hAnsi="仿宋_GB2312" w:cs="仿宋_GB2312" w:eastAsia="仿宋_GB2312"/>
                <w:sz w:val="32"/>
              </w:rPr>
              <w:t>4.管理措施</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1）存储库所属单位的主要负责人是本单位治安防范工作的责任人，负责组织落实本标准的实施并在公安机关指导监督下具体组织实施治安防范工作。</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2）存储库治安防范设施应由专业人员或部门定期检测和维护，并准确记录每次检测维护详情。</w:t>
            </w:r>
          </w:p>
          <w:p>
            <w:pPr>
              <w:pStyle w:val="null3"/>
              <w:ind w:firstLine="640"/>
              <w:jc w:val="both"/>
            </w:pPr>
            <w:r>
              <w:rPr>
                <w:rFonts w:ascii="仿宋_GB2312" w:hAnsi="仿宋_GB2312" w:cs="仿宋_GB2312" w:eastAsia="仿宋_GB2312"/>
                <w:sz w:val="32"/>
              </w:rPr>
              <w:t>5.装卸载和出入库管理</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装卸前应打开仓库相应的安全出口，机动车应熄火平稳停靠在仓库门前2.5米以外，不应在装卸现场添加燃料和维修车辆。装卸时，应单件装卸，不应有碰撞、拖拉、抛摔、挤压等操作行为，不应使用铁锹等铁质工具。</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2）装卸人员应严格按照要求的品种、规格和数量搬运，作业前要检查运输工具是否完好，清除运输工具和车辆内的一切杂物。</w:t>
            </w:r>
          </w:p>
          <w:p>
            <w:pPr>
              <w:pStyle w:val="null3"/>
              <w:ind w:firstLine="48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依据采购文件，响应文件，以及相关规定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合同签订后库房经甲方验收合格后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供应商未全面履行合同义务或者发生违约，采购人有权终止合同，依法向供应商进行经济索赔，并报请政府采购监督管理机构进行相应的行政处罚。采购人违约的，应当赔偿给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供应商中标（成交）后，线下提交纸质投标（响应）文件叁份、电子版壹份【U盘1个（储存最终上传系统平台的签章后的电子版文件）】。递交地址：陕西省西安市未央区凤城九路海博广场C座815室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法定代表人身份证明书或授权书</w:t>
            </w:r>
          </w:p>
        </w:tc>
        <w:tc>
          <w:tcPr>
            <w:tcW w:type="dxa" w:w="3322"/>
          </w:tcPr>
          <w:p>
            <w:pPr>
              <w:pStyle w:val="null3"/>
            </w:pPr>
            <w:r>
              <w:rPr>
                <w:rFonts w:ascii="仿宋_GB2312" w:hAnsi="仿宋_GB2312" w:cs="仿宋_GB2312" w:eastAsia="仿宋_GB2312"/>
              </w:rPr>
              <w:t>法定代表人直接参加磋商活动的，须提供法定代表人身份证明书原件及法定代表人身份证复印件（加盖公章）；法定代表人授权代表参加磋商活动的，须提供法定代表人授权委托书原件、被授权人身份证复印件（加盖公章），以及授权代表在本单位缴纳的社保证明（须提供2025年12月以来任意一个月的个人养老保险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供应商须提供磋商截止时间前一年内任意1个月的缴税证明（注：依法免税或零申报的供应商应提供相关文件证明；）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供应商须提供磋商截止时间前一年内任意1个月的社会保险缴纳证明（注：依法不需要缴纳社会保障资金的供应商应提供相关文件证明；）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查询记录</w:t>
            </w:r>
          </w:p>
        </w:tc>
        <w:tc>
          <w:tcPr>
            <w:tcW w:type="dxa" w:w="3322"/>
          </w:tcPr>
          <w:p>
            <w:pPr>
              <w:pStyle w:val="null3"/>
            </w:pPr>
            <w:r>
              <w:rPr>
                <w:rFonts w:ascii="仿宋_GB2312" w:hAnsi="仿宋_GB2312" w:cs="仿宋_GB2312" w:eastAsia="仿宋_GB2312"/>
              </w:rPr>
              <w:t>供应商不得为“信用中国”网站(wwm.creditchina.goy.cn)中列入“失信被执行人(中国执行信息公开网http://zxgk,court.goy.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控股关联关系说明</w:t>
            </w:r>
          </w:p>
        </w:tc>
        <w:tc>
          <w:tcPr>
            <w:tcW w:type="dxa" w:w="3322"/>
          </w:tcPr>
          <w:p>
            <w:pPr>
              <w:pStyle w:val="null3"/>
            </w:pPr>
            <w:r>
              <w:rPr>
                <w:rFonts w:ascii="仿宋_GB2312" w:hAnsi="仿宋_GB2312" w:cs="仿宋_GB2312" w:eastAsia="仿宋_GB2312"/>
              </w:rPr>
              <w:t>供应商在本项目磋商中，不存在与其它供应商负责人为同一人，有控股、管理等关联关系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 响应报价超过采购预算或最高限价(不合格 )</w:t>
            </w:r>
          </w:p>
        </w:tc>
        <w:tc>
          <w:tcPr>
            <w:tcW w:type="dxa" w:w="1661"/>
          </w:tcPr>
          <w:p>
            <w:pPr>
              <w:pStyle w:val="null3"/>
            </w:pPr>
            <w:r>
              <w:rPr>
                <w:rFonts w:ascii="仿宋_GB2312" w:hAnsi="仿宋_GB2312" w:cs="仿宋_GB2312" w:eastAsia="仿宋_GB2312"/>
              </w:rPr>
              <w:t>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满足采购文件实质性要求，否则作无效响应处理。</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服务期满足采购文件要求 (合格)，服务期不满足采购文件要求(不合格)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响应文件有无响应有效期或有效期是否可以达到竞争性磋商文件要求</w:t>
            </w:r>
          </w:p>
        </w:tc>
        <w:tc>
          <w:tcPr>
            <w:tcW w:type="dxa" w:w="3322"/>
          </w:tcPr>
          <w:p>
            <w:pPr>
              <w:pStyle w:val="null3"/>
            </w:pPr>
            <w:r>
              <w:rPr>
                <w:rFonts w:ascii="仿宋_GB2312" w:hAnsi="仿宋_GB2312" w:cs="仿宋_GB2312" w:eastAsia="仿宋_GB2312"/>
              </w:rPr>
              <w:t>响应有效期满足采购文件要求(合格)，响应文件无响应有效期或有效期不满足采购文件要求(不合格)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响应文件格式符合采购文件格式要求</w:t>
            </w:r>
          </w:p>
        </w:tc>
        <w:tc>
          <w:tcPr>
            <w:tcW w:type="dxa" w:w="3322"/>
          </w:tcPr>
          <w:p>
            <w:pPr>
              <w:pStyle w:val="null3"/>
            </w:pPr>
            <w:r>
              <w:rPr>
                <w:rFonts w:ascii="仿宋_GB2312" w:hAnsi="仿宋_GB2312" w:cs="仿宋_GB2312" w:eastAsia="仿宋_GB2312"/>
              </w:rPr>
              <w:t>响应文件格式符合采购文件格式要求，否则作无效响应处理。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响应文件是否含有采购人不能接受的附加条件的</w:t>
            </w:r>
          </w:p>
        </w:tc>
        <w:tc>
          <w:tcPr>
            <w:tcW w:type="dxa" w:w="3322"/>
          </w:tcPr>
          <w:p>
            <w:pPr>
              <w:pStyle w:val="null3"/>
            </w:pPr>
            <w:r>
              <w:rPr>
                <w:rFonts w:ascii="仿宋_GB2312" w:hAnsi="仿宋_GB2312" w:cs="仿宋_GB2312" w:eastAsia="仿宋_GB2312"/>
              </w:rPr>
              <w:t>响应文件未含有采购人不能接受的附加条件的（合格），响应文件含有采购人不能接受的附加条件的（不合格）</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 其他无效情形(不合格)</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服务要求响应情况</w:t>
            </w:r>
          </w:p>
        </w:tc>
        <w:tc>
          <w:tcPr>
            <w:tcW w:type="dxa" w:w="2492"/>
          </w:tcPr>
          <w:p>
            <w:pPr>
              <w:pStyle w:val="null3"/>
            </w:pPr>
            <w:r>
              <w:rPr>
                <w:rFonts w:ascii="仿宋_GB2312" w:hAnsi="仿宋_GB2312" w:cs="仿宋_GB2312" w:eastAsia="仿宋_GB2312"/>
              </w:rPr>
              <w:t>供应商能够完全满足技术参数与性能指标“（三）服务要求”中运输车辆要求、存储库要求、值守人员要求、管理措施、装卸载和出入库管理五项内容得12.5分。带星号项内容每负偏离一项扣1分，其余各项每负偏离一项扣0.5分，扣完为止。</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针对本项目提供专业化服务方案。满分12分。 1 、方案非常全面，内容翔实，针对性强，可行性强，科学合理，得12分； 2 、方案比较全面，具体，比较科学合理，得9分； 3 、方案基本全面，内容较笼统针对性一般，得6分； 4 、有相关方案，但有明显缺漏，得3分； 5 、无相关内容本项不得分。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装卸方案</w:t>
            </w:r>
          </w:p>
        </w:tc>
        <w:tc>
          <w:tcPr>
            <w:tcW w:type="dxa" w:w="2492"/>
          </w:tcPr>
          <w:p>
            <w:pPr>
              <w:pStyle w:val="null3"/>
            </w:pPr>
            <w:r>
              <w:rPr>
                <w:rFonts w:ascii="仿宋_GB2312" w:hAnsi="仿宋_GB2312" w:cs="仿宋_GB2312" w:eastAsia="仿宋_GB2312"/>
              </w:rPr>
              <w:t>针对本项目提供安全科学的装卸方案。满分7.5分。 1 、方案全面完善、科学合理、流程清晰、关键节点把控度高、安全措施完备得7.5分； 2 、方案基本完善、比较科学合理、流程基本可行、关键节点把控一般、安全措施一般得6分； 3 、方案基本可行、内容笼统、针对性不强、有安全保护措施得4分； 4 、有相关方案，但有明显缺漏，得2分； 5 、无相关内容本项不得分。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提供车辆到甲方指定地点搬运装车收缴的烟花爆竹至存储库房的运输方案，至少需考虑行进路线规划、道路交通状况分析、人口密集区与危险路段分析、运输过程中的突发状况分析、GPS定位监控等内容。5项内容共计10分，每缺少一项内容扣2分，内容每存在一种缺陷扣1分。（缺陷是指：存在不适用项目实际情况的情形、凭空编造、笼统描述、内容前后不一致、逻辑混乱、涉及的规范及标准错误、套用其他项目方案、与项目实施特点不匹配、不符合或不满足采购需求实际等任意一种不利于项目实施情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场地管理</w:t>
            </w:r>
          </w:p>
        </w:tc>
        <w:tc>
          <w:tcPr>
            <w:tcW w:type="dxa" w:w="2492"/>
          </w:tcPr>
          <w:p>
            <w:pPr>
              <w:pStyle w:val="null3"/>
            </w:pPr>
            <w:r>
              <w:rPr>
                <w:rFonts w:ascii="仿宋_GB2312" w:hAnsi="仿宋_GB2312" w:cs="仿宋_GB2312" w:eastAsia="仿宋_GB2312"/>
              </w:rPr>
              <w:t>1、供应商需具有用于储藏的库房场地，须提供自有房产证明或房屋租赁合同复印件。提供储存场地相应证明材料得 2 分，未提供不得分。 2、具有完备的仓储管理制度，内容至少包含仓储选址标准、储存方式方法、内外监控布置、人员值守交接、物品进出库及流向管理登记、安全警示标志以及消防设施设备配备情况。6 项内容共计 6 分，每缺少一项内容扣 1 分，内容每存在一种缺陷扣 0.5 分。（缺陷是指：存在不适用项目实际情况的情形、凭空编造、笼统描述、内容前后不一致、逻辑混乱、涉及的规范及标准错误、套用其他项目方案、与项目实施特点不匹配、不符合或不满足采购需求实际等任意一种不利于项目实施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人员管理</w:t>
            </w:r>
          </w:p>
        </w:tc>
        <w:tc>
          <w:tcPr>
            <w:tcW w:type="dxa" w:w="2492"/>
          </w:tcPr>
          <w:p>
            <w:pPr>
              <w:pStyle w:val="null3"/>
            </w:pPr>
            <w:r>
              <w:rPr>
                <w:rFonts w:ascii="仿宋_GB2312" w:hAnsi="仿宋_GB2312" w:cs="仿宋_GB2312" w:eastAsia="仿宋_GB2312"/>
              </w:rPr>
              <w:t>驾驶员与押运员需具备危险品运输驾驶员资格证、危险品运输押运员资格证，提供证书或承诺在签订合同前具备该条件。如签订合同时仍未能提供相关人员证件，采购人有权拒签合同。满足本条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车辆管理</w:t>
            </w:r>
          </w:p>
        </w:tc>
        <w:tc>
          <w:tcPr>
            <w:tcW w:type="dxa" w:w="2492"/>
          </w:tcPr>
          <w:p>
            <w:pPr>
              <w:pStyle w:val="null3"/>
            </w:pPr>
            <w:r>
              <w:rPr>
                <w:rFonts w:ascii="仿宋_GB2312" w:hAnsi="仿宋_GB2312" w:cs="仿宋_GB2312" w:eastAsia="仿宋_GB2312"/>
              </w:rPr>
              <w:t>提供专用运输车辆（需提供车辆租赁合同复印件或车辆买卖合同复印件，或承诺在签订合同前具备该条件。如签订合同时仍未能提供相关车辆资料，采购人有权拒签合同），有完善的车辆管理制度，得5分。内容每存在一种缺陷扣1分。（缺陷是指：资料无法佐证、内容前后不一致、管理制度流于形式、安全管理不到位、无维修保养内容、与项目实施特点不匹配、不符合或不满足采购需求实际等任意一种不利于项目实施情况）。未提供车辆租赁或买卖合同或承诺本项不得分，只提供车辆无相关管理制度内容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项目全过程安全环保方案</w:t>
            </w:r>
          </w:p>
        </w:tc>
        <w:tc>
          <w:tcPr>
            <w:tcW w:type="dxa" w:w="2492"/>
          </w:tcPr>
          <w:p>
            <w:pPr>
              <w:pStyle w:val="null3"/>
            </w:pPr>
            <w:r>
              <w:rPr>
                <w:rFonts w:ascii="仿宋_GB2312" w:hAnsi="仿宋_GB2312" w:cs="仿宋_GB2312" w:eastAsia="仿宋_GB2312"/>
              </w:rPr>
              <w:t>针对烟花爆竹仓储、装卸、运输全过程制定安全管控、环保合规、风险防范方案。 （1）科学合理、完善详尽、可操作性强：5 分， （2）方案较全面、具体、较科学合理：4 分 （3）方案基本全面、内容较笼统、针对性一般：3 分 （4）有方案但明显缺漏：2 分 （5）无相关内容：1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1、针对火灾、爆炸、泄漏、偷盗、设备故障、停电应急发电等特殊场景制定专项应急预案。6项内容共计12分，每缺少一项内容扣2分，内容每存在一种缺陷扣1分。（缺陷是指 ：存在不适用项目实际情况的情形、凭空编造、笼统描述、内容前后不一致、逻辑错误、涉及的规范及标准错误、套用其他项目方案、与项目实施特点不匹配、不符合或不满足采购需求实际等任意一种不利于项目实施情况） 2、演练记录，提供近半年应急演练报告相关资料，资料完善翔实得3分，资料不完善流于形式得1分，无记录不得分。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1.提供2023年5月至今类似项目（烟花爆竹等易燃易爆的危险品储存、运输）业绩合同，时间以合同签订时间为准。每提供1个符合要求的业绩得2分，本项最高为10分。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磋商报价得分＝（磋商基准价/各供应商最后磋商报价） ×价格分值（注：满足磋商文件要求且最后报价最低的供应商的价格为磋商基准价，其价格分为满分。）最低报价不是中标（成交）的唯一依据。因落实政府采购政策进行价格调整的，以调整后的价格计算磋商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