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版本号：陕融招字-2026-0504号20260521002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高真空高温封管热处理装置及超高真空物理气相沉积设备及高通量电化学液相沉积与测试系统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陕融招字-2026-0504号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高真空高温封管热处理装置及超高真空物理气相沉积设备及高通量电化学液相沉积与测试系统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陕融招字-2026-0504号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高真空高温封管热处理装置及超高真空物理气相沉积设备及高通量电化学液相沉积与测试系统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高真空高温封管热处理装置、超高真空物理气相沉积设备、高通量电化学液相沉积与测试系统采购项目，分为3个采购包，采购包1：高真空高温封管热处理装置，采购包2：超高真空物理气相沉积设备，采购包3：高通量电化学液相沉积与测试系统。 其中，采购包1拟采购一套高真空高温封管热处理装置，该装置集成高真空高温热处理和高真空封管的多类型科研需求，其热处理系统应在不低于1700℃的使用温度下实现精确控温并长期稳定运行、高真空封管系统则需满足多尺寸规格管具的快速真空封装要求。该装置将主要用于多孔金属的气相脱合金制备及真空/气氛热处理，同时适用于易氧化材料在真空/气氛封管后的高温成形与长期热处理。具体应用场景包括高真空条件下多孔铜、多孔铝、多孔钛等多孔金属的制备或封装后热处理，以及镍基等高温合金材料的长期均质化与时效热处理。 采购包2拟采购一套采用最新一代磁控溅射系统的超高真空物理气相沉积设备，该设备主要基于磁控溅射原理可实现超高真空条件下多组元、多层级、复合化的高性能薄膜的物理气相沉积。具备高真空度、高成膜质量、高均匀性及高重复性等突出优点。可用于功能薄膜在超高真空条件下的高质量沉积及掺杂改性，同时适用于材料表面改性和功能薄膜前驱体制备。具体应用场景包括Zn-Ni耐蚀薄膜的掺杂改性、多孔薄膜前驱体的沉积，如沉积Cu-Mn、Cu-Zn前驱体薄膜用于制备电催化多孔铜薄膜等。 采购包3拟采购一套高通量电化学液相沉积与测试系统，该系统聚焦多孔金属材料制备与电化学性能表征核心需求，集成液相沉积、电化学脱合金及多通道电化学测试等多功能于一体。其主要用于多孔铜等多孔金属的电化学脱合金制备，实现 Cu-Mn、Cu-Zn等多孔薄膜前驱体的高通量液相沉积，为电催化多孔铜薄膜制备提供优质前驱体材料。同时，系统需支持块体及多孔材料的阻抗、极化、电催化等全维度电化学性能测试，并依托高通量多通道模式，开展多组同步沉积与测试，大幅缩短实验周期，扩展参数调控范围，实现大尺寸前驱体沉积与宽范围电化学表征，为多孔金属基电催化材料的高效研发提供关键技术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采购包1（高真空高温封管热处理装置）：属于专门面向中小企业采购。</w:t>
      </w:r>
    </w:p>
    <w:p>
      <w:pPr>
        <w:pStyle w:val="null3"/>
      </w:pPr>
      <w:r>
        <w:rPr>
          <w:rFonts w:ascii="仿宋_GB2312" w:hAnsi="仿宋_GB2312" w:cs="仿宋_GB2312" w:eastAsia="仿宋_GB2312"/>
        </w:rPr>
        <w:t>采购包2（超高真空物理气相沉积设备）：属于专门面向中小企业采购。</w:t>
      </w:r>
    </w:p>
    <w:p>
      <w:pPr>
        <w:pStyle w:val="null3"/>
      </w:pPr>
      <w:r>
        <w:rPr>
          <w:rFonts w:ascii="仿宋_GB2312" w:hAnsi="仿宋_GB2312" w:cs="仿宋_GB2312" w:eastAsia="仿宋_GB2312"/>
        </w:rPr>
        <w:t>采购包3（高通量电化学液相沉积与测试系统）：属于专门面向中小企业采购。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p>
          <w:p>
            <w:pPr>
              <w:pStyle w:val="null3"/>
            </w:pPr>
            <w:r>
              <w:rPr>
                <w:rFonts w:ascii="仿宋_GB2312" w:hAnsi="仿宋_GB2312" w:cs="仿宋_GB2312" w:eastAsia="仿宋_GB2312"/>
              </w:rPr>
              <w:t>采购包2：600,000.00元</w:t>
            </w:r>
          </w:p>
          <w:p>
            <w:pPr>
              <w:pStyle w:val="null3"/>
            </w:pPr>
            <w:r>
              <w:rPr>
                <w:rFonts w:ascii="仿宋_GB2312" w:hAnsi="仿宋_GB2312" w:cs="仿宋_GB2312" w:eastAsia="仿宋_GB2312"/>
              </w:rPr>
              <w:t>采购包3：430,000.00元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采购包1保证金金额：8,200.00元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采购包3保证金金额：8,600.00元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高真空高温封管热处理装置、超高真空物理气相沉积设备、高通量电化学液相沉积与测试系统采购项目，分为3个采购包，采购包1：高真空高温封管热处理装置，采购包2：超高真空物理气相沉积设备，采购包3：高通量电化学液相沉积与测试系统。 其中，采购包1拟采购一套高真空高温封管热处理装置，该装置集成高真空高温热处理和高真空封管的多类型科研需求，其热处理系统应在不低于1700℃的使用温度下实现精确控温并长期稳定运行、高真空封管系统则需满足多尺寸规格管具的快速真空封装要求。该装置将主要用于多孔金属的气相脱合金制备及真空/气氛热处理，同时适用于易氧化材料在真空/气氛封管后的高温成形与长期热处理。具体应用场景包括高真空条件下多孔铜、多孔铝、多孔钛等多孔金属的制备或封装后热处理，以及镍基等高温合金材料的长期均质化与时效热处理。 采购包2拟采购一套采用最新一代磁控溅射系统的超高真空物理气相沉积设备，该设备主要基于磁控溅射原理可实现超高真空条件下多组元、多层级、复合化的高性能薄膜的物理气相沉积。具备高真空度、高成膜质量、高均匀性及高重复性等突出优点。可用于功能薄膜在超高真空条件下的高质量沉积及掺杂改性，同时适用于材料表面改性和功能薄膜前驱体制备。具体应用场景包括Zn-Ni耐蚀薄膜的掺杂改性、多孔薄膜前驱体的沉积，如沉积Cu-Mn、Cu-Zn前驱体薄膜用于制备电催化多孔铜薄膜等。 采购包3拟采购一套高通量电化学液相沉积与测试系统，该系统聚焦多孔金属材料制备与电化学性能表征核心需求，集成液相沉积、电化学脱合金及多通道电化学测试等多功能于一体。其主要用于多孔铜等多孔金属的电化学脱合金制备，实现 Cu-Mn、Cu-Zn等多孔薄膜前驱体的高通量液相沉积，为电催化多孔铜薄膜制备提供优质前驱体材料。同时，系统需支持块体及多孔材料的阻抗、极化、电催化等全维度电化学性能测试，并依托高通量多通道模式，开展多组同步沉积与测试，大幅缩短实验周期，扩展参数调控范围，实现大尺寸前驱体沉积与宽范围电化学表征，为多孔金属基电催化材料的高效研发提供关键技术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高真空高温封管热处理装置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超高真空物理气相沉积设备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高通量电化学液相沉积与测试系统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标的名称：高真空高温封管热处理装置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1396"/>
              <w:gridCol w:w="847"/>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加热及温控系统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机械泵</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分子泵机组</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水冷机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氢氧焰熔封机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玻璃管真空封管机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加热及温控系统参数要求：</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炉膛：高温耐火隔热材料，耐火度</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设备长期稳定工作温度≥1700℃</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最高工作温度≥1800℃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2.高温炉管：炉管内径≥Φ60</w:t>
            </w:r>
            <w:r>
              <w:rPr>
                <w:rFonts w:ascii="仿宋_GB2312" w:hAnsi="仿宋_GB2312" w:cs="仿宋_GB2312" w:eastAsia="仿宋_GB2312"/>
                <w:sz w:val="21"/>
                <w:color w:val="000000"/>
              </w:rPr>
              <w:t>mm</w:t>
            </w:r>
            <w:r>
              <w:rPr>
                <w:rFonts w:ascii="仿宋_GB2312" w:hAnsi="仿宋_GB2312" w:cs="仿宋_GB2312" w:eastAsia="仿宋_GB2312"/>
                <w:sz w:val="21"/>
                <w:color w:val="000000"/>
              </w:rPr>
              <w:t>，加热区长度≥250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保温区域≥100</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炉管总长度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3.控制方式：PID自动控温，多段程序控温，可设置程序段数≥20段（满足复杂烧结工艺）；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控温精度：≤±1℃，</w:t>
            </w:r>
            <w:r>
              <w:rPr>
                <w:rFonts w:ascii="仿宋_GB2312" w:hAnsi="仿宋_GB2312" w:cs="仿宋_GB2312" w:eastAsia="仿宋_GB2312"/>
                <w:sz w:val="21"/>
                <w:color w:val="000000"/>
              </w:rPr>
              <w:t>升温速率连续可调范围为0.1</w:t>
            </w:r>
            <w:r>
              <w:rPr>
                <w:rFonts w:ascii="仿宋_GB2312" w:hAnsi="仿宋_GB2312" w:cs="仿宋_GB2312" w:eastAsia="仿宋_GB2312"/>
                <w:sz w:val="21"/>
                <w:color w:val="000000"/>
              </w:rPr>
              <w:t>~</w:t>
            </w:r>
            <w:r>
              <w:rPr>
                <w:rFonts w:ascii="仿宋_GB2312" w:hAnsi="仿宋_GB2312" w:cs="仿宋_GB2312" w:eastAsia="仿宋_GB2312"/>
                <w:sz w:val="21"/>
                <w:color w:val="000000"/>
              </w:rPr>
              <w:t>10℃/min</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5.安全防护机制：</w:t>
            </w:r>
          </w:p>
          <w:p>
            <w:pPr>
              <w:pStyle w:val="null3"/>
              <w:jc w:val="both"/>
            </w:pPr>
            <w:r>
              <w:rPr>
                <w:rFonts w:ascii="仿宋_GB2312" w:hAnsi="仿宋_GB2312" w:cs="仿宋_GB2312" w:eastAsia="仿宋_GB2312"/>
                <w:sz w:val="21"/>
                <w:color w:val="000000"/>
              </w:rPr>
              <w:t>5.1过热断电：炉膛温度≥1850℃时，系统在200ms内切断主加热电源；</w:t>
            </w:r>
          </w:p>
          <w:p>
            <w:pPr>
              <w:pStyle w:val="null3"/>
              <w:jc w:val="both"/>
            </w:pPr>
            <w:r>
              <w:rPr>
                <w:rFonts w:ascii="仿宋_GB2312" w:hAnsi="仿宋_GB2312" w:cs="仿宋_GB2312" w:eastAsia="仿宋_GB2312"/>
                <w:sz w:val="21"/>
                <w:color w:val="000000"/>
              </w:rPr>
              <w:t>5.2断偶保护：任一热电偶信号中断或异常（开路、短路或超量程），系统立即停机并锁定操作界面；</w:t>
            </w:r>
          </w:p>
          <w:p>
            <w:pPr>
              <w:pStyle w:val="null3"/>
              <w:jc w:val="both"/>
            </w:pPr>
            <w:r>
              <w:rPr>
                <w:rFonts w:ascii="仿宋_GB2312" w:hAnsi="仿宋_GB2312" w:cs="仿宋_GB2312" w:eastAsia="仿宋_GB2312"/>
                <w:sz w:val="21"/>
                <w:color w:val="000000"/>
              </w:rPr>
              <w:t>5.3过流保护：加热电流超过额定值110%时，断路器须在50 ms内动作，并记录故障电流波形；</w:t>
            </w:r>
          </w:p>
          <w:p>
            <w:pPr>
              <w:pStyle w:val="null3"/>
            </w:pPr>
            <w:r>
              <w:rPr>
                <w:rFonts w:ascii="仿宋_GB2312" w:hAnsi="仿宋_GB2312" w:cs="仿宋_GB2312" w:eastAsia="仿宋_GB2312"/>
                <w:sz w:val="21"/>
                <w:color w:val="000000"/>
              </w:rPr>
              <w:t>5.4故障自诊断：记录故障类型、发生时间、温度曲线、电源状态，存储容量≥1000条。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二、高真空系统参数要求：</w:t>
            </w:r>
          </w:p>
          <w:p>
            <w:pPr>
              <w:pStyle w:val="null3"/>
              <w:jc w:val="both"/>
            </w:pPr>
            <w:r>
              <w:rPr>
                <w:rFonts w:ascii="仿宋_GB2312" w:hAnsi="仿宋_GB2312" w:cs="仿宋_GB2312" w:eastAsia="仿宋_GB2312"/>
                <w:sz w:val="21"/>
                <w:color w:val="000000"/>
              </w:rPr>
              <w:t>（一）机械泵</w:t>
            </w:r>
          </w:p>
          <w:p>
            <w:pPr>
              <w:pStyle w:val="null3"/>
              <w:jc w:val="both"/>
            </w:pPr>
            <w:r>
              <w:rPr>
                <w:rFonts w:ascii="仿宋_GB2312" w:hAnsi="仿宋_GB2312" w:cs="仿宋_GB2312" w:eastAsia="仿宋_GB2312"/>
                <w:sz w:val="21"/>
                <w:color w:val="000000"/>
              </w:rPr>
              <w:t>1.抽气速率：≥3</w:t>
            </w:r>
            <w:r>
              <w:rPr>
                <w:rFonts w:ascii="仿宋_GB2312" w:hAnsi="仿宋_GB2312" w:cs="仿宋_GB2312" w:eastAsia="仿宋_GB2312"/>
                <w:sz w:val="21"/>
                <w:color w:val="000000"/>
              </w:rPr>
              <w:t>L/s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系统空载极限真空度：≤5×10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真空保持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（二）分子泵机组</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涡轮分子泵+前级泵机组，抽气速率</w:t>
            </w:r>
            <w:r>
              <w:rPr>
                <w:rFonts w:ascii="仿宋_GB2312" w:hAnsi="仿宋_GB2312" w:cs="仿宋_GB2312" w:eastAsia="仿宋_GB2312"/>
                <w:sz w:val="21"/>
                <w:color w:val="000000"/>
              </w:rPr>
              <w:t>≥100</w:t>
            </w:r>
            <w:r>
              <w:rPr>
                <w:rFonts w:ascii="仿宋_GB2312" w:hAnsi="仿宋_GB2312" w:cs="仿宋_GB2312" w:eastAsia="仿宋_GB2312"/>
                <w:sz w:val="21"/>
                <w:color w:val="000000"/>
              </w:rPr>
              <w:t>L/s</w:t>
            </w:r>
            <w:r>
              <w:rPr>
                <w:rFonts w:ascii="仿宋_GB2312" w:hAnsi="仿宋_GB2312" w:cs="仿宋_GB2312" w:eastAsia="仿宋_GB2312"/>
                <w:sz w:val="21"/>
                <w:color w:val="000000"/>
              </w:rPr>
              <w:t>、分子泵机组转速≥40000rpm；</w:t>
            </w:r>
          </w:p>
          <w:p>
            <w:pPr>
              <w:pStyle w:val="null3"/>
              <w:jc w:val="both"/>
            </w:pPr>
            <w:r>
              <w:rPr>
                <w:rFonts w:ascii="仿宋_GB2312" w:hAnsi="仿宋_GB2312" w:cs="仿宋_GB2312" w:eastAsia="仿宋_GB2312"/>
                <w:sz w:val="21"/>
                <w:color w:val="000000"/>
              </w:rPr>
              <w:t>2.分子泵</w:t>
            </w:r>
            <w:r>
              <w:rPr>
                <w:rFonts w:ascii="仿宋_GB2312" w:hAnsi="仿宋_GB2312" w:cs="仿宋_GB2312" w:eastAsia="仿宋_GB2312"/>
                <w:sz w:val="21"/>
                <w:color w:val="000000"/>
              </w:rPr>
              <w:t>额定电压220V，频率50Hz；</w:t>
            </w:r>
          </w:p>
          <w:p>
            <w:pPr>
              <w:pStyle w:val="null3"/>
              <w:jc w:val="both"/>
            </w:pPr>
            <w:r>
              <w:rPr>
                <w:rFonts w:ascii="仿宋_GB2312" w:hAnsi="仿宋_GB2312" w:cs="仿宋_GB2312" w:eastAsia="仿宋_GB2312"/>
                <w:sz w:val="21"/>
                <w:color w:val="000000"/>
              </w:rPr>
              <w:t>3.真空系统模块化集成，所有泵组、管道、传感器集中安装于一体化不锈钢框架内，预留标准接口；配备数字真空计与彩色触摸屏操作面板；底座配置制式滚轮，承重≥250kg。</w:t>
            </w:r>
          </w:p>
          <w:p>
            <w:pPr>
              <w:pStyle w:val="null3"/>
              <w:jc w:val="both"/>
            </w:pPr>
            <w:r>
              <w:rPr>
                <w:rFonts w:ascii="仿宋_GB2312" w:hAnsi="仿宋_GB2312" w:cs="仿宋_GB2312" w:eastAsia="仿宋_GB2312"/>
                <w:sz w:val="21"/>
                <w:color w:val="000000"/>
              </w:rPr>
              <w:t>（三）水冷机</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.水冷机额定电压380V，频率50Hz；</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冷却方式：风冷式，</w:t>
            </w: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25KW，冷却循环水流量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 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水温</w:t>
            </w:r>
            <w:r>
              <w:rPr>
                <w:rFonts w:ascii="仿宋_GB2312" w:hAnsi="仿宋_GB2312" w:cs="仿宋_GB2312" w:eastAsia="仿宋_GB2312"/>
                <w:sz w:val="21"/>
                <w:color w:val="000000"/>
              </w:rPr>
              <w:t>≤</w:t>
            </w:r>
            <w:r>
              <w:rPr>
                <w:rFonts w:ascii="仿宋_GB2312" w:hAnsi="仿宋_GB2312" w:cs="仿宋_GB2312" w:eastAsia="仿宋_GB2312"/>
                <w:sz w:val="21"/>
                <w:color w:val="000000"/>
              </w:rPr>
              <w:t>30℃，控温精度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 </w:t>
            </w:r>
            <w:r>
              <w:rPr>
                <w:rFonts w:ascii="仿宋_GB2312" w:hAnsi="仿宋_GB2312" w:cs="仿宋_GB2312" w:eastAsia="仿宋_GB2312"/>
                <w:sz w:val="21"/>
                <w:color w:val="000000"/>
              </w:rPr>
              <w:t>水箱容量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150L</w:t>
            </w:r>
            <w:r>
              <w:rPr>
                <w:rFonts w:ascii="仿宋_GB2312" w:hAnsi="仿宋_GB2312" w:cs="仿宋_GB2312" w:eastAsia="仿宋_GB2312"/>
                <w:sz w:val="21"/>
                <w:color w:val="000000"/>
              </w:rPr>
              <w:t>，</w:t>
            </w:r>
            <w:r>
              <w:rPr>
                <w:rFonts w:ascii="仿宋_GB2312" w:hAnsi="仿宋_GB2312" w:cs="仿宋_GB2312" w:eastAsia="仿宋_GB2312"/>
                <w:sz w:val="21"/>
                <w:color w:val="000000"/>
              </w:rPr>
              <w:t>水泵扬程</w:t>
            </w:r>
            <w:r>
              <w:rPr>
                <w:rFonts w:ascii="仿宋_GB2312" w:hAnsi="仿宋_GB2312" w:cs="仿宋_GB2312" w:eastAsia="仿宋_GB2312"/>
                <w:sz w:val="21"/>
                <w:color w:val="000000"/>
              </w:rPr>
              <w:t>≥</w:t>
            </w:r>
            <w:r>
              <w:rPr>
                <w:rFonts w:ascii="仿宋_GB2312" w:hAnsi="仿宋_GB2312" w:cs="仿宋_GB2312" w:eastAsia="仿宋_GB2312"/>
                <w:sz w:val="21"/>
                <w:color w:val="000000"/>
              </w:rPr>
              <w:t>50M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5.安全防护机制：</w:t>
            </w:r>
          </w:p>
          <w:p>
            <w:pPr>
              <w:pStyle w:val="null3"/>
              <w:jc w:val="both"/>
            </w:pPr>
            <w:r>
              <w:rPr>
                <w:rFonts w:ascii="仿宋_GB2312" w:hAnsi="仿宋_GB2312" w:cs="仿宋_GB2312" w:eastAsia="仿宋_GB2312"/>
                <w:sz w:val="21"/>
                <w:color w:val="000000"/>
              </w:rPr>
              <w:t>5.1超温断电：冷却水出口温度≥35℃时，系统在100 ms内切断主泵电源并启动声光报警；</w:t>
            </w:r>
          </w:p>
          <w:p>
            <w:pPr>
              <w:pStyle w:val="null3"/>
              <w:jc w:val="both"/>
            </w:pPr>
            <w:r>
              <w:rPr>
                <w:rFonts w:ascii="仿宋_GB2312" w:hAnsi="仿宋_GB2312" w:cs="仿宋_GB2312" w:eastAsia="仿宋_GB2312"/>
                <w:sz w:val="21"/>
                <w:color w:val="000000"/>
              </w:rPr>
              <w:t>5.2低压报警：循环水压力≤0.08 MPa时，声光报警+操作界面弹窗提示，5 s后自动停机；</w:t>
            </w:r>
          </w:p>
          <w:p>
            <w:pPr>
              <w:pStyle w:val="null3"/>
              <w:jc w:val="both"/>
            </w:pPr>
            <w:r>
              <w:rPr>
                <w:rFonts w:ascii="仿宋_GB2312" w:hAnsi="仿宋_GB2312" w:cs="仿宋_GB2312" w:eastAsia="仿宋_GB2312"/>
                <w:sz w:val="21"/>
                <w:color w:val="000000"/>
              </w:rPr>
              <w:t>5.3过流/过载保护：电机电流超限110%时，50 ms内动作并记录故障电流波形；</w:t>
            </w:r>
          </w:p>
          <w:p>
            <w:pPr>
              <w:pStyle w:val="null3"/>
            </w:pPr>
            <w:r>
              <w:rPr>
                <w:rFonts w:ascii="仿宋_GB2312" w:hAnsi="仿宋_GB2312" w:cs="仿宋_GB2312" w:eastAsia="仿宋_GB2312"/>
                <w:sz w:val="21"/>
                <w:color w:val="000000"/>
              </w:rPr>
              <w:t>5.4报警信号：声光报警或操作界面报警。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三、真空/气氛封管系统参数要求：</w:t>
            </w:r>
          </w:p>
          <w:p>
            <w:pPr>
              <w:pStyle w:val="null3"/>
              <w:jc w:val="both"/>
            </w:pPr>
            <w:r>
              <w:rPr>
                <w:rFonts w:ascii="仿宋_GB2312" w:hAnsi="仿宋_GB2312" w:cs="仿宋_GB2312" w:eastAsia="仿宋_GB2312"/>
                <w:sz w:val="21"/>
                <w:color w:val="000000"/>
              </w:rPr>
              <w:t>（一）氢氧焰熔封机</w:t>
            </w:r>
          </w:p>
          <w:p>
            <w:pPr>
              <w:pStyle w:val="null3"/>
              <w:jc w:val="both"/>
            </w:pPr>
            <w:r>
              <w:rPr>
                <w:rFonts w:ascii="仿宋_GB2312" w:hAnsi="仿宋_GB2312" w:cs="仿宋_GB2312" w:eastAsia="仿宋_GB2312"/>
                <w:sz w:val="21"/>
                <w:color w:val="000000"/>
              </w:rPr>
              <w:t xml:space="preserve">1.燃气比例：氢氧混合气体体积比 </w:t>
            </w:r>
            <w:r>
              <w:rPr>
                <w:rFonts w:ascii="仿宋_GB2312" w:hAnsi="仿宋_GB2312" w:cs="仿宋_GB2312" w:eastAsia="仿宋_GB2312"/>
                <w:sz w:val="21"/>
                <w:color w:val="000000"/>
              </w:rPr>
              <w:t>2:1；</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2.氢氧焰产气量≥1000L/h，火焰温度≥2500℃；</w:t>
            </w:r>
          </w:p>
          <w:p>
            <w:pPr>
              <w:pStyle w:val="null3"/>
              <w:jc w:val="both"/>
            </w:pPr>
            <w:r>
              <w:rPr>
                <w:rFonts w:ascii="仿宋_GB2312" w:hAnsi="仿宋_GB2312" w:cs="仿宋_GB2312" w:eastAsia="仿宋_GB2312"/>
                <w:sz w:val="21"/>
                <w:color w:val="000000"/>
              </w:rPr>
              <w:t>3.安全防护机制：</w:t>
            </w:r>
            <w:r>
              <w:rPr>
                <w:rFonts w:ascii="仿宋_GB2312" w:hAnsi="仿宋_GB2312" w:cs="仿宋_GB2312" w:eastAsia="仿宋_GB2312"/>
                <w:sz w:val="21"/>
                <w:color w:val="000000"/>
              </w:rPr>
              <w:t>高低压保护、低压报警、回火防止，</w:t>
            </w:r>
            <w:r>
              <w:rPr>
                <w:rFonts w:ascii="仿宋_GB2312" w:hAnsi="仿宋_GB2312" w:cs="仿宋_GB2312" w:eastAsia="仿宋_GB2312"/>
                <w:sz w:val="21"/>
                <w:color w:val="000000"/>
              </w:rPr>
              <w:t>声光报警或操作界面报警</w:t>
            </w:r>
            <w:r>
              <w:rPr>
                <w:rFonts w:ascii="仿宋_GB2312" w:hAnsi="仿宋_GB2312" w:cs="仿宋_GB2312" w:eastAsia="仿宋_GB2312"/>
                <w:sz w:val="21"/>
                <w:color w:val="000000"/>
              </w:rPr>
              <w:t>提示。</w:t>
            </w:r>
          </w:p>
          <w:p>
            <w:pPr>
              <w:pStyle w:val="null3"/>
              <w:jc w:val="both"/>
            </w:pPr>
            <w:r>
              <w:rPr>
                <w:rFonts w:ascii="仿宋_GB2312" w:hAnsi="仿宋_GB2312" w:cs="仿宋_GB2312" w:eastAsia="仿宋_GB2312"/>
                <w:sz w:val="21"/>
                <w:color w:val="000000"/>
              </w:rPr>
              <w:t>（二）玻璃管真空封管机</w:t>
            </w:r>
          </w:p>
          <w:p>
            <w:pPr>
              <w:pStyle w:val="null3"/>
              <w:jc w:val="both"/>
            </w:pPr>
            <w:r>
              <w:rPr>
                <w:rFonts w:ascii="仿宋_GB2312" w:hAnsi="仿宋_GB2312" w:cs="仿宋_GB2312" w:eastAsia="仿宋_GB2312"/>
                <w:sz w:val="21"/>
                <w:color w:val="000000"/>
              </w:rPr>
              <w:t>1.空载极限真空度：≤5×10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2.抽气机组配置：高真空抽气机组，对空气名义抽速需与腔体容积匹配，快速达到试验要求的高真空环境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3.气氛控制功能：支持真空状态下惰性气氛回填，气氛纯度与充气压力可调控。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旋转封管转速范围：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35rpm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5.兼容管径：Φ30或Φ45mm的玻璃管或石英管。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标的名称：超高真空物理气相沉积设备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1390"/>
              <w:gridCol w:w="84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真空系统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溅射镀膜工艺系统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样品台与加热传动系统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电气全自动控制系统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辅助系统</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1组</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真空系统</w:t>
            </w:r>
            <w:r>
              <w:rPr>
                <w:rFonts w:ascii="仿宋_GB2312" w:hAnsi="仿宋_GB2312" w:cs="仿宋_GB2312" w:eastAsia="仿宋_GB2312"/>
                <w:sz w:val="21"/>
                <w:color w:val="000000"/>
              </w:rPr>
              <w:t>参数要求：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极限真空度：≤</w:t>
            </w:r>
            <w:r>
              <w:rPr>
                <w:rFonts w:ascii="仿宋_GB2312" w:hAnsi="仿宋_GB2312" w:cs="仿宋_GB2312" w:eastAsia="仿宋_GB2312"/>
                <w:sz w:val="21"/>
                <w:color w:val="000000"/>
              </w:rPr>
              <w:t>5</w:t>
            </w:r>
            <w:r>
              <w:rPr>
                <w:rFonts w:ascii="仿宋_GB2312" w:hAnsi="仿宋_GB2312" w:cs="仿宋_GB2312" w:eastAsia="仿宋_GB2312"/>
                <w:sz w:val="21"/>
                <w:color w:val="000000"/>
              </w:rPr>
              <w:t>×10</w:t>
            </w:r>
            <w:r>
              <w:rPr>
                <w:rFonts w:ascii="仿宋_GB2312" w:hAnsi="仿宋_GB2312" w:cs="仿宋_GB2312" w:eastAsia="仿宋_GB2312"/>
                <w:sz w:val="21"/>
                <w:color w:val="000000"/>
                <w:vertAlign w:val="superscript"/>
              </w:rPr>
              <w:t>-</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系统保压：系统抽至高真空后</w:t>
            </w:r>
            <w:r>
              <w:rPr>
                <w:rFonts w:ascii="仿宋_GB2312" w:hAnsi="仿宋_GB2312" w:cs="仿宋_GB2312" w:eastAsia="仿宋_GB2312"/>
                <w:sz w:val="21"/>
                <w:color w:val="000000"/>
              </w:rPr>
              <w:t>，关闭真空泵及阀门</w:t>
            </w:r>
            <w:r>
              <w:rPr>
                <w:rFonts w:ascii="仿宋_GB2312" w:hAnsi="仿宋_GB2312" w:cs="仿宋_GB2312" w:eastAsia="仿宋_GB2312"/>
                <w:sz w:val="21"/>
                <w:color w:val="000000"/>
              </w:rPr>
              <w:t>12小时后</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系统真空度</w:t>
            </w:r>
            <w:r>
              <w:rPr>
                <w:rFonts w:ascii="仿宋_GB2312" w:hAnsi="仿宋_GB2312" w:cs="仿宋_GB2312" w:eastAsia="仿宋_GB2312"/>
                <w:sz w:val="21"/>
                <w:color w:val="000000"/>
              </w:rPr>
              <w:t>≤5Pa；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3.溅射室抽气速</w:t>
            </w:r>
            <w:r>
              <w:rPr>
                <w:rFonts w:ascii="仿宋_GB2312" w:hAnsi="仿宋_GB2312" w:cs="仿宋_GB2312" w:eastAsia="仿宋_GB2312"/>
                <w:sz w:val="21"/>
                <w:color w:val="000000"/>
              </w:rPr>
              <w:t>率：从大气压至样品送入后</w:t>
            </w:r>
            <w:r>
              <w:rPr>
                <w:rFonts w:ascii="仿宋_GB2312" w:hAnsi="仿宋_GB2312" w:cs="仿宋_GB2312" w:eastAsia="仿宋_GB2312"/>
                <w:sz w:val="21"/>
                <w:color w:val="000000"/>
              </w:rPr>
              <w:t>，</w:t>
            </w:r>
            <w:r>
              <w:rPr>
                <w:rFonts w:ascii="仿宋_GB2312" w:hAnsi="仿宋_GB2312" w:cs="仿宋_GB2312" w:eastAsia="仿宋_GB2312"/>
                <w:sz w:val="21"/>
                <w:color w:val="000000"/>
              </w:rPr>
              <w:t>30min</w:t>
            </w:r>
            <w:r>
              <w:rPr>
                <w:rFonts w:ascii="仿宋_GB2312" w:hAnsi="仿宋_GB2312" w:cs="仿宋_GB2312" w:eastAsia="仿宋_GB2312"/>
                <w:sz w:val="21"/>
                <w:color w:val="000000"/>
              </w:rPr>
              <w:t>内将溅射室压力降至</w:t>
            </w:r>
            <w:r>
              <w:rPr>
                <w:rFonts w:ascii="仿宋_GB2312" w:hAnsi="仿宋_GB2312" w:cs="仿宋_GB2312" w:eastAsia="仿宋_GB2312"/>
                <w:sz w:val="21"/>
                <w:color w:val="000000"/>
              </w:rPr>
              <w:t>抽到≤</w:t>
            </w:r>
            <w:r>
              <w:rPr>
                <w:rFonts w:ascii="仿宋_GB2312" w:hAnsi="仿宋_GB2312" w:cs="仿宋_GB2312" w:eastAsia="仿宋_GB2312"/>
                <w:sz w:val="21"/>
                <w:color w:val="000000"/>
              </w:rPr>
              <w:t>1</w:t>
            </w:r>
            <w:r>
              <w:rPr>
                <w:rFonts w:ascii="仿宋_GB2312" w:hAnsi="仿宋_GB2312" w:cs="仿宋_GB2312" w:eastAsia="仿宋_GB2312"/>
                <w:sz w:val="21"/>
                <w:color w:val="000000"/>
              </w:rPr>
              <w:t>.0×10</w:t>
            </w:r>
            <w:r>
              <w:rPr>
                <w:rFonts w:ascii="仿宋_GB2312" w:hAnsi="仿宋_GB2312" w:cs="仿宋_GB2312" w:eastAsia="仿宋_GB2312"/>
                <w:sz w:val="21"/>
                <w:color w:val="000000"/>
                <w:vertAlign w:val="superscript"/>
              </w:rPr>
              <w:t>-4</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分子泵：</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抽速</w:t>
            </w:r>
            <w:r>
              <w:rPr>
                <w:rFonts w:ascii="仿宋_GB2312" w:hAnsi="仿宋_GB2312" w:cs="仿宋_GB2312" w:eastAsia="仿宋_GB2312"/>
                <w:sz w:val="21"/>
                <w:color w:val="000000"/>
              </w:rPr>
              <w:t>≥</w:t>
            </w:r>
            <w:r>
              <w:rPr>
                <w:rFonts w:ascii="仿宋_GB2312" w:hAnsi="仿宋_GB2312" w:cs="仿宋_GB2312" w:eastAsia="仿宋_GB2312"/>
                <w:sz w:val="21"/>
                <w:color w:val="000000"/>
              </w:rPr>
              <w:t>1300L/s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5.分子泵</w:t>
            </w:r>
            <w:r>
              <w:rPr>
                <w:rFonts w:ascii="仿宋_GB2312" w:hAnsi="仿宋_GB2312" w:cs="仿宋_GB2312" w:eastAsia="仿宋_GB2312"/>
                <w:sz w:val="21"/>
                <w:color w:val="000000"/>
              </w:rPr>
              <w:t>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24000</w:t>
            </w:r>
            <w:r>
              <w:rPr>
                <w:rFonts w:ascii="仿宋_GB2312" w:hAnsi="仿宋_GB2312" w:cs="仿宋_GB2312" w:eastAsia="仿宋_GB2312"/>
                <w:sz w:val="21"/>
                <w:color w:val="000000"/>
              </w:rPr>
              <w:t>rpm</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500W</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w:t>
            </w:r>
            <w:r>
              <w:rPr>
                <w:rFonts w:ascii="仿宋_GB2312" w:hAnsi="仿宋_GB2312" w:cs="仿宋_GB2312" w:eastAsia="仿宋_GB2312"/>
                <w:sz w:val="21"/>
                <w:color w:val="000000"/>
              </w:rPr>
              <w:t>输入电压220V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旋片式真空泵：</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抽速</w:t>
            </w:r>
            <w:r>
              <w:rPr>
                <w:rFonts w:ascii="仿宋_GB2312" w:hAnsi="仿宋_GB2312" w:cs="仿宋_GB2312" w:eastAsia="仿宋_GB2312"/>
                <w:sz w:val="21"/>
                <w:color w:val="000000"/>
              </w:rPr>
              <w:t>≥</w:t>
            </w:r>
            <w:r>
              <w:rPr>
                <w:rFonts w:ascii="仿宋_GB2312" w:hAnsi="仿宋_GB2312" w:cs="仿宋_GB2312" w:eastAsia="仿宋_GB2312"/>
                <w:sz w:val="21"/>
                <w:color w:val="000000"/>
              </w:rPr>
              <w:t>13L/s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旋片式真空泵</w:t>
            </w:r>
            <w:r>
              <w:rPr>
                <w:rFonts w:ascii="仿宋_GB2312" w:hAnsi="仿宋_GB2312" w:cs="仿宋_GB2312" w:eastAsia="仿宋_GB2312"/>
                <w:sz w:val="21"/>
                <w:color w:val="000000"/>
              </w:rPr>
              <w:t>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1450</w:t>
            </w:r>
            <w:r>
              <w:rPr>
                <w:rFonts w:ascii="仿宋_GB2312" w:hAnsi="仿宋_GB2312" w:cs="仿宋_GB2312" w:eastAsia="仿宋_GB2312"/>
                <w:sz w:val="21"/>
                <w:color w:val="000000"/>
              </w:rPr>
              <w:t>rpm</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500W</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w:t>
            </w: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220</w:t>
            </w:r>
            <w:r>
              <w:rPr>
                <w:rFonts w:ascii="仿宋_GB2312" w:hAnsi="仿宋_GB2312" w:cs="仿宋_GB2312" w:eastAsia="仿宋_GB2312"/>
                <w:sz w:val="21"/>
                <w:color w:val="000000"/>
              </w:rPr>
              <w:t>V</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8.配置电子复合真空计，测量范围：1.0×10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Pa~1.0×10</w:t>
            </w:r>
            <w:r>
              <w:rPr>
                <w:rFonts w:ascii="仿宋_GB2312" w:hAnsi="仿宋_GB2312" w:cs="仿宋_GB2312" w:eastAsia="仿宋_GB2312"/>
                <w:sz w:val="21"/>
                <w:color w:val="000000"/>
                <w:vertAlign w:val="superscript"/>
              </w:rPr>
              <w:t>-7</w:t>
            </w:r>
            <w:r>
              <w:rPr>
                <w:rFonts w:ascii="仿宋_GB2312" w:hAnsi="仿宋_GB2312" w:cs="仿宋_GB2312" w:eastAsia="仿宋_GB2312"/>
                <w:sz w:val="21"/>
                <w:color w:val="000000"/>
              </w:rPr>
              <w:t>Pa；薄膜规：0.1Torr。</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二、溅射镀膜工艺系统参数要求：</w:t>
            </w:r>
          </w:p>
          <w:p>
            <w:pPr>
              <w:pStyle w:val="null3"/>
              <w:jc w:val="both"/>
            </w:pPr>
            <w:r>
              <w:rPr>
                <w:rFonts w:ascii="仿宋_GB2312" w:hAnsi="仿宋_GB2312" w:cs="仿宋_GB2312" w:eastAsia="仿宋_GB2312"/>
                <w:sz w:val="21"/>
                <w:color w:val="000000"/>
              </w:rPr>
              <w:t>1.多靶共沉积系统：独立溅射靶枪≥3个，溅射靶枪直径≥Φ70mm，磁控靶需独立配置气动挡板以及靶之间配置隔离板；</w:t>
            </w:r>
          </w:p>
          <w:p>
            <w:pPr>
              <w:pStyle w:val="null3"/>
              <w:jc w:val="both"/>
            </w:pPr>
            <w:r>
              <w:rPr>
                <w:rFonts w:ascii="仿宋_GB2312" w:hAnsi="仿宋_GB2312" w:cs="仿宋_GB2312" w:eastAsia="仿宋_GB2312"/>
                <w:sz w:val="21"/>
                <w:color w:val="000000"/>
              </w:rPr>
              <w:t>▲2.溅射模式：共焦向上溅射，可实现独立溅射、顺次溅射及共溅射三种工作模式；</w:t>
            </w:r>
          </w:p>
          <w:p>
            <w:pPr>
              <w:pStyle w:val="null3"/>
              <w:jc w:val="both"/>
            </w:pPr>
            <w:r>
              <w:rPr>
                <w:rFonts w:ascii="仿宋_GB2312" w:hAnsi="仿宋_GB2312" w:cs="仿宋_GB2312" w:eastAsia="仿宋_GB2312"/>
                <w:sz w:val="21"/>
                <w:color w:val="000000"/>
              </w:rPr>
              <w:t>3.靶基距调节：靶枪与工件间距连续可调距离≥100mm；</w:t>
            </w:r>
          </w:p>
          <w:p>
            <w:pPr>
              <w:pStyle w:val="null3"/>
              <w:jc w:val="both"/>
            </w:pPr>
            <w:r>
              <w:rPr>
                <w:rFonts w:ascii="仿宋_GB2312" w:hAnsi="仿宋_GB2312" w:cs="仿宋_GB2312" w:eastAsia="仿宋_GB2312"/>
                <w:sz w:val="21"/>
                <w:color w:val="000000"/>
              </w:rPr>
              <w:t>▲4.配置电源四组以上：</w:t>
            </w:r>
          </w:p>
          <w:p>
            <w:pPr>
              <w:pStyle w:val="null3"/>
              <w:jc w:val="both"/>
            </w:pPr>
            <w:r>
              <w:rPr>
                <w:rFonts w:ascii="仿宋_GB2312" w:hAnsi="仿宋_GB2312" w:cs="仿宋_GB2312" w:eastAsia="仿宋_GB2312"/>
                <w:sz w:val="21"/>
                <w:color w:val="000000"/>
              </w:rPr>
              <w:t>直流溅射电源：2台，输入工作电压220V，额定输出功率≥500W；</w:t>
            </w:r>
          </w:p>
          <w:p>
            <w:pPr>
              <w:pStyle w:val="null3"/>
              <w:jc w:val="both"/>
            </w:pPr>
            <w:r>
              <w:rPr>
                <w:rFonts w:ascii="仿宋_GB2312" w:hAnsi="仿宋_GB2312" w:cs="仿宋_GB2312" w:eastAsia="仿宋_GB2312"/>
                <w:sz w:val="21"/>
                <w:color w:val="000000"/>
              </w:rPr>
              <w:t>射频溅射电源：1台，输入工作电压220V，额定输出功率≥500W;</w:t>
            </w:r>
          </w:p>
          <w:p>
            <w:pPr>
              <w:pStyle w:val="null3"/>
              <w:jc w:val="both"/>
            </w:pPr>
            <w:r>
              <w:rPr>
                <w:rFonts w:ascii="仿宋_GB2312" w:hAnsi="仿宋_GB2312" w:cs="仿宋_GB2312" w:eastAsia="仿宋_GB2312"/>
                <w:sz w:val="21"/>
                <w:color w:val="000000"/>
              </w:rPr>
              <w:t>偏压电源：1台，可加偏压-300V，输入工作电压220V，额定输出功率≥300W；</w:t>
            </w:r>
          </w:p>
          <w:p>
            <w:pPr>
              <w:pStyle w:val="null3"/>
            </w:pPr>
            <w:r>
              <w:rPr>
                <w:rFonts w:ascii="仿宋_GB2312" w:hAnsi="仿宋_GB2312" w:cs="仿宋_GB2312" w:eastAsia="仿宋_GB2312"/>
                <w:sz w:val="21"/>
                <w:color w:val="000000"/>
              </w:rPr>
              <w:t>▲5.工作气路≥2路独立反应气体进气气路，至少包含氩气（Ar） 与氮气（N₂）通路。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样品台与加热传动系统</w:t>
            </w:r>
            <w:r>
              <w:rPr>
                <w:rFonts w:ascii="仿宋_GB2312" w:hAnsi="仿宋_GB2312" w:cs="仿宋_GB2312" w:eastAsia="仿宋_GB2312"/>
                <w:sz w:val="21"/>
                <w:color w:val="000000"/>
              </w:rPr>
              <w:t>参数要求：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基片台</w:t>
            </w:r>
            <w:r>
              <w:rPr>
                <w:rFonts w:ascii="仿宋_GB2312" w:hAnsi="仿宋_GB2312" w:cs="仿宋_GB2312" w:eastAsia="仿宋_GB2312"/>
                <w:sz w:val="21"/>
                <w:color w:val="000000"/>
              </w:rPr>
              <w:t>有效承载尺寸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可放置基片</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Φ</w:t>
            </w:r>
            <w:r>
              <w:rPr>
                <w:rFonts w:ascii="仿宋_GB2312" w:hAnsi="仿宋_GB2312" w:cs="仿宋_GB2312" w:eastAsia="仿宋_GB2312"/>
                <w:sz w:val="21"/>
                <w:color w:val="000000"/>
              </w:rPr>
              <w:t>100mm；</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基片台转速</w:t>
            </w:r>
            <w:r>
              <w:rPr>
                <w:rFonts w:ascii="仿宋_GB2312" w:hAnsi="仿宋_GB2312" w:cs="仿宋_GB2312" w:eastAsia="仿宋_GB2312"/>
                <w:sz w:val="21"/>
                <w:color w:val="000000"/>
              </w:rPr>
              <w:t>连续</w:t>
            </w:r>
            <w:r>
              <w:rPr>
                <w:rFonts w:ascii="仿宋_GB2312" w:hAnsi="仿宋_GB2312" w:cs="仿宋_GB2312" w:eastAsia="仿宋_GB2312"/>
                <w:sz w:val="21"/>
                <w:color w:val="000000"/>
              </w:rPr>
              <w:t>可调，</w:t>
            </w:r>
            <w:r>
              <w:rPr>
                <w:rFonts w:ascii="仿宋_GB2312" w:hAnsi="仿宋_GB2312" w:cs="仿宋_GB2312" w:eastAsia="仿宋_GB2312"/>
                <w:sz w:val="21"/>
                <w:color w:val="000000"/>
              </w:rPr>
              <w:t>调节范围</w:t>
            </w:r>
            <w:r>
              <w:rPr>
                <w:rFonts w:ascii="仿宋_GB2312" w:hAnsi="仿宋_GB2312" w:cs="仿宋_GB2312" w:eastAsia="仿宋_GB2312"/>
                <w:sz w:val="21"/>
                <w:color w:val="000000"/>
              </w:rPr>
              <w:t>≥20</w:t>
            </w:r>
            <w:r>
              <w:rPr>
                <w:rFonts w:ascii="仿宋_GB2312" w:hAnsi="仿宋_GB2312" w:cs="仿宋_GB2312" w:eastAsia="仿宋_GB2312"/>
                <w:sz w:val="21"/>
                <w:color w:val="000000"/>
              </w:rPr>
              <w:t>rpm；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基片台</w:t>
            </w:r>
            <w:r>
              <w:rPr>
                <w:rFonts w:ascii="仿宋_GB2312" w:hAnsi="仿宋_GB2312" w:cs="仿宋_GB2312" w:eastAsia="仿宋_GB2312"/>
                <w:sz w:val="21"/>
                <w:color w:val="000000"/>
              </w:rPr>
              <w:t>采用加热方式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最高工作温度≥800℃</w:t>
            </w:r>
            <w:r>
              <w:rPr>
                <w:rFonts w:ascii="仿宋_GB2312" w:hAnsi="仿宋_GB2312" w:cs="仿宋_GB2312" w:eastAsia="仿宋_GB2312"/>
                <w:sz w:val="21"/>
                <w:color w:val="000000"/>
              </w:rPr>
              <w:t>，</w:t>
            </w: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▲4.成膜质量：直径Φ100mm范围内膜厚均匀性≤±3%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电气全自动控制系统</w:t>
            </w:r>
            <w:r>
              <w:rPr>
                <w:rFonts w:ascii="仿宋_GB2312" w:hAnsi="仿宋_GB2312" w:cs="仿宋_GB2312" w:eastAsia="仿宋_GB2312"/>
                <w:sz w:val="21"/>
                <w:color w:val="000000"/>
              </w:rPr>
              <w:t>参数要求：</w:t>
            </w:r>
          </w:p>
          <w:p>
            <w:pPr>
              <w:pStyle w:val="null3"/>
              <w:jc w:val="left"/>
            </w:pPr>
            <w:r>
              <w:rPr>
                <w:rFonts w:ascii="仿宋_GB2312" w:hAnsi="仿宋_GB2312" w:cs="仿宋_GB2312" w:eastAsia="仿宋_GB2312"/>
                <w:sz w:val="21"/>
                <w:color w:val="000000"/>
              </w:rPr>
              <w:t>1.控制模式：</w:t>
            </w:r>
            <w:r>
              <w:rPr>
                <w:rFonts w:ascii="仿宋_GB2312" w:hAnsi="仿宋_GB2312" w:cs="仿宋_GB2312" w:eastAsia="仿宋_GB2312"/>
                <w:sz w:val="21"/>
                <w:color w:val="000000"/>
              </w:rPr>
              <w:t>工业级</w:t>
            </w:r>
            <w:r>
              <w:rPr>
                <w:rFonts w:ascii="仿宋_GB2312" w:hAnsi="仿宋_GB2312" w:cs="仿宋_GB2312" w:eastAsia="仿宋_GB2312"/>
                <w:sz w:val="21"/>
                <w:color w:val="000000"/>
              </w:rPr>
              <w:t>PLC主控，集成全自动时序联锁控制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手动</w:t>
            </w:r>
            <w:r>
              <w:rPr>
                <w:rFonts w:ascii="仿宋_GB2312" w:hAnsi="仿宋_GB2312" w:cs="仿宋_GB2312" w:eastAsia="仿宋_GB2312"/>
                <w:sz w:val="21"/>
                <w:color w:val="000000"/>
              </w:rPr>
              <w:t>与</w:t>
            </w:r>
            <w:r>
              <w:rPr>
                <w:rFonts w:ascii="仿宋_GB2312" w:hAnsi="仿宋_GB2312" w:cs="仿宋_GB2312" w:eastAsia="仿宋_GB2312"/>
                <w:sz w:val="21"/>
                <w:color w:val="000000"/>
              </w:rPr>
              <w:t>自动双模式控制，两种模式平稳切换，切换过程不影响系统正常运行，满足不同工况下的操作需求；</w:t>
            </w:r>
          </w:p>
          <w:p>
            <w:pPr>
              <w:pStyle w:val="null3"/>
              <w:jc w:val="left"/>
            </w:pPr>
            <w:r>
              <w:rPr>
                <w:rFonts w:ascii="仿宋_GB2312" w:hAnsi="仿宋_GB2312" w:cs="仿宋_GB2312" w:eastAsia="仿宋_GB2312"/>
                <w:sz w:val="21"/>
                <w:color w:val="000000"/>
              </w:rPr>
              <w:t>2.控制范围：须对机械泵、分子泵、气动阀、电磁阀、气体质量流量控制器、真空计等全部执行部件与检测部件集中程序化控制，气体质量流量控制器</w:t>
            </w:r>
            <w:r>
              <w:rPr>
                <w:rFonts w:ascii="仿宋_GB2312" w:hAnsi="仿宋_GB2312" w:cs="仿宋_GB2312" w:eastAsia="仿宋_GB2312"/>
                <w:sz w:val="21"/>
                <w:color w:val="000000"/>
              </w:rPr>
              <w:t>控制精度±0.4%Rdg+0.2%F.S.</w:t>
            </w:r>
            <w:r>
              <w:rPr>
                <w:rFonts w:ascii="仿宋_GB2312" w:hAnsi="仿宋_GB2312" w:cs="仿宋_GB2312" w:eastAsia="仿宋_GB2312"/>
                <w:sz w:val="21"/>
                <w:color w:val="000000"/>
              </w:rPr>
              <w:t>，响应时间≤</w:t>
            </w:r>
            <w:r>
              <w:rPr>
                <w:rFonts w:ascii="仿宋_GB2312" w:hAnsi="仿宋_GB2312" w:cs="仿宋_GB2312" w:eastAsia="仿宋_GB2312"/>
                <w:sz w:val="21"/>
                <w:color w:val="000000"/>
              </w:rPr>
              <w:t>100ms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3.安全保护机制：手动模式与自动模式下</w:t>
            </w:r>
            <w:r>
              <w:rPr>
                <w:rFonts w:ascii="仿宋_GB2312" w:hAnsi="仿宋_GB2312" w:cs="仿宋_GB2312" w:eastAsia="仿宋_GB2312"/>
                <w:sz w:val="21"/>
                <w:color w:val="000000"/>
              </w:rPr>
              <w:t>均支持</w:t>
            </w:r>
            <w:r>
              <w:rPr>
                <w:rFonts w:ascii="仿宋_GB2312" w:hAnsi="仿宋_GB2312" w:cs="仿宋_GB2312" w:eastAsia="仿宋_GB2312"/>
                <w:sz w:val="21"/>
                <w:color w:val="000000"/>
              </w:rPr>
              <w:t>软件互锁+硬件互锁双重安全保护机制，当出现异常情况时，系统可自动报警、紧急停机，全面保障操作人员人身安全及设备完好</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4.操作界面：图形化可视化人机界面，实时监测整机运行参数，支持工艺编程、配方存储、数据记录及故障中文报警提示。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color w:val="000000"/>
              </w:rPr>
              <w:t>五、</w:t>
            </w:r>
            <w:r>
              <w:rPr>
                <w:rFonts w:ascii="仿宋_GB2312" w:hAnsi="仿宋_GB2312" w:cs="仿宋_GB2312" w:eastAsia="仿宋_GB2312"/>
                <w:sz w:val="21"/>
                <w:color w:val="000000"/>
              </w:rPr>
              <w:t>辅助系统</w:t>
            </w:r>
            <w:r>
              <w:rPr>
                <w:rFonts w:ascii="仿宋_GB2312" w:hAnsi="仿宋_GB2312" w:cs="仿宋_GB2312" w:eastAsia="仿宋_GB2312"/>
                <w:sz w:val="21"/>
                <w:color w:val="000000"/>
              </w:rPr>
              <w:t>参数要求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静音空压</w:t>
            </w:r>
            <w:r>
              <w:rPr>
                <w:rFonts w:ascii="仿宋_GB2312" w:hAnsi="仿宋_GB2312" w:cs="仿宋_GB2312" w:eastAsia="仿宋_GB2312"/>
                <w:sz w:val="21"/>
                <w:color w:val="000000"/>
              </w:rPr>
              <w:t>机：</w:t>
            </w:r>
            <w:r>
              <w:rPr>
                <w:rFonts w:ascii="仿宋_GB2312" w:hAnsi="仿宋_GB2312" w:cs="仿宋_GB2312" w:eastAsia="仿宋_GB2312"/>
                <w:sz w:val="21"/>
                <w:color w:val="000000"/>
              </w:rPr>
              <w:t>输出压缩空气须完全</w:t>
            </w:r>
            <w:r>
              <w:rPr>
                <w:rFonts w:ascii="仿宋_GB2312" w:hAnsi="仿宋_GB2312" w:cs="仿宋_GB2312" w:eastAsia="仿宋_GB2312"/>
                <w:sz w:val="21"/>
                <w:color w:val="000000"/>
              </w:rPr>
              <w:t>干燥、干净、无水、无油</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w:t>
            </w:r>
            <w:r>
              <w:rPr>
                <w:rFonts w:ascii="仿宋_GB2312" w:hAnsi="仿宋_GB2312" w:cs="仿宋_GB2312" w:eastAsia="仿宋_GB2312"/>
                <w:sz w:val="21"/>
                <w:color w:val="000000"/>
              </w:rPr>
              <w:t>压力</w:t>
            </w:r>
            <w:r>
              <w:rPr>
                <w:rFonts w:ascii="仿宋_GB2312" w:hAnsi="仿宋_GB2312" w:cs="仿宋_GB2312" w:eastAsia="仿宋_GB2312"/>
                <w:sz w:val="21"/>
                <w:color w:val="000000"/>
              </w:rPr>
              <w:t>范围≥0.6～0.7MPa，系统稳定工作压力0.55～0.6MPa</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2.工业循环冷水机（恒温水箱）：控温范围≥5℃～35℃，控温精度≤±2℃、额定制冷量≥3kW，出水压力≥0.2MPa。</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标的名称：高通量电化学液相沉积与测试系统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408"/>
              <w:gridCol w:w="1291"/>
              <w:gridCol w:w="847"/>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电化学工作站主机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功率放大器主机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数据处理平台</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电源线</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辅助连接线</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电极</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电极电缆线（含噪声测量线）</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8条</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电解池</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8个</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专业测试与分析软件</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硬件部分参数要求：</w:t>
            </w:r>
          </w:p>
          <w:p>
            <w:pPr>
              <w:pStyle w:val="null3"/>
              <w:jc w:val="both"/>
            </w:pPr>
            <w:r>
              <w:rPr>
                <w:rFonts w:ascii="仿宋_GB2312" w:hAnsi="仿宋_GB2312" w:cs="仿宋_GB2312" w:eastAsia="仿宋_GB2312"/>
                <w:sz w:val="21"/>
                <w:color w:val="000000"/>
              </w:rPr>
              <w:t>（一）电化学工作站主机</w:t>
            </w:r>
          </w:p>
          <w:p>
            <w:pPr>
              <w:pStyle w:val="null3"/>
              <w:jc w:val="both"/>
            </w:pPr>
            <w:r>
              <w:rPr>
                <w:rFonts w:ascii="仿宋_GB2312" w:hAnsi="仿宋_GB2312" w:cs="仿宋_GB2312" w:eastAsia="仿宋_GB2312"/>
                <w:sz w:val="21"/>
                <w:color w:val="000000"/>
              </w:rPr>
              <w:t>1.恒电位控制范围：±10V，电位控制精度≤±1mV；</w:t>
            </w:r>
          </w:p>
          <w:p>
            <w:pPr>
              <w:pStyle w:val="null3"/>
              <w:jc w:val="both"/>
            </w:pPr>
            <w:r>
              <w:rPr>
                <w:rFonts w:ascii="仿宋_GB2312" w:hAnsi="仿宋_GB2312" w:cs="仿宋_GB2312" w:eastAsia="仿宋_GB2312"/>
                <w:sz w:val="21"/>
                <w:color w:val="000000"/>
              </w:rPr>
              <w:t>2.电位灵敏度：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1μ</w:t>
            </w:r>
            <w:r>
              <w:rPr>
                <w:rFonts w:ascii="仿宋_GB2312" w:hAnsi="仿宋_GB2312" w:cs="仿宋_GB2312" w:eastAsia="仿宋_GB2312"/>
                <w:sz w:val="21"/>
                <w:color w:val="000000"/>
              </w:rPr>
              <w:t>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3.电流灵敏度：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1pA；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4.阻抗频率响应</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10μHz</w:t>
            </w:r>
            <w:r>
              <w:rPr>
                <w:rFonts w:ascii="仿宋_GB2312" w:hAnsi="仿宋_GB2312" w:cs="仿宋_GB2312" w:eastAsia="仿宋_GB2312"/>
                <w:sz w:val="21"/>
                <w:color w:val="000000"/>
              </w:rPr>
              <w:t>～</w:t>
            </w:r>
            <w:r>
              <w:rPr>
                <w:rFonts w:ascii="仿宋_GB2312" w:hAnsi="仿宋_GB2312" w:cs="仿宋_GB2312" w:eastAsia="仿宋_GB2312"/>
                <w:sz w:val="21"/>
                <w:color w:val="000000"/>
              </w:rPr>
              <w:t>1MHz；</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.最大输出电流≥1A，配合功率放大器扩展</w:t>
            </w:r>
            <w:r>
              <w:rPr>
                <w:rFonts w:ascii="仿宋_GB2312" w:hAnsi="仿宋_GB2312" w:cs="仿宋_GB2312" w:eastAsia="仿宋_GB2312"/>
                <w:sz w:val="21"/>
                <w:color w:val="000000"/>
              </w:rPr>
              <w:t>至</w:t>
            </w:r>
            <w:r>
              <w:rPr>
                <w:rFonts w:ascii="仿宋_GB2312" w:hAnsi="仿宋_GB2312" w:cs="仿宋_GB2312" w:eastAsia="仿宋_GB2312"/>
                <w:sz w:val="21"/>
                <w:color w:val="000000"/>
              </w:rPr>
              <w:t>100A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6.测试方法：</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恒电位、恒电流、阻抗谱（EIS）等多种测试方法；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7.集成及控制功能：多通道控制</w:t>
            </w:r>
            <w:r>
              <w:rPr>
                <w:rFonts w:ascii="仿宋_GB2312" w:hAnsi="仿宋_GB2312" w:cs="仿宋_GB2312" w:eastAsia="仿宋_GB2312"/>
                <w:sz w:val="21"/>
                <w:color w:val="000000"/>
              </w:rPr>
              <w:t>，</w:t>
            </w:r>
            <w:r>
              <w:rPr>
                <w:rFonts w:ascii="仿宋_GB2312" w:hAnsi="仿宋_GB2312" w:cs="仿宋_GB2312" w:eastAsia="仿宋_GB2312"/>
                <w:sz w:val="21"/>
                <w:color w:val="000000"/>
              </w:rPr>
              <w:t>通道数量</w:t>
            </w:r>
            <w:r>
              <w:rPr>
                <w:rFonts w:ascii="仿宋_GB2312" w:hAnsi="仿宋_GB2312" w:cs="仿宋_GB2312" w:eastAsia="仿宋_GB2312"/>
                <w:sz w:val="21"/>
                <w:color w:val="000000"/>
              </w:rPr>
              <w:t>≥8，</w:t>
            </w:r>
            <w:r>
              <w:rPr>
                <w:rFonts w:ascii="仿宋_GB2312" w:hAnsi="仿宋_GB2312" w:cs="仿宋_GB2312" w:eastAsia="仿宋_GB2312"/>
                <w:sz w:val="21"/>
                <w:color w:val="000000"/>
              </w:rPr>
              <w:t>各通道可独立控制；支持与数据处理平台硬件集成；</w:t>
            </w:r>
            <w:r>
              <w:rPr>
                <w:rFonts w:ascii="仿宋_GB2312" w:hAnsi="仿宋_GB2312" w:cs="仿宋_GB2312" w:eastAsia="仿宋_GB2312"/>
                <w:sz w:val="21"/>
                <w:color w:val="000000"/>
              </w:rPr>
              <w:t>数据采集系统精确、同步采集多组数据，</w:t>
            </w:r>
            <w:r>
              <w:rPr>
                <w:rFonts w:ascii="仿宋_GB2312" w:hAnsi="仿宋_GB2312" w:cs="仿宋_GB2312" w:eastAsia="仿宋_GB2312"/>
                <w:sz w:val="21"/>
                <w:color w:val="000000"/>
              </w:rPr>
              <w:t>通道间时钟同步误差≤1μs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8.安全保护</w:t>
            </w:r>
            <w:r>
              <w:rPr>
                <w:rFonts w:ascii="仿宋_GB2312" w:hAnsi="仿宋_GB2312" w:cs="仿宋_GB2312" w:eastAsia="仿宋_GB2312"/>
                <w:sz w:val="21"/>
                <w:color w:val="000000"/>
              </w:rPr>
              <w:t>机制</w:t>
            </w:r>
            <w:r>
              <w:rPr>
                <w:rFonts w:ascii="仿宋_GB2312" w:hAnsi="仿宋_GB2312" w:cs="仿宋_GB2312" w:eastAsia="仿宋_GB2312"/>
                <w:sz w:val="21"/>
                <w:color w:val="000000"/>
              </w:rPr>
              <w:t>：电位/电流过载保护、自动限幅，</w:t>
            </w:r>
            <w:r>
              <w:rPr>
                <w:rFonts w:ascii="仿宋_GB2312" w:hAnsi="仿宋_GB2312" w:cs="仿宋_GB2312" w:eastAsia="仿宋_GB2312"/>
                <w:sz w:val="21"/>
                <w:color w:val="000000"/>
              </w:rPr>
              <w:t>保证</w:t>
            </w:r>
            <w:r>
              <w:rPr>
                <w:rFonts w:ascii="仿宋_GB2312" w:hAnsi="仿宋_GB2312" w:cs="仿宋_GB2312" w:eastAsia="仿宋_GB2312"/>
                <w:sz w:val="21"/>
                <w:color w:val="000000"/>
              </w:rPr>
              <w:t>测试过程中仪器与样品安全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▲9.数据采集速率：AD转换器支持16bit@1MHZ与20bit@1kHZ双模式运行。</w:t>
            </w:r>
          </w:p>
          <w:p>
            <w:pPr>
              <w:pStyle w:val="null3"/>
              <w:jc w:val="both"/>
            </w:pPr>
            <w:r>
              <w:rPr>
                <w:rFonts w:ascii="仿宋_GB2312" w:hAnsi="仿宋_GB2312" w:cs="仿宋_GB2312" w:eastAsia="仿宋_GB2312"/>
                <w:sz w:val="21"/>
                <w:color w:val="000000"/>
              </w:rPr>
              <w:t>（二）功率放大器主机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功率放大器模块</w:t>
            </w:r>
            <w:r>
              <w:rPr>
                <w:rFonts w:ascii="仿宋_GB2312" w:hAnsi="仿宋_GB2312" w:cs="仿宋_GB2312" w:eastAsia="仿宋_GB2312"/>
                <w:sz w:val="21"/>
                <w:color w:val="000000"/>
              </w:rPr>
              <w:t>电位范围：≥±5V，共用主机±10V电位量程；</w:t>
            </w:r>
          </w:p>
          <w:p>
            <w:pPr>
              <w:pStyle w:val="null3"/>
              <w:jc w:val="both"/>
            </w:pPr>
            <w:r>
              <w:rPr>
                <w:rFonts w:ascii="仿宋_GB2312" w:hAnsi="仿宋_GB2312" w:cs="仿宋_GB2312" w:eastAsia="仿宋_GB2312"/>
                <w:sz w:val="21"/>
                <w:color w:val="000000"/>
              </w:rPr>
              <w:t>▲2.电流范围：±100A（交/直流），电流量程覆盖1nA～100A；</w:t>
            </w:r>
          </w:p>
          <w:p>
            <w:pPr>
              <w:pStyle w:val="null3"/>
              <w:jc w:val="both"/>
            </w:pPr>
            <w:r>
              <w:rPr>
                <w:rFonts w:ascii="仿宋_GB2312" w:hAnsi="仿宋_GB2312" w:cs="仿宋_GB2312" w:eastAsia="仿宋_GB2312"/>
                <w:sz w:val="21"/>
                <w:color w:val="000000"/>
              </w:rPr>
              <w:t>3.交流阻抗频率范围：10kHz-1MHz；</w:t>
            </w:r>
          </w:p>
          <w:p>
            <w:pPr>
              <w:pStyle w:val="null3"/>
              <w:jc w:val="both"/>
            </w:pPr>
            <w:r>
              <w:rPr>
                <w:rFonts w:ascii="仿宋_GB2312" w:hAnsi="仿宋_GB2312" w:cs="仿宋_GB2312" w:eastAsia="仿宋_GB2312"/>
                <w:sz w:val="21"/>
                <w:color w:val="000000"/>
              </w:rPr>
              <w:t>4.集成要求：功率放大器模块与电化学工作站主机集成，扩展后支持多通道并行100A电流输出；</w:t>
            </w:r>
          </w:p>
          <w:p>
            <w:pPr>
              <w:pStyle w:val="null3"/>
              <w:jc w:val="both"/>
            </w:pPr>
            <w:r>
              <w:rPr>
                <w:rFonts w:ascii="仿宋_GB2312" w:hAnsi="仿宋_GB2312" w:cs="仿宋_GB2312" w:eastAsia="仿宋_GB2312"/>
                <w:sz w:val="21"/>
                <w:color w:val="000000"/>
              </w:rPr>
              <w:t>▲5.输入阻抗：10</w:t>
            </w:r>
            <w:r>
              <w:rPr>
                <w:rFonts w:ascii="仿宋_GB2312" w:hAnsi="仿宋_GB2312" w:cs="仿宋_GB2312" w:eastAsia="仿宋_GB2312"/>
                <w:sz w:val="21"/>
                <w:color w:val="000000"/>
                <w:vertAlign w:val="superscript"/>
              </w:rPr>
              <w:t>13</w:t>
            </w:r>
            <w:r>
              <w:rPr>
                <w:rFonts w:ascii="仿宋_GB2312" w:hAnsi="仿宋_GB2312" w:cs="仿宋_GB2312" w:eastAsia="仿宋_GB2312"/>
                <w:sz w:val="21"/>
                <w:color w:val="000000"/>
              </w:rPr>
              <w:t>Ω‖8PF；输出阻抗≤60Ω。</w:t>
            </w:r>
          </w:p>
          <w:p>
            <w:pPr>
              <w:pStyle w:val="null3"/>
              <w:numPr>
                <w:ilvl w:val="0"/>
                <w:numId w:val="1"/>
              </w:numPr>
              <w:jc w:val="both"/>
            </w:pPr>
            <w:r>
              <w:rPr>
                <w:rFonts w:ascii="仿宋_GB2312" w:hAnsi="仿宋_GB2312" w:cs="仿宋_GB2312" w:eastAsia="仿宋_GB2312"/>
                <w:sz w:val="21"/>
                <w:color w:val="000000"/>
              </w:rPr>
              <w:t>数据处理平台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支持与电化学工作站主机、功率放大器及测试软件对接，实现测试数据实时传输、同步采集与深度分析</w:t>
            </w:r>
            <w:r>
              <w:rPr>
                <w:rFonts w:ascii="仿宋_GB2312" w:hAnsi="仿宋_GB2312" w:cs="仿宋_GB2312" w:eastAsia="仿宋_GB2312"/>
                <w:sz w:val="21"/>
                <w:color w:val="000000"/>
              </w:rPr>
              <w:t>，采样率≥100KS/s/通道</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（四）辅助连接线：</w:t>
            </w:r>
          </w:p>
          <w:p>
            <w:pPr>
              <w:pStyle w:val="null3"/>
              <w:jc w:val="both"/>
            </w:pPr>
            <w:r>
              <w:rPr>
                <w:rFonts w:ascii="仿宋_GB2312" w:hAnsi="仿宋_GB2312" w:cs="仿宋_GB2312" w:eastAsia="仿宋_GB2312"/>
                <w:sz w:val="21"/>
                <w:color w:val="000000"/>
              </w:rPr>
              <w:t>1.电源线：2条，材质为纯铜，绝缘材料为PVC/橡胶，长度＞1.5m；</w:t>
            </w:r>
          </w:p>
          <w:p>
            <w:pPr>
              <w:pStyle w:val="null3"/>
              <w:jc w:val="both"/>
            </w:pPr>
            <w:r>
              <w:rPr>
                <w:rFonts w:ascii="仿宋_GB2312" w:hAnsi="仿宋_GB2312" w:cs="仿宋_GB2312" w:eastAsia="仿宋_GB2312"/>
                <w:sz w:val="21"/>
                <w:color w:val="000000"/>
              </w:rPr>
              <w:t>2.网线连接线：1根，长度＞1.5m，传输速率≥1000Mbps，工作带宽≥100MHZ。</w:t>
            </w:r>
          </w:p>
          <w:p>
            <w:pPr>
              <w:pStyle w:val="null3"/>
              <w:jc w:val="both"/>
            </w:pPr>
            <w:r>
              <w:rPr>
                <w:rFonts w:ascii="仿宋_GB2312" w:hAnsi="仿宋_GB2312" w:cs="仿宋_GB2312" w:eastAsia="仿宋_GB2312"/>
                <w:sz w:val="21"/>
                <w:color w:val="000000"/>
              </w:rPr>
              <w:t>（五）电极</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适配电化学工作站主机测试需求，配套使用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2.配套参比电极为饱和甘汞电极，对电极为铂网/铂片。</w:t>
            </w:r>
          </w:p>
          <w:p>
            <w:pPr>
              <w:pStyle w:val="null3"/>
              <w:jc w:val="both"/>
            </w:pPr>
            <w:r>
              <w:rPr>
                <w:rFonts w:ascii="仿宋_GB2312" w:hAnsi="仿宋_GB2312" w:cs="仿宋_GB2312" w:eastAsia="仿宋_GB2312"/>
                <w:sz w:val="21"/>
                <w:color w:val="000000"/>
              </w:rPr>
              <w:t>（六）电极电缆线（含噪声测量线）</w:t>
            </w:r>
          </w:p>
          <w:p>
            <w:pPr>
              <w:pStyle w:val="null3"/>
              <w:jc w:val="both"/>
            </w:pPr>
            <w:r>
              <w:rPr>
                <w:rFonts w:ascii="仿宋_GB2312" w:hAnsi="仿宋_GB2312" w:cs="仿宋_GB2312" w:eastAsia="仿宋_GB2312"/>
                <w:sz w:val="21"/>
                <w:color w:val="000000"/>
              </w:rPr>
              <w:t>1.含8条专用噪声测量线，长度＞1m；</w:t>
            </w:r>
          </w:p>
          <w:p>
            <w:pPr>
              <w:pStyle w:val="null3"/>
              <w:jc w:val="both"/>
            </w:pPr>
            <w:r>
              <w:rPr>
                <w:rFonts w:ascii="仿宋_GB2312" w:hAnsi="仿宋_GB2312" w:cs="仿宋_GB2312" w:eastAsia="仿宋_GB2312"/>
                <w:sz w:val="21"/>
                <w:color w:val="000000"/>
              </w:rPr>
              <w:t>2.配套完整，满足仪器自检及常规测试的信号传输需求。</w:t>
            </w:r>
          </w:p>
          <w:p>
            <w:pPr>
              <w:pStyle w:val="null3"/>
              <w:jc w:val="both"/>
            </w:pPr>
            <w:r>
              <w:rPr>
                <w:rFonts w:ascii="仿宋_GB2312" w:hAnsi="仿宋_GB2312" w:cs="仿宋_GB2312" w:eastAsia="仿宋_GB2312"/>
                <w:sz w:val="21"/>
                <w:color w:val="000000"/>
              </w:rPr>
              <w:t>（七）电解池</w:t>
            </w:r>
          </w:p>
          <w:p>
            <w:pPr>
              <w:pStyle w:val="null3"/>
              <w:jc w:val="both"/>
            </w:pPr>
            <w:r>
              <w:rPr>
                <w:rFonts w:ascii="仿宋_GB2312" w:hAnsi="仿宋_GB2312" w:cs="仿宋_GB2312" w:eastAsia="仿宋_GB2312"/>
                <w:sz w:val="21"/>
                <w:color w:val="000000"/>
              </w:rPr>
              <w:t>1.数量：8个；</w:t>
            </w:r>
          </w:p>
          <w:p>
            <w:pPr>
              <w:pStyle w:val="null3"/>
              <w:jc w:val="both"/>
            </w:pPr>
            <w:r>
              <w:rPr>
                <w:rFonts w:ascii="仿宋_GB2312" w:hAnsi="仿宋_GB2312" w:cs="仿宋_GB2312" w:eastAsia="仿宋_GB2312"/>
                <w:sz w:val="21"/>
                <w:color w:val="000000"/>
              </w:rPr>
              <w:t>2.容积：≥250ml；</w:t>
            </w:r>
          </w:p>
          <w:p>
            <w:pPr>
              <w:pStyle w:val="null3"/>
            </w:pPr>
            <w:r>
              <w:rPr>
                <w:rFonts w:ascii="仿宋_GB2312" w:hAnsi="仿宋_GB2312" w:cs="仿宋_GB2312" w:eastAsia="仿宋_GB2312"/>
                <w:sz w:val="21"/>
                <w:color w:val="000000"/>
              </w:rPr>
              <w:t>3.与电化学工作站主机、功率放大器适配，满足多场景测试模拟需求。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二、系统软件参数要求</w:t>
            </w:r>
          </w:p>
          <w:p>
            <w:pPr>
              <w:pStyle w:val="null3"/>
              <w:jc w:val="both"/>
            </w:pPr>
            <w:r>
              <w:rPr>
                <w:rFonts w:ascii="仿宋_GB2312" w:hAnsi="仿宋_GB2312" w:cs="仿宋_GB2312" w:eastAsia="仿宋_GB2312"/>
                <w:sz w:val="21"/>
                <w:color w:val="000000"/>
              </w:rPr>
              <w:t>1.软件数量：专业测试与分析软件1套；</w:t>
            </w:r>
          </w:p>
          <w:p>
            <w:pPr>
              <w:pStyle w:val="null3"/>
              <w:jc w:val="both"/>
            </w:pPr>
            <w:r>
              <w:rPr>
                <w:rFonts w:ascii="仿宋_GB2312" w:hAnsi="仿宋_GB2312" w:cs="仿宋_GB2312" w:eastAsia="仿宋_GB2312"/>
                <w:sz w:val="21"/>
                <w:color w:val="000000"/>
              </w:rPr>
              <w:t>2.功能要求：数据采集实时保存，存储大小无上限，格式可兼容Excel、Origin等，支持与数据处理平台对接，可直接在第三方软件中进行数据处理和曲线绘制；</w:t>
            </w:r>
          </w:p>
          <w:p>
            <w:pPr>
              <w:pStyle w:val="null3"/>
              <w:jc w:val="both"/>
            </w:pPr>
            <w:r>
              <w:rPr>
                <w:rFonts w:ascii="仿宋_GB2312" w:hAnsi="仿宋_GB2312" w:cs="仿宋_GB2312" w:eastAsia="仿宋_GB2312"/>
                <w:sz w:val="21"/>
                <w:color w:val="000000"/>
              </w:rPr>
              <w:t>▲3.软件采用图形化操作界面，关键功能（采集启动、参数设置、通道切换）布局于主界面顶部功能区，支持一键启动数据采集</w:t>
            </w:r>
            <w:r>
              <w:rPr>
                <w:rFonts w:ascii="仿宋_GB2312" w:hAnsi="仿宋_GB2312" w:cs="仿宋_GB2312" w:eastAsia="仿宋_GB2312"/>
                <w:sz w:val="21"/>
                <w:b/>
                <w:color w:val="000000"/>
              </w:rPr>
              <w:t>【佐证材料提供软件界面截图】</w:t>
            </w:r>
          </w:p>
          <w:p>
            <w:pPr>
              <w:pStyle w:val="null3"/>
            </w:pPr>
            <w:r>
              <w:rPr>
                <w:rFonts w:ascii="仿宋_GB2312" w:hAnsi="仿宋_GB2312" w:cs="仿宋_GB2312" w:eastAsia="仿宋_GB2312"/>
                <w:sz w:val="21"/>
                <w:color w:val="000000"/>
              </w:rPr>
              <w:t>4.软件支持在操作系统（64位）下稳定运行。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接采购人书面通知后35个日历日完成供货。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接采购人书面通知后90个日历日完成供货。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接采购人书面通知后35个日历日完成供货。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1年（自验收合格出具验收报告之日起算）。质保期内出现任何非人为故意损坏的质量问题，由乙方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要求：质保期1年（自验收合格出具验收报告之日起算）。质保期内出现任何非人为故意损坏的质量问题，由乙方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要求：质保期3年（自验收合格出具验收报告之日起算）。质保期内出现任何非人为故意损坏的质量问题，由乙方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 （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 （3）本项目可兼投不兼中，供应商可参与多个包投标，但只能成为一个包的第一中标候选人；若已成为一个包的第一中标候选人，在后续包中再次排名得分第一则不能成为第一中标候选人，评标顺序按照包顺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完全符合、响应招标文件要求，没有负偏离的得32分；“▲”参数（共9项）负偏离一项扣2.5分，非“▲”参数（共19项）负偏离一项扣0.5分，扣完为止。 【备注：所有标注“▲”的参数均须提供佐证材料，佐证材料包括：国家认可的第三方检测机构出具的检测报告、技术白皮书、官网功能截图任意一种，经评审专家审定得分。未提供不得分。】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根据项目实际需求，提供完整详细的项目实施方案。内容包含①供货组织及进度安排②供货运输方案及安装调试方案。 二、评审标准 1、完整性：方案须全面，对评审内容中的各项要求有详细描述； 2、可实施性及针对性：切合本项目实际情况，实施步骤清晰、内容科学合理。 三、赋分依据（满分6分） ①供货组织及进度安排：每完全满足一个评审标准得1.5分，满分3分； ②供货运输方案及安装调试方案:每完全满足一个评审标准得1.5分，满分3分；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根据项目实际需求，提供完整详细的项目质量保证方案。内容包含①产品性能、使用寿命及效果②质量保证措施。 二、评审标准 1、完整性：方案须全面，对评审内容中的各项要求有详细描述； 2、可实施性及针对性：切合本项目实际情况，实施步骤清晰、内容科学合理。 三、赋分依据（满分4分） ①产品性能、使用寿命及效果：每完全满足一个评审标准得1分，满分2分； ②质量保证措施:每完全满足一个评审标准得1分，满分2分；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根据项目实际需求提供售后服务方案。内容包含①售后服务范围及响应时间及方式②故障处理、补救措施、定期回访及维护。 二、评审标准 1、完整性：方案须全面，对评审内容中的各项要求描述详细； 2、可实施性及针对性：切合本项目实际情况，实施步骤清晰、内容科学合理。 三、赋分依据（满分4分） ①售后服务范围及响应时间及方式：每完全满足一个评审标准得1分，满分2分； ②故障处理、补救措施、定期回访及维护:每完全满足一个评审标准得1分，满分2分；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含培训计划表、地点、时间及培训对象人数等）②培训内容（含所提供产品的原理和技术性能、操作维护方法、安装调试、排除故障等）。 二、评审标准 1、完整性：方案须全面，对评审内容中的各项要求描述详细； 2、可实施性及针对性：切合本项目实际情况，实施步骤清晰、内容科学合理。 三、赋分依据（满分4分） ①培训计划：每完全满足一个评审标准得1分，满分2分； ②培训内容:每完全满足一个评审标准得1分，满分2分。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2、可实施性及针对性：切合本项目实际情况，实施步骤清晰、内容科学合理。 三、赋分依据（满分4分） ①硬件、软件更新服务：每完全满足一个评审标准得1分，满分2分； ②配件更换服务及其他服务:每完全满足一个评审标准得1分，满分2分。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2、有效最低报价为基准价得40分。 3、按（评标基准价/评审价格）×40的公式计算报价得分。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完全符合、响应招标文件要求，没有负偏离的得32分；“▲”参数（共9项）负偏离一项扣2分，非“▲”参数（共14项）负偏离一项扣1分，扣完为止。 【备注：所有标注“▲”的参数均须提供佐证材料，佐证材料包括：国家认可的第三方检测机构出具的检测报告、技术白皮书、官网功能截图任意一种，经评审专家审定得分。未提供不得分。】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根据项目实际需求，提供完整详细的项目实施方案。内容包含①供货组织及进度安排②供货运输方案及安装调试方案 二、评审标准 1、完整性：方案须全面，对评审内容中的各项要求有详细描述； 2、可实施性及针对性：切合本项目实际情况，实施步骤清晰、内容科学合理。 三、赋分依据（满分6分） ①供货组织及进度安排：每完全满足一个评审标准得1.5分，满分3分； ②供货运输方案及安装调试方案:每完全满足一个评审标准得1.5分，满分3分；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根据项目实际需求，提供完整详细的项目质量保证方案。内容包含①产品性能、使用寿命及效果②质量保证措施。 二、评审标准 1、完整性：方案须全面，对评审内容中的各项要求有详细描述； 2、可实施性及针对性：切合本项目实际情况，实施步骤清晰、内容科学合理。 三、赋分依据（满分4分） ①产品性能、使用寿命及效果：每完全满足一个评审标准得1分，满分2分； ②质量保证措施:每完全满足一个评审标准得1分，满分2分；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根据项目实际需求提供售后服务方案。内容包含①售后服务范围及响应时间及方式②故障处理、补救措施、定期回访及维护。 二、评审标准 1、完整性：方案须全面，对评审内容中的各项要求描述详细； 2、可实施性及针对性：切合本项目实际情况，实施步骤清晰、内容科学合理。 三、赋分依据（满分4分） ①售后服务范围及响应时间及方式：每完全满足一个评审标准得1分，满分2分； ②故障处理、补救措施、定期回访及维护:每完全满足一个评审标准得1分，满分2分；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含培训计划表、地点、时间及培训对象人数等）②培训内容（含所提供产品的原理和技术性能、操作维护方法、安装调试、排除故障等）。 二、评审标准 1、完整性：方案须全面，对评审内容中的各项要求描述详细； 2、可实施性及针对性：切合本项目实际情况，实施步骤清晰、内容科学合理。 三、赋分依据（满分4分） ①培训计划：每完全满足一个评审标准得1分，满分2分； ②培训内容:每完全满足一个评审标准得1分，满分2分。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2、可实施性及针对性：切合本项目实际情况，实施步骤清晰、内容科学合理。 三、赋分依据（满分4分） ①硬件、软件更新服务：每完全满足一个评审标准得1分，满分2分； ②配件更换服务及其他服务:每完全满足一个评审标准得1分，满分2分。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2、有效最低报价为基准价得40分。 3、按（评标基准价/评审价格）×40的公式计算报价得分。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完全符合、响应招标文件要求，没有负偏离的得30分；“▲”参数（共8项）负偏离一项扣2.5分，非“▲”参数（共20项）负偏离一项扣0.5分，扣完为止。 【备注：所有标注▲的参数均须提供佐证材料，除招标文件“技术参数与性能指标”章节中明确指定材料类型的参数外，其余▲参数所提供国家认可的第三方检测机构出具的检测报告、技术白皮书、官网功能截图任意一种，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根据项目实际需求，提供完整详细的项目实施方案。内容包含①供货组织、进度安排②供货运输方案及安装调试方案。 二、评审标准 1、完整性：方案须全面，对评审内容中的各项要求有详细描述； 2、可实施性及针对性：切合本项目实际情况，实施步骤清晰、内容科学合理。 三、赋分依据（满分6分） ①供货组织、进度安排：每完全满足一个评审标准得1.5分，满分3分； ②供货运输方案及安装调试方案:每完全满足一个评审标准得1.5分，满分3分；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根据项目实际需求，提供完整详细的项目质量保证方案。内容包含①产品性能、使用寿命及效果②质量保证措施。 二、评审标准 1、完整性：方案须全面，对评审内容中的各项要求有详细描述； 2、可实施性及针对性：切合本项目实际情况，实施步骤清晰、内容科学合理。 三、赋分依据（满分6分） ①产品性能、使用寿命及效果：每完全满足一个评审标准得1.5分，满分3分； ②质量保证措施:每完全满足一个评审标准得1.5分，满分3分；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根据项目实际需求提供售后服务方案。内容包含①售后服务范围及响应时间及方式②故障处理、补救措施、定期回访及维护。 二、评审标准 1、完整性：方案须全面，对评审内容中的各项要求描述详细； 2、可实施性及针对性：切合本项目实际情况，实施步骤清晰、内容科学合理。 三、赋分依据（满分4分） ①售后服务范围及响应时间及方式：每完全满足一个评审标准得1分，满分2分； ②故障处理、补救措施、定期回访及维护:每完全满足一个评审标准得1分，满分2分；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含培训计划表、地点、时间及培训对象人数等）②培训内容（含所提供产品的原理和技术性能、操作维护方法、安装调试、排除故障等）。 二、评审标准 1、完整性：方案须全面，对评审内容中的各项要求描述详细； 2、可实施性：切合本项目实际情况，实施步骤清晰、合理； 3、针对性：方案能够紧扣项目实际情况，内容科学合理。 三、赋分依据（满分4分） ①培训计划：每完全满足一个评审标准得1分，满分2分； ②培训内容:每完全满足一个评审标准得1分，满分2分。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根据项目实际需求提供增值服务承诺。内容包含①硬件、软件更新服务②配件更换服务及其他服务。 二、评审标准 1、完整性：方案须全面，对评审内容中的各项要求描述详细； 2、可实施性及针对性：切合本项目实际情况，实施步骤清晰、内容科学合理。 三、赋分依据（满分4分） ①硬件、软件更新服务：每完全满足一个评审标准得1分，满分2分； ②配件更换服务及其他服务:每完全满足一个评审标准得1分，满分2分。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2、有效最低报价为基准价得40分。 3、按（评标基准价/评审价格）×40的公式计算报价得分。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