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版本号：KY2026-3-06820260520002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电子式环境耦合应力腐蚀试验机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KY2026-3-068</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电子式环境耦合应力腐蚀试验机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电子式环境耦合应力腐蚀试验机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电子式环境耦合应力腐蚀试验机，1套，具体要求详见招标文件第三章。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采购包1（电子式环境耦合应力腐蚀试验机）：属于专门面向中小企业采购。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电子式环境耦合应力腐蚀试验机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电子式环境耦合应力腐蚀试验机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标的名称：电子式环境耦合应力腐蚀试验机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电子式环境耦合应力腐蚀试验机</w:t>
            </w:r>
            <w:r>
              <w:rPr>
                <w:rFonts w:ascii="仿宋_GB2312" w:hAnsi="仿宋_GB2312" w:cs="仿宋_GB2312" w:eastAsia="仿宋_GB2312"/>
                <w:sz w:val="20"/>
                <w:color w:val="000000"/>
              </w:rPr>
              <w:t>1套</w:t>
            </w:r>
          </w:p>
          <w:p>
            <w:pPr>
              <w:pStyle w:val="null3"/>
              <w:spacing w:before="135"/>
              <w:ind w:left="150"/>
            </w:pPr>
            <w:r>
              <w:rPr>
                <w:rFonts w:ascii="仿宋_GB2312" w:hAnsi="仿宋_GB2312" w:cs="仿宋_GB2312" w:eastAsia="仿宋_GB2312"/>
                <w:sz w:val="20"/>
              </w:rPr>
              <w:t>电子式环境耦合应力腐蚀试验机主机：</w:t>
            </w:r>
          </w:p>
          <w:p>
            <w:pPr>
              <w:pStyle w:val="null3"/>
              <w:spacing w:before="165"/>
              <w:ind w:left="150"/>
            </w:pPr>
            <w:r>
              <w:rPr>
                <w:rFonts w:ascii="仿宋_GB2312" w:hAnsi="仿宋_GB2312" w:cs="仿宋_GB2312" w:eastAsia="仿宋_GB2312"/>
                <w:sz w:val="20"/>
              </w:rPr>
              <w:t>▲1)试验力：≥50kN；</w:t>
            </w:r>
          </w:p>
          <w:p>
            <w:pPr>
              <w:pStyle w:val="null3"/>
              <w:spacing w:before="150"/>
              <w:ind w:left="150"/>
            </w:pPr>
            <w:r>
              <w:rPr>
                <w:rFonts w:ascii="仿宋_GB2312" w:hAnsi="仿宋_GB2312" w:cs="仿宋_GB2312" w:eastAsia="仿宋_GB2312"/>
                <w:sz w:val="20"/>
              </w:rPr>
              <w:t>2)试验力范围：1%</w:t>
            </w:r>
            <w:r>
              <w:rPr>
                <w:rFonts w:ascii="仿宋_GB2312" w:hAnsi="仿宋_GB2312" w:cs="仿宋_GB2312" w:eastAsia="仿宋_GB2312"/>
                <w:sz w:val="20"/>
              </w:rPr>
              <w:t>~</w:t>
            </w:r>
            <w:r>
              <w:rPr>
                <w:rFonts w:ascii="仿宋_GB2312" w:hAnsi="仿宋_GB2312" w:cs="仿宋_GB2312" w:eastAsia="仿宋_GB2312"/>
                <w:sz w:val="20"/>
              </w:rPr>
              <w:t>100%F.S；</w:t>
            </w:r>
          </w:p>
          <w:p>
            <w:pPr>
              <w:pStyle w:val="null3"/>
              <w:spacing w:before="165"/>
              <w:ind w:left="150"/>
            </w:pPr>
            <w:r>
              <w:rPr>
                <w:rFonts w:ascii="仿宋_GB2312" w:hAnsi="仿宋_GB2312" w:cs="仿宋_GB2312" w:eastAsia="仿宋_GB2312"/>
                <w:sz w:val="20"/>
              </w:rPr>
              <w:t>3)试验力示值相对误差：±0.5%；</w:t>
            </w:r>
          </w:p>
          <w:p>
            <w:pPr>
              <w:pStyle w:val="null3"/>
              <w:spacing w:before="165"/>
              <w:ind w:left="150" w:right="780"/>
            </w:pPr>
            <w:r>
              <w:rPr>
                <w:rFonts w:ascii="仿宋_GB2312" w:hAnsi="仿宋_GB2312" w:cs="仿宋_GB2312" w:eastAsia="仿宋_GB2312"/>
                <w:sz w:val="20"/>
              </w:rPr>
              <w:t>4)加载头最快移动速度：10mm/s；</w:t>
            </w:r>
          </w:p>
          <w:p>
            <w:pPr>
              <w:pStyle w:val="null3"/>
              <w:spacing w:before="165"/>
              <w:ind w:left="150" w:right="780"/>
            </w:pPr>
            <w:r>
              <w:rPr>
                <w:rFonts w:ascii="仿宋_GB2312" w:hAnsi="仿宋_GB2312" w:cs="仿宋_GB2312" w:eastAsia="仿宋_GB2312"/>
                <w:sz w:val="20"/>
              </w:rPr>
              <w:t>▲5)最低拉伸应变速率：10</w:t>
            </w:r>
            <w:r>
              <w:rPr>
                <w:rFonts w:ascii="仿宋_GB2312" w:hAnsi="仿宋_GB2312" w:cs="仿宋_GB2312" w:eastAsia="仿宋_GB2312"/>
                <w:sz w:val="20"/>
                <w:vertAlign w:val="superscript"/>
              </w:rPr>
              <w:t>-7</w:t>
            </w:r>
            <w:r>
              <w:rPr>
                <w:rFonts w:ascii="仿宋_GB2312" w:hAnsi="仿宋_GB2312" w:cs="仿宋_GB2312" w:eastAsia="仿宋_GB2312"/>
                <w:sz w:val="20"/>
              </w:rPr>
              <w:t>/s；</w:t>
            </w:r>
          </w:p>
          <w:p>
            <w:pPr>
              <w:pStyle w:val="null3"/>
              <w:spacing w:before="105"/>
              <w:ind w:left="150"/>
            </w:pPr>
            <w:r>
              <w:rPr>
                <w:rFonts w:ascii="仿宋_GB2312" w:hAnsi="仿宋_GB2312" w:cs="仿宋_GB2312" w:eastAsia="仿宋_GB2312"/>
                <w:sz w:val="20"/>
              </w:rPr>
              <w:t>6)加载头位移测量精度：±0.5%；</w:t>
            </w:r>
          </w:p>
          <w:p>
            <w:pPr>
              <w:pStyle w:val="null3"/>
              <w:spacing w:before="165"/>
              <w:ind w:left="150"/>
            </w:pPr>
            <w:r>
              <w:rPr>
                <w:rFonts w:ascii="仿宋_GB2312" w:hAnsi="仿宋_GB2312" w:cs="仿宋_GB2312" w:eastAsia="仿宋_GB2312"/>
                <w:sz w:val="20"/>
              </w:rPr>
              <w:t>7)加载头位移分辨率：≤0.02μm；</w:t>
            </w:r>
          </w:p>
          <w:p>
            <w:pPr>
              <w:pStyle w:val="null3"/>
              <w:spacing w:before="165"/>
              <w:ind w:left="150"/>
            </w:pPr>
            <w:r>
              <w:rPr>
                <w:rFonts w:ascii="仿宋_GB2312" w:hAnsi="仿宋_GB2312" w:cs="仿宋_GB2312" w:eastAsia="仿宋_GB2312"/>
                <w:sz w:val="20"/>
              </w:rPr>
              <w:t>8)LVDT变形测量精度：≤0.5%；</w:t>
            </w:r>
          </w:p>
          <w:p>
            <w:pPr>
              <w:pStyle w:val="null3"/>
              <w:spacing w:before="180"/>
              <w:ind w:left="150"/>
            </w:pPr>
            <w:r>
              <w:rPr>
                <w:rFonts w:ascii="仿宋_GB2312" w:hAnsi="仿宋_GB2312" w:cs="仿宋_GB2312" w:eastAsia="仿宋_GB2312"/>
                <w:sz w:val="20"/>
              </w:rPr>
              <w:t>▲9)疲劳加载正弦波频率：0.01</w:t>
            </w:r>
            <w:r>
              <w:rPr>
                <w:rFonts w:ascii="仿宋_GB2312" w:hAnsi="仿宋_GB2312" w:cs="仿宋_GB2312" w:eastAsia="仿宋_GB2312"/>
                <w:sz w:val="20"/>
              </w:rPr>
              <w:t>~</w:t>
            </w:r>
            <w:r>
              <w:rPr>
                <w:rFonts w:ascii="仿宋_GB2312" w:hAnsi="仿宋_GB2312" w:cs="仿宋_GB2312" w:eastAsia="仿宋_GB2312"/>
                <w:sz w:val="20"/>
              </w:rPr>
              <w:t>1Hz；</w:t>
            </w:r>
          </w:p>
          <w:p>
            <w:pPr>
              <w:pStyle w:val="null3"/>
              <w:spacing w:before="180"/>
              <w:ind w:left="150"/>
            </w:pPr>
            <w:r>
              <w:rPr>
                <w:rFonts w:ascii="仿宋_GB2312" w:hAnsi="仿宋_GB2312" w:cs="仿宋_GB2312" w:eastAsia="仿宋_GB2312"/>
                <w:sz w:val="20"/>
              </w:rPr>
              <w:t>▲10)主机加载系统要求无间隙传动、传感器；</w:t>
            </w:r>
          </w:p>
          <w:p>
            <w:pPr>
              <w:pStyle w:val="null3"/>
              <w:spacing w:before="195"/>
              <w:ind w:left="150" w:right="225"/>
            </w:pPr>
            <w:r>
              <w:rPr>
                <w:rFonts w:ascii="仿宋_GB2312" w:hAnsi="仿宋_GB2312" w:cs="仿宋_GB2312" w:eastAsia="仿宋_GB2312"/>
                <w:sz w:val="20"/>
              </w:rPr>
              <w:t>▲11)主机框架要求采用四立柱高刚性框架；</w:t>
            </w:r>
          </w:p>
          <w:p>
            <w:pPr>
              <w:pStyle w:val="null3"/>
              <w:spacing w:before="195"/>
              <w:ind w:left="120"/>
            </w:pPr>
            <w:r>
              <w:rPr>
                <w:rFonts w:ascii="仿宋_GB2312" w:hAnsi="仿宋_GB2312" w:cs="仿宋_GB2312" w:eastAsia="仿宋_GB2312"/>
                <w:sz w:val="20"/>
              </w:rPr>
              <w:t>12)试验釜系统：溶液介质环境(常温-80℃)系统、盐雾介质环境测量系统、电化学测量联动功能；</w:t>
            </w:r>
          </w:p>
          <w:p>
            <w:pPr>
              <w:pStyle w:val="null3"/>
              <w:spacing w:before="210"/>
              <w:ind w:left="150"/>
            </w:pPr>
            <w:r>
              <w:rPr>
                <w:rFonts w:ascii="仿宋_GB2312" w:hAnsi="仿宋_GB2312" w:cs="仿宋_GB2312" w:eastAsia="仿宋_GB2312"/>
                <w:sz w:val="20"/>
              </w:rPr>
              <w:t>13)水循环回路：在线测量、溶液循环</w:t>
            </w:r>
          </w:p>
          <w:p>
            <w:pPr>
              <w:pStyle w:val="null3"/>
              <w:spacing w:before="165"/>
              <w:ind w:left="135" w:firstLine="9"/>
            </w:pPr>
            <w:r>
              <w:rPr>
                <w:rFonts w:ascii="仿宋_GB2312" w:hAnsi="仿宋_GB2312" w:cs="仿宋_GB2312" w:eastAsia="仿宋_GB2312"/>
                <w:sz w:val="20"/>
              </w:rPr>
              <w:t>▲14)试验夹具(须绝缘)：棒材试样夹具、板材试样夹具、疲劳夹具、CT试样夹具；</w:t>
            </w:r>
          </w:p>
          <w:p>
            <w:pPr>
              <w:pStyle w:val="null3"/>
              <w:spacing w:before="165"/>
              <w:ind w:left="135" w:firstLine="9"/>
            </w:pPr>
            <w:r>
              <w:rPr>
                <w:rFonts w:ascii="仿宋_GB2312" w:hAnsi="仿宋_GB2312" w:cs="仿宋_GB2312" w:eastAsia="仿宋_GB2312"/>
                <w:sz w:val="20"/>
              </w:rPr>
              <w:t>▲15)同轴度要求≤5%,配套同轴调整装置；</w:t>
            </w:r>
          </w:p>
          <w:p>
            <w:pPr>
              <w:pStyle w:val="null3"/>
              <w:spacing w:before="195"/>
              <w:ind w:left="120"/>
            </w:pPr>
            <w:r>
              <w:rPr>
                <w:rFonts w:ascii="仿宋_GB2312" w:hAnsi="仿宋_GB2312" w:cs="仿宋_GB2312" w:eastAsia="仿宋_GB2312"/>
                <w:sz w:val="20"/>
              </w:rPr>
              <w:t>16)釜盖等关键部位需用耐腐蚀的镍基合金制造；</w:t>
            </w:r>
          </w:p>
          <w:p>
            <w:pPr>
              <w:pStyle w:val="null3"/>
              <w:spacing w:before="195"/>
              <w:ind w:left="120"/>
            </w:pPr>
            <w:r>
              <w:rPr>
                <w:rFonts w:ascii="仿宋_GB2312" w:hAnsi="仿宋_GB2312" w:cs="仿宋_GB2312" w:eastAsia="仿宋_GB2312"/>
                <w:sz w:val="20"/>
              </w:rPr>
              <w:t>17)变形测量系统：位移、裂纹扩展等数据采集配套COD规和LVDT传感器、需配套工控机和采集卡等；</w:t>
            </w:r>
          </w:p>
          <w:p>
            <w:pPr>
              <w:pStyle w:val="null3"/>
              <w:spacing w:before="195"/>
              <w:ind w:left="120"/>
            </w:pPr>
            <w:r>
              <w:rPr>
                <w:rFonts w:ascii="仿宋_GB2312" w:hAnsi="仿宋_GB2312" w:cs="仿宋_GB2312" w:eastAsia="仿宋_GB2312"/>
                <w:sz w:val="20"/>
              </w:rPr>
              <w:t>18)在腐蚀介质中的裂纹扩展测试需采用电位法或者直接测量；</w:t>
            </w:r>
          </w:p>
          <w:p>
            <w:pPr>
              <w:pStyle w:val="null3"/>
              <w:spacing w:before="195"/>
              <w:ind w:left="120"/>
            </w:pPr>
            <w:r>
              <w:rPr>
                <w:rFonts w:ascii="仿宋_GB2312" w:hAnsi="仿宋_GB2312" w:cs="仿宋_GB2312" w:eastAsia="仿宋_GB2312"/>
                <w:sz w:val="20"/>
              </w:rPr>
              <w:t>▲19)试验软件需配套：慢拉伸试验软件、蠕变试验软件、疲劳试验软件、水化学测量软件、裂纹扩展试验软件；</w:t>
            </w:r>
          </w:p>
          <w:p>
            <w:pPr>
              <w:pStyle w:val="null3"/>
              <w:spacing w:before="195"/>
              <w:ind w:left="120"/>
            </w:pPr>
            <w:r>
              <w:rPr>
                <w:rFonts w:ascii="仿宋_GB2312" w:hAnsi="仿宋_GB2312" w:cs="仿宋_GB2312" w:eastAsia="仿宋_GB2312"/>
                <w:sz w:val="20"/>
              </w:rPr>
              <w:t>20)支持试验中止及掉电后恢复功能；</w:t>
            </w:r>
          </w:p>
          <w:p>
            <w:pPr>
              <w:pStyle w:val="null3"/>
              <w:spacing w:before="195"/>
              <w:ind w:left="120"/>
            </w:pPr>
            <w:r>
              <w:rPr>
                <w:rFonts w:ascii="仿宋_GB2312" w:hAnsi="仿宋_GB2312" w:cs="仿宋_GB2312" w:eastAsia="仿宋_GB2312"/>
                <w:sz w:val="20"/>
              </w:rPr>
              <w:t>21)支持采集数据掉电保留；</w:t>
            </w:r>
          </w:p>
          <w:p>
            <w:pPr>
              <w:pStyle w:val="null3"/>
              <w:spacing w:before="195"/>
              <w:ind w:left="120"/>
            </w:pPr>
            <w:r>
              <w:rPr>
                <w:rFonts w:ascii="仿宋_GB2312" w:hAnsi="仿宋_GB2312" w:cs="仿宋_GB2312" w:eastAsia="仿宋_GB2312"/>
                <w:sz w:val="20"/>
              </w:rPr>
              <w:t xml:space="preserve">22)支持30天以上的连续试验；  </w:t>
            </w:r>
          </w:p>
          <w:p>
            <w:pPr>
              <w:pStyle w:val="null3"/>
            </w:pPr>
            <w:r>
              <w:rPr>
                <w:rFonts w:ascii="仿宋_GB2312" w:hAnsi="仿宋_GB2312" w:cs="仿宋_GB2312" w:eastAsia="仿宋_GB2312"/>
                <w:sz w:val="20"/>
              </w:rPr>
              <w:t>▲23)支持设备超载保护以及各种设备安全和试验安全保护。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交货期：合同签订后135个日历日交货安装验收完毕。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2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（13）本项目专门面向中、小、微型企业采购项目。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3、因文件关于合同签订时间无法修改，特在此处说明，中标中标人应当在中标通知书发出之日起25日内与采购人签订政府采购合同。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5、中标人需要提交与电子化交易系统中一致的纸质版投标文件正本壹份打印并胶装（可顺丰邮寄），邮寄地址：西安市雁展路1111号莱安中心T6-15层，联系人：谢婷婷，联系电话：029-81206622/81206633-832。 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开标一览表 产品技术参数表 分项报价表.docx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产品技术参数表 投标函 商务应答表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32分；“▲”参数每负偏离一项扣2分（共计9项），未带标识参数每负偏离一项扣1分（共计14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但不限于：①供货组织安排；②实施计划及进度计划；③安装调试方案；④配合验收方案；⑤人员配备方案；以上方案每缺一项扣3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 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详细的售后服务措施，包括但不限于：①紧急故障处理预案及解决问题能力；②故障维修响应时间；③定期巡检维护方案等；④提供产品备品备件价目表，并承诺质保期后的维修仍然按照备品备件表内价格收取费用。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缺一项扣2分；不提供方案不得分。每有1处描述缺陷要求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6详细评审---培训措施.docx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提供投标人2023年1月1日至今（以合同签订日期为准）同类项目完整合同，每提供1个计1分，最高得4分，提供不全不计分。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详见附件：6详细评审---培训措施.docx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