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版本号：SCIT-ZC-SX202604000220260508001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飞利浦IncisiveCT3年维保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SCIT-ZC-SX2026040002</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飞利浦IncisiveCT3年维保</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SCIT-ZC-SX2026040002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飞利浦IncisiveCT3年维保</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本项目共1个包，拟选择维保单位一名； 项目用途：飞利浦IncisiveCT3年维保 采购预算：1200000.00元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授权书及被授权人身份证明：被授权人参与投标时须提供法定代表人授权书、被授权人身份证及开标截止前连续近三个月（不含开标当月）投标人为其缴纳的社会保险证明；法定代表人参与投标时须提供法定代表人身份证明； 供应商需在项目电子化交易系统中按要求进行电子签章。</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 注：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3、本项目不接受由西安市第一医院职工及其亲属投资开办的企业参加本单位的政府采购活动：本项目不接受由西安市第一医院职工及其亲属投资开办的企业参加本单位的政府采购活动；提供承诺函。</w:t>
      </w:r>
    </w:p>
    <w:p>
      <w:pPr>
        <w:pStyle w:val="null3"/>
      </w:pPr>
      <w:r>
        <w:rPr>
          <w:rFonts w:ascii="仿宋_GB2312" w:hAnsi="仿宋_GB2312" w:cs="仿宋_GB2312" w:eastAsia="仿宋_GB2312"/>
        </w:rPr>
        <w:t>4、投标人与其他投标单位无交叉控股股东、无交叉兼任高级管理人员及涉嫌联合围标、串标行为，无采购单位和招标代理机构职工在该单位兼职的情况，不向采购单位和代理机构相关人员输送利益等行贿行为：投标人与其他投标单位无交叉控股股东、无交叉兼任高级管理人员及涉嫌联合围标、串标行为，无采购单位和招标代理机构职工在该单位兼职的情况，不向采购单位和代理机构相关人员输送利益等行贿行为；提供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西安市第一医院经办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连娟、刘江媚、马旭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代理服务费收费标准：以成交金额计算，按国家标准（国家计委计价格〔2002〕1980号）下浮20%收取 收款单位：四川国际招标有限责任公司陕西分公司 开户行：中国民生银行股份有限公司西安高新开发区支行 银行账号：600582071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服务期每满1年组织院内验收小组进行验收，按照合同约定验收内容如下： （1）定期预防性维护：每3个月进行1次设备全面检测、清洁、校准，建立维护记录。 （2）故障响应与维修：接到故障报修后1小时内响应，24小时内到达现场解决故障。 （3）备件供应：维保范围内所需备件免费提供，确保设备正常运行。 （4）应急保障服务：重大节假日期间提供应急值守服务。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联系电话：029-88854271-8008</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本项目共1个包，拟选择维保单位一名； 项目用途：飞利浦IncisiveCT3年维保；</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810,000.00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飞利浦Incisive CT 3年维保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标的名称：飞利浦Incisive CT 3年维保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包括设备系统</w:t>
            </w:r>
            <w:r>
              <w:rPr>
                <w:rFonts w:ascii="仿宋_GB2312" w:hAnsi="仿宋_GB2312" w:cs="仿宋_GB2312" w:eastAsia="仿宋_GB2312"/>
              </w:rPr>
              <w:t>/服务：</w:t>
            </w:r>
            <w:r>
              <w:rPr>
                <w:rFonts w:ascii="仿宋_GB2312" w:hAnsi="仿宋_GB2312" w:cs="仿宋_GB2312" w:eastAsia="仿宋_GB2312"/>
              </w:rPr>
              <w:t>CT</w:t>
            </w:r>
            <w:r>
              <w:rPr>
                <w:rFonts w:ascii="仿宋_GB2312" w:hAnsi="仿宋_GB2312" w:cs="仿宋_GB2312" w:eastAsia="仿宋_GB2312"/>
              </w:rPr>
              <w:t>设备全套及相关辅助设备</w:t>
            </w:r>
            <w:r>
              <w:rPr>
                <w:rFonts w:ascii="仿宋_GB2312" w:hAnsi="仿宋_GB2312" w:cs="仿宋_GB2312" w:eastAsia="仿宋_GB2312"/>
              </w:rPr>
              <w:t>（不含球管）。</w:t>
            </w:r>
          </w:p>
          <w:p>
            <w:pPr>
              <w:pStyle w:val="null3"/>
            </w:pPr>
            <w:r>
              <w:rPr>
                <w:rFonts w:ascii="仿宋_GB2312" w:hAnsi="仿宋_GB2312" w:cs="仿宋_GB2312" w:eastAsia="仿宋_GB2312"/>
              </w:rPr>
              <w:t>2.</w:t>
            </w:r>
            <w:r>
              <w:rPr>
                <w:rFonts w:ascii="仿宋_GB2312" w:hAnsi="仿宋_GB2312" w:cs="仿宋_GB2312" w:eastAsia="仿宋_GB2312"/>
              </w:rPr>
              <w:t xml:space="preserve"> </w:t>
            </w:r>
            <w:r>
              <w:rPr>
                <w:rFonts w:ascii="仿宋_GB2312" w:hAnsi="仿宋_GB2312" w:cs="仿宋_GB2312" w:eastAsia="仿宋_GB2312"/>
              </w:rPr>
              <w:t>维保责任及要求：</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服务时间：全年</w:t>
            </w:r>
            <w:r>
              <w:rPr>
                <w:rFonts w:ascii="仿宋_GB2312" w:hAnsi="仿宋_GB2312" w:cs="仿宋_GB2312" w:eastAsia="仿宋_GB2312"/>
              </w:rPr>
              <w:t>365*24小时无节假日服务；</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电话响应时间：</w:t>
            </w:r>
            <w:r>
              <w:rPr>
                <w:rFonts w:ascii="仿宋_GB2312" w:hAnsi="仿宋_GB2312" w:cs="仿宋_GB2312" w:eastAsia="仿宋_GB2312"/>
              </w:rPr>
              <w:t>≤1小时；工程师到场时间：≤24小时；</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备件到达现场时间：</w:t>
            </w:r>
            <w:r>
              <w:rPr>
                <w:rFonts w:ascii="仿宋_GB2312" w:hAnsi="仿宋_GB2312" w:cs="仿宋_GB2312" w:eastAsia="仿宋_GB2312"/>
              </w:rPr>
              <w:t>从报修时计算</w:t>
            </w:r>
            <w:r>
              <w:rPr>
                <w:rFonts w:ascii="仿宋_GB2312" w:hAnsi="仿宋_GB2312" w:cs="仿宋_GB2312" w:eastAsia="仿宋_GB2312"/>
              </w:rPr>
              <w:t>普通零配件</w:t>
            </w:r>
            <w:r>
              <w:rPr>
                <w:rFonts w:ascii="仿宋_GB2312" w:hAnsi="仿宋_GB2312" w:cs="仿宋_GB2312" w:eastAsia="仿宋_GB2312"/>
              </w:rPr>
              <w:t>≤36小时，重大型配件≤72小时；</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开机率保证：每年</w:t>
            </w:r>
            <w:r>
              <w:rPr>
                <w:rFonts w:ascii="仿宋_GB2312" w:hAnsi="仿宋_GB2312" w:cs="仿宋_GB2312" w:eastAsia="仿宋_GB2312"/>
              </w:rPr>
              <w:t>≥95%</w:t>
            </w:r>
            <w:r>
              <w:rPr>
                <w:rFonts w:ascii="仿宋_GB2312" w:hAnsi="仿宋_GB2312" w:cs="仿宋_GB2312" w:eastAsia="仿宋_GB2312"/>
              </w:rPr>
              <w:t>；</w:t>
            </w:r>
            <w:r>
              <w:rPr>
                <w:rFonts w:ascii="仿宋_GB2312" w:hAnsi="仿宋_GB2312" w:cs="仿宋_GB2312" w:eastAsia="仿宋_GB2312"/>
              </w:rPr>
              <w:t>即每年停机不超过</w:t>
            </w:r>
            <w:r>
              <w:rPr>
                <w:rFonts w:ascii="仿宋_GB2312" w:hAnsi="仿宋_GB2312" w:cs="仿宋_GB2312" w:eastAsia="仿宋_GB2312"/>
              </w:rPr>
              <w:t>18天。</w:t>
            </w:r>
          </w:p>
          <w:p>
            <w:pPr>
              <w:pStyle w:val="null3"/>
            </w:pP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服务期内，对</w:t>
            </w:r>
            <w:r>
              <w:rPr>
                <w:rFonts w:ascii="仿宋_GB2312" w:hAnsi="仿宋_GB2312" w:cs="仿宋_GB2312" w:eastAsia="仿宋_GB2312"/>
              </w:rPr>
              <w:t>CT设备每年提供4次定期维护、保养</w:t>
            </w:r>
            <w:r>
              <w:rPr>
                <w:rFonts w:ascii="仿宋_GB2312" w:hAnsi="仿宋_GB2312" w:cs="仿宋_GB2312" w:eastAsia="仿宋_GB2312"/>
              </w:rPr>
              <w:t>、</w:t>
            </w:r>
            <w:r>
              <w:rPr>
                <w:rFonts w:ascii="仿宋_GB2312" w:hAnsi="仿宋_GB2312" w:cs="仿宋_GB2312" w:eastAsia="仿宋_GB2312"/>
              </w:rPr>
              <w:t>计划性定期的维修服务检测包括设备清洁、性能测试及校准、必要的机械或电气的检查，以及非紧急性质的补救性维修，并定期对设备的数据进行备份，确保系统能按照制造商的产品规格运行的标准来维修。定期维护服务间隔进行，具体内容包括：</w:t>
            </w:r>
            <w:r>
              <w:rPr>
                <w:rFonts w:ascii="仿宋_GB2312" w:hAnsi="仿宋_GB2312" w:cs="仿宋_GB2312" w:eastAsia="仿宋_GB2312"/>
              </w:rPr>
              <w:t>①</w:t>
            </w:r>
            <w:r>
              <w:rPr>
                <w:rFonts w:ascii="仿宋_GB2312" w:hAnsi="仿宋_GB2312" w:cs="仿宋_GB2312" w:eastAsia="仿宋_GB2312"/>
              </w:rPr>
              <w:t>系统基本情况检查</w:t>
            </w:r>
            <w:r>
              <w:rPr>
                <w:rFonts w:ascii="仿宋_GB2312" w:hAnsi="仿宋_GB2312" w:cs="仿宋_GB2312" w:eastAsia="仿宋_GB2312"/>
              </w:rPr>
              <w:t>；</w:t>
            </w:r>
            <w:r>
              <w:rPr>
                <w:rFonts w:ascii="仿宋_GB2312" w:hAnsi="仿宋_GB2312" w:cs="仿宋_GB2312" w:eastAsia="仿宋_GB2312"/>
              </w:rPr>
              <w:t>②</w:t>
            </w:r>
            <w:r>
              <w:rPr>
                <w:rFonts w:ascii="仿宋_GB2312" w:hAnsi="仿宋_GB2312" w:cs="仿宋_GB2312" w:eastAsia="仿宋_GB2312"/>
              </w:rPr>
              <w:t>图像质量检查</w:t>
            </w:r>
            <w:r>
              <w:rPr>
                <w:rFonts w:ascii="仿宋_GB2312" w:hAnsi="仿宋_GB2312" w:cs="仿宋_GB2312" w:eastAsia="仿宋_GB2312"/>
              </w:rPr>
              <w:t>；</w:t>
            </w:r>
            <w:r>
              <w:rPr>
                <w:rFonts w:ascii="仿宋_GB2312" w:hAnsi="仿宋_GB2312" w:cs="仿宋_GB2312" w:eastAsia="仿宋_GB2312"/>
              </w:rPr>
              <w:t>③</w:t>
            </w:r>
            <w:r>
              <w:rPr>
                <w:rFonts w:ascii="仿宋_GB2312" w:hAnsi="仿宋_GB2312" w:cs="仿宋_GB2312" w:eastAsia="仿宋_GB2312"/>
              </w:rPr>
              <w:t>球管使用情况检查</w:t>
            </w:r>
            <w:r>
              <w:rPr>
                <w:rFonts w:ascii="仿宋_GB2312" w:hAnsi="仿宋_GB2312" w:cs="仿宋_GB2312" w:eastAsia="仿宋_GB2312"/>
              </w:rPr>
              <w:t>；</w:t>
            </w:r>
            <w:r>
              <w:rPr>
                <w:rFonts w:ascii="仿宋_GB2312" w:hAnsi="仿宋_GB2312" w:cs="仿宋_GB2312" w:eastAsia="仿宋_GB2312"/>
              </w:rPr>
              <w:t>④</w:t>
            </w:r>
            <w:r>
              <w:rPr>
                <w:rFonts w:ascii="仿宋_GB2312" w:hAnsi="仿宋_GB2312" w:cs="仿宋_GB2312" w:eastAsia="仿宋_GB2312"/>
              </w:rPr>
              <w:t>重建系统检查</w:t>
            </w:r>
            <w:r>
              <w:rPr>
                <w:rFonts w:ascii="仿宋_GB2312" w:hAnsi="仿宋_GB2312" w:cs="仿宋_GB2312" w:eastAsia="仿宋_GB2312"/>
              </w:rPr>
              <w:t>；</w:t>
            </w:r>
            <w:r>
              <w:rPr>
                <w:rFonts w:ascii="仿宋_GB2312" w:hAnsi="仿宋_GB2312" w:cs="仿宋_GB2312" w:eastAsia="仿宋_GB2312"/>
              </w:rPr>
              <w:t>⑤</w:t>
            </w:r>
            <w:r>
              <w:rPr>
                <w:rFonts w:ascii="仿宋_GB2312" w:hAnsi="仿宋_GB2312" w:cs="仿宋_GB2312" w:eastAsia="仿宋_GB2312"/>
              </w:rPr>
              <w:t>滑环通讯检查</w:t>
            </w:r>
            <w:r>
              <w:rPr>
                <w:rFonts w:ascii="仿宋_GB2312" w:hAnsi="仿宋_GB2312" w:cs="仿宋_GB2312" w:eastAsia="仿宋_GB2312"/>
              </w:rPr>
              <w:t>；</w:t>
            </w:r>
            <w:r>
              <w:rPr>
                <w:rFonts w:ascii="仿宋_GB2312" w:hAnsi="仿宋_GB2312" w:cs="仿宋_GB2312" w:eastAsia="仿宋_GB2312"/>
              </w:rPr>
              <w:t>⑥</w:t>
            </w:r>
            <w:r>
              <w:rPr>
                <w:rFonts w:ascii="仿宋_GB2312" w:hAnsi="仿宋_GB2312" w:cs="仿宋_GB2312" w:eastAsia="仿宋_GB2312"/>
              </w:rPr>
              <w:t>软件等等</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服务期内，服务商在维修更换配件时引发医院</w:t>
            </w:r>
            <w:r>
              <w:rPr>
                <w:rFonts w:ascii="仿宋_GB2312" w:hAnsi="仿宋_GB2312" w:cs="仿宋_GB2312" w:eastAsia="仿宋_GB2312"/>
              </w:rPr>
              <w:t>CT机其他新故障时，由服务商自行解决故障及配件，全部费用由服务商支付。</w:t>
            </w:r>
            <w:r>
              <w:rPr>
                <w:rFonts w:ascii="仿宋_GB2312" w:hAnsi="仿宋_GB2312" w:cs="仿宋_GB2312" w:eastAsia="仿宋_GB2312"/>
                <w:b/>
              </w:rPr>
              <w:t>（提供承诺函）</w:t>
            </w:r>
          </w:p>
          <w:p>
            <w:pPr>
              <w:pStyle w:val="null3"/>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设备安全检查及质量保证服务。</w:t>
            </w:r>
          </w:p>
          <w:p>
            <w:pPr>
              <w:pStyle w:val="null3"/>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设备故障报修：不限次数人工上门服务。</w:t>
            </w:r>
          </w:p>
          <w:p>
            <w:pPr>
              <w:pStyle w:val="null3"/>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整机人工技术服务及更换备件服务。</w:t>
            </w:r>
            <w:r>
              <w:rPr>
                <w:rFonts w:ascii="仿宋_GB2312" w:hAnsi="仿宋_GB2312" w:cs="仿宋_GB2312" w:eastAsia="仿宋_GB2312"/>
              </w:rPr>
              <w:t>（费用包含在此次报价中）</w:t>
            </w:r>
          </w:p>
          <w:p>
            <w:pPr>
              <w:pStyle w:val="null3"/>
            </w:pP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设备质检协助服务。</w:t>
            </w:r>
          </w:p>
          <w:p>
            <w:pPr>
              <w:pStyle w:val="null3"/>
            </w:pPr>
            <w:r>
              <w:rPr>
                <w:rFonts w:ascii="仿宋_GB2312" w:hAnsi="仿宋_GB2312" w:cs="仿宋_GB2312" w:eastAsia="仿宋_GB2312"/>
              </w:rPr>
              <w:t>（</w:t>
            </w:r>
            <w:r>
              <w:rPr>
                <w:rFonts w:ascii="仿宋_GB2312" w:hAnsi="仿宋_GB2312" w:cs="仿宋_GB2312" w:eastAsia="仿宋_GB2312"/>
              </w:rPr>
              <w:t>11）提供《维修报告》《保养报告》《设备年度保养报告》（装订成册）；</w:t>
            </w:r>
          </w:p>
          <w:p>
            <w:pPr>
              <w:pStyle w:val="null3"/>
            </w:pPr>
            <w:r>
              <w:rPr>
                <w:rFonts w:ascii="仿宋_GB2312" w:hAnsi="仿宋_GB2312" w:cs="仿宋_GB2312" w:eastAsia="仿宋_GB2312"/>
              </w:rPr>
              <w:t>3.</w:t>
            </w:r>
            <w:r>
              <w:rPr>
                <w:rFonts w:ascii="仿宋_GB2312" w:hAnsi="仿宋_GB2312" w:cs="仿宋_GB2312" w:eastAsia="仿宋_GB2312"/>
              </w:rPr>
              <w:t>服务费用范围</w:t>
            </w:r>
          </w:p>
          <w:p>
            <w:pPr>
              <w:pStyle w:val="null3"/>
            </w:pPr>
            <w:r>
              <w:rPr>
                <w:rFonts w:ascii="仿宋_GB2312" w:hAnsi="仿宋_GB2312" w:cs="仿宋_GB2312" w:eastAsia="仿宋_GB2312"/>
              </w:rPr>
              <w:t>包含服务费用内容：维保期间所产生的人工费用；整机所</w:t>
            </w:r>
            <w:r>
              <w:rPr>
                <w:rFonts w:ascii="仿宋_GB2312" w:hAnsi="仿宋_GB2312" w:cs="仿宋_GB2312" w:eastAsia="仿宋_GB2312"/>
              </w:rPr>
              <w:t>包</w:t>
            </w:r>
            <w:r>
              <w:rPr>
                <w:rFonts w:ascii="仿宋_GB2312" w:hAnsi="仿宋_GB2312" w:cs="仿宋_GB2312" w:eastAsia="仿宋_GB2312"/>
              </w:rPr>
              <w:t>配件更换费用、差旅费用；技术服务费、运输费用等</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备件</w:t>
            </w:r>
            <w:r>
              <w:rPr>
                <w:rFonts w:ascii="仿宋_GB2312" w:hAnsi="仿宋_GB2312" w:cs="仿宋_GB2312" w:eastAsia="仿宋_GB2312"/>
              </w:rPr>
              <w:t>服务</w:t>
            </w:r>
            <w:r>
              <w:rPr>
                <w:rFonts w:ascii="仿宋_GB2312" w:hAnsi="仿宋_GB2312" w:cs="仿宋_GB2312" w:eastAsia="仿宋_GB2312"/>
              </w:rPr>
              <w:t>要求</w:t>
            </w:r>
            <w:r>
              <w:rPr>
                <w:rFonts w:ascii="仿宋_GB2312" w:hAnsi="仿宋_GB2312" w:cs="仿宋_GB2312" w:eastAsia="仿宋_GB2312"/>
              </w:rPr>
              <w:t>：</w:t>
            </w:r>
            <w:r>
              <w:rPr>
                <w:rFonts w:ascii="仿宋_GB2312" w:hAnsi="仿宋_GB2312" w:cs="仿宋_GB2312" w:eastAsia="仿宋_GB2312"/>
              </w:rPr>
              <w:t>原厂</w:t>
            </w:r>
            <w:r>
              <w:rPr>
                <w:rFonts w:ascii="仿宋_GB2312" w:hAnsi="仿宋_GB2312" w:cs="仿宋_GB2312" w:eastAsia="仿宋_GB2312"/>
              </w:rPr>
              <w:t>全新</w:t>
            </w:r>
            <w:r>
              <w:rPr>
                <w:rFonts w:ascii="仿宋_GB2312" w:hAnsi="仿宋_GB2312" w:cs="仿宋_GB2312" w:eastAsia="仿宋_GB2312"/>
              </w:rPr>
              <w:t>备件，安装完成后达到设备安全运行标准及临床要求</w:t>
            </w:r>
            <w:r>
              <w:rPr>
                <w:rFonts w:ascii="仿宋_GB2312" w:hAnsi="仿宋_GB2312" w:cs="仿宋_GB2312" w:eastAsia="仿宋_GB2312"/>
              </w:rPr>
              <w:t>。</w:t>
            </w:r>
            <w:r>
              <w:rPr>
                <w:rFonts w:ascii="仿宋_GB2312" w:hAnsi="仿宋_GB2312" w:cs="仿宋_GB2312" w:eastAsia="仿宋_GB2312"/>
                <w:b/>
              </w:rPr>
              <w:t>（提供承诺函）</w:t>
            </w:r>
          </w:p>
          <w:p>
            <w:pPr>
              <w:pStyle w:val="null3"/>
              <w:jc w:val="both"/>
            </w:pPr>
            <w:r>
              <w:rPr>
                <w:rFonts w:ascii="仿宋_GB2312" w:hAnsi="仿宋_GB2312" w:cs="仿宋_GB2312" w:eastAsia="仿宋_GB2312"/>
                <w:sz w:val="21"/>
              </w:rPr>
              <w:t>5.在维保过程中，若更换的配件属于医疗器械的，须提供产品</w:t>
            </w:r>
            <w:r>
              <w:rPr>
                <w:rFonts w:ascii="仿宋_GB2312" w:hAnsi="仿宋_GB2312" w:cs="仿宋_GB2312" w:eastAsia="仿宋_GB2312"/>
                <w:sz w:val="21"/>
              </w:rPr>
              <w:t>注册证或备案证</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为采购人提供基础操作及安全规范培训服务。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1.责任主体：西安市第一医院 2.验收方法：查阅资料、现场验收 3.验收程序：按照西安市第一医院医疗设备及维保服务验收制度程序要求。 4.验收依据： （1）本合同及附件文本； （2）国家相应的标准、规范； （3）招标文件、投标文件、澄清表（函）。 （4）易损配件、备件报价单。 （5）其他。 5.验收标准：服务期每满1年组织院内验收小组进行验收，按照合同约定验收内容如下： （1）定期预防性维护：每3个月进行1次设备全面检测、清洁、校准，建立维护记录。 （2）故障响应与维修：接到故障报修后1小时内响应，24小时内到达现场解决故障。 （3）备件供应：维保范围内所需备件免费提供，确保设备正常运行。 （4）应急保障服务：重大节假日期间提供应急值守服务。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服务期每满一年验收合格后，供应商向采购人出具正式增值税普通发票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服务期每满一年验收合格后，供应商向采购人出具正式增值税普通发票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服务期结束验收合格后，供应商向采购人出具正式增值税普通发票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33.34</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1.供应商对其维修质量及维修备件质量负责，供应商未按照双方合同约定履行维修义务的导致采购人产生的损失由供应商承担。 2.开机率保证：每年≥95%；即每年停机不超过18天。如超过1天，顺延5天维保日期并扣除维保费3000元/天。 3.合同履行期间，若双方发生争议，可协商或由有关部门调解解决，协商或调解不成的，提交采购人所在地人民法院提起诉讼解决。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注：1.因系统固化原因，付款方式以此为准： （1）供应商在每满一年服务期结束前向采购人出具正式增值税普通发票。供应商未按照约定提供发票的，采购人有权拒付相关款项，由此造成的损失由供应商负责。 第一年， 验收合格后，支付合同总金额的33.33%； 第二年 验收合格后，支付合同总金额的33.33%； 第三年 验收合格后支付，合同总金额的 33.34%； （2）如采购人设备达到使用年限或设备所有权发生变更，采购人需提前三个月通知供应商，合同终止，并按照供应商当年度已服务的天数折价支付供应商服务费。 2.商务要求和其他要求不允许负偏离。 3.本国产品价格扣除：根据《国务院办公厅关于在政府采购中实施本国产品标准及相关政策的通知》国办发〔2025〕34号，符合本国产品标准的可享受价格扣除（本项目不适用）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2.具备良好商业信誉的证明材料（按照磋商文件格式提供承诺函）； 3.具备健全的财务会计制度的证明材料。｛注：①可提供2024年或2025年度经审计的财务报告复印件（包含审计报告和审计报告中所涉及的财务报表和报表附注），②也可提供供应商内部的2024年或2025年度财务报表复印件（至少包含资产负债表），③也可提供截至响应文件递交截止日一年内银行出具的资信证明（复印件）（附《基本存款账户信息》或《银行开户许可证》复印件），④供应商注册时间截至响应文件递交截止日不足一年的，也可提供加盖工商备案主管部门印章的公司章程复印件，⑤也可提供政府采购信用担保机构出具的《政府采购投标担保函》；以上五种形式，提供任意一种即可｝ 4.具有依法缴纳税收和社会保障资金的良好记录（①社会保障资金缴纳证明：提供2025年6月1日至今已缴存的任一月份的社会保障资金缴存单据或社保机构开具的社会保险参保缴费情况证明，依法不需要缴纳社会保障资金的供应商应提供相关文件证明；②提供2025年6月1日至今已缴纳的至少一个月的纳税证明或完税证明，依法免税的单位应提供相关证明材料）； 5.具备履行合同所必需的设备和专业技术能力的证明材料（按照磋商文件格式提供《投标函》完成承诺）； 6.参加政府采购活动前3年内在经营活动中没有重大违法记录的承诺函（按照磋商文件格式提供《投标函》完成承诺）； 7.具备法律、行政法规规定的其他条件的证明材料（按照磋商文件格式提供《投标函》完成承诺）；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供应商资格证明材料清单.docx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①可提供2024年或2025年度经审计的财务报告复印件（包含审计报告和审计报告中所涉及的财务报表和报表附注）， ②也可提供供应商内部的2024年或2025年度财务报表复印件（至少包含资产负债表）， ③也可提供截至响应文件递交截止日一年内银行出具的资信证明（复印件）（附《基本存款账户信息》或《银行开户许可证》复印件） ④供应商注册时间截至响应文件递交截止日不足一年的，也可提供加盖工商备案主管部门印章的公司章程复印件， ⑤也可提供政府采购信用担保机构出具的《政府采购投标担保函》；以上五种形式，提供任意一种即可；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供应商资格证明材料清单.docx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供应商资格证明材料清单.docx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及被授权人身份证明：被授权人参与投标时须提供法定代表人授权书、被授权人身份证及开标截止前连续近三个月（不含开标当月）投标人为其缴纳的社会保险证明；法定代表人参与投标时须提供法定代表人身份证明； 供应商需在项目电子化交易系统中按要求进行电子签章。</w:t>
            </w:r>
          </w:p>
        </w:tc>
        <w:tc>
          <w:tcPr>
            <w:tcW w:type="dxa" w:w="1661"/>
          </w:tcPr>
          <w:p>
            <w:pPr>
              <w:pStyle w:val="null3"/>
            </w:pPr>
            <w:r>
              <w:rPr>
                <w:rFonts w:ascii="仿宋_GB2312" w:hAnsi="仿宋_GB2312" w:cs="仿宋_GB2312" w:eastAsia="仿宋_GB2312"/>
              </w:rPr>
              <w:t>供应商资格证明材料清单.docx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 注：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供应商资格证明材料清单.docx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本项目不接受由西安市第一医院职工及其亲属投资开办的企业参加本单位的政府采购活动</w:t>
            </w:r>
          </w:p>
        </w:tc>
        <w:tc>
          <w:tcPr>
            <w:tcW w:type="dxa" w:w="3322"/>
          </w:tcPr>
          <w:p>
            <w:pPr>
              <w:pStyle w:val="null3"/>
            </w:pPr>
            <w:r>
              <w:rPr>
                <w:rFonts w:ascii="仿宋_GB2312" w:hAnsi="仿宋_GB2312" w:cs="仿宋_GB2312" w:eastAsia="仿宋_GB2312"/>
              </w:rPr>
              <w:t>本项目不接受由西安市第一医院职工及其亲属投资开办的企业参加本单位的政府采购活动；提供承诺函。</w:t>
            </w:r>
          </w:p>
        </w:tc>
        <w:tc>
          <w:tcPr>
            <w:tcW w:type="dxa" w:w="1661"/>
          </w:tcPr>
          <w:p>
            <w:pPr>
              <w:pStyle w:val="null3"/>
            </w:pPr>
            <w:r>
              <w:rPr>
                <w:rFonts w:ascii="仿宋_GB2312" w:hAnsi="仿宋_GB2312" w:cs="仿宋_GB2312" w:eastAsia="仿宋_GB2312"/>
              </w:rPr>
              <w:t>供应商资格证明材料清单.docx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提供承诺函。</w:t>
            </w:r>
          </w:p>
        </w:tc>
        <w:tc>
          <w:tcPr>
            <w:tcW w:type="dxa" w:w="1661"/>
          </w:tcPr>
          <w:p>
            <w:pPr>
              <w:pStyle w:val="null3"/>
            </w:pPr>
            <w:r>
              <w:rPr>
                <w:rFonts w:ascii="仿宋_GB2312" w:hAnsi="仿宋_GB2312" w:cs="仿宋_GB2312" w:eastAsia="仿宋_GB2312"/>
              </w:rPr>
              <w:t>供应商资格证明材料清单.docx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332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未响应磋商文件中实质性要求及★条款的</w:t>
            </w:r>
          </w:p>
        </w:tc>
        <w:tc>
          <w:tcPr>
            <w:tcW w:type="dxa" w:w="3322"/>
          </w:tcPr>
          <w:p>
            <w:pPr>
              <w:pStyle w:val="null3"/>
            </w:pPr>
            <w:r>
              <w:rPr>
                <w:rFonts w:ascii="仿宋_GB2312" w:hAnsi="仿宋_GB2312" w:cs="仿宋_GB2312" w:eastAsia="仿宋_GB2312"/>
              </w:rPr>
              <w:t>未响应磋商文件中实质性要求及★条款的</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异常低价预防措施</w:t>
            </w:r>
          </w:p>
        </w:tc>
        <w:tc>
          <w:tcPr>
            <w:tcW w:type="dxa" w:w="3322"/>
          </w:tcPr>
          <w:p>
            <w:pPr>
              <w:pStyle w:val="null3"/>
            </w:pPr>
            <w:r>
              <w:rPr>
                <w:rFonts w:ascii="仿宋_GB2312" w:hAnsi="仿宋_GB2312" w:cs="仿宋_GB2312" w:eastAsia="仿宋_GB2312"/>
              </w:rPr>
              <w:t>（一）评标中出现下列情形之一的，评标委员会应当启动异常低价投标审查程序： 　　 1.投标报价低于全部通过符合性审查供应商投标报价平均值50%的，即投标报价〈全部通过符合性审查供应商投标报价平均值×50%； 　　 2.投标报价低于通过符合性审查的次低报价供应商投标报价50%的，即投标报价〈通过符合性审查的次低报价供应商投标报价×50%； 　　3.投标报价低于采购项目最高限价45%的，即投标报价〈采购项目最高限价×45%； 　　 评标委员会基于专业判断，认为供应商报价过低，有可能影响产品质量或者不能诚信履约的其他情形。 （二）评标委员会根据招标文件评标办法的规定进行评标，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标现场可不再重复提交。 备注：第一项审查流程及内容以本项为准。</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供应商完全满足磋商文件第三章“3.2.2服务要求”没有负偏离得12分； 供应商针对磋商文件第三章“3.2.2服务要求”中技术要求条款的响应得分规则如下：（未标注“★”和“▲”的条款） ①技术要求条款响应得分供应商满足技术要求条款的数量÷技术要求条款的总数量【共12条】）×12分。 ②“技术参数要求”条款以最小序号（1）、（2）（3）为单位。</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项目总体维保方案：②故障响应与到场方案；③备件供应保障方案；④定期维护服务方案。⑤配套服务及资料交付方案；方案内容齐全，全面详细、阐述条理清晰、能有效保障本项目实施得30分；评审内容每缺一项扣6分，每项方案有缺陷未完全紧扣评审标准的每处扣0.5分，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提供本项目的重难点分析，包含①分析维保过程中的重难点工作；②针对重难点工作提出对应的解决方案；方案内容齐全，全面详细、阐述条理清晰、能有效保障本项目实施得5分；评审内容每缺一项扣2.5分，每项方案有缺陷未完全紧扣评审标准的每处扣0.5分，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完整、可行的培训方案包括但不限于①培训内容安排情况、培训时间、地点安排；②培训人员资质情况；方案内容齐全，全面详细、阐述条理清晰、能有效保障本项目实施得12分；评审内容每缺一项扣6分，每项方案有缺陷未完全紧扣评审标准的每处扣0.5分，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提供详细完整的应急保障方案。包含但不限于：①整机故障应急保障方案 ②软件故障应急保障方案③电力故障应急保障方案；方案内容齐全，全面详细、阐述条理清晰、能有效保障本项目实施得21分；评审内容每缺一项扣7分，每项方案有缺陷未完全紧扣评审标准的每处扣0.5分，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提供2023年5月1日至磋商截止时间同类业绩，每提供1个得2分，最高得10分（供应商自己实施的，提供有效的完整合同的复印件或扫描件加盖公章，日期以合同签订日期为准）。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3、磋商报价得分=（磋商基准价/供应商最终报价）×10。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详见附件：供应商资格证明材料清单.docx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