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89"/>
        <w:gridCol w:w="1134"/>
        <w:gridCol w:w="6384"/>
      </w:tblGrid>
      <w:tr w14:paraId="767D02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9" w:type="dxa"/>
          </w:tcPr>
          <w:p w14:paraId="7794DE14">
            <w:pPr>
              <w:pStyle w:val="5"/>
            </w:pPr>
            <w:r>
              <w:rPr>
                <w:rFonts w:ascii="仿宋_GB2312" w:hAnsi="仿宋_GB2312" w:eastAsia="仿宋_GB2312" w:cs="仿宋_GB2312"/>
              </w:rPr>
              <w:t xml:space="preserve"> 序号</w:t>
            </w:r>
          </w:p>
        </w:tc>
        <w:tc>
          <w:tcPr>
            <w:tcW w:w="1134" w:type="dxa"/>
          </w:tcPr>
          <w:p w14:paraId="597DCB00">
            <w:pPr>
              <w:pStyle w:val="5"/>
            </w:pPr>
            <w:r>
              <w:rPr>
                <w:rFonts w:ascii="仿宋_GB2312" w:hAnsi="仿宋_GB2312" w:eastAsia="仿宋_GB2312" w:cs="仿宋_GB2312"/>
              </w:rPr>
              <w:t xml:space="preserve"> 参数性质</w:t>
            </w:r>
          </w:p>
        </w:tc>
        <w:tc>
          <w:tcPr>
            <w:tcW w:w="6384" w:type="dxa"/>
          </w:tcPr>
          <w:p w14:paraId="0BC0C8B3">
            <w:pPr>
              <w:pStyle w:val="5"/>
            </w:pPr>
            <w:r>
              <w:rPr>
                <w:rFonts w:ascii="仿宋_GB2312" w:hAnsi="仿宋_GB2312" w:eastAsia="仿宋_GB2312" w:cs="仿宋_GB2312"/>
              </w:rPr>
              <w:t xml:space="preserve"> 技术参数与性能指标</w:t>
            </w:r>
          </w:p>
        </w:tc>
      </w:tr>
      <w:tr w14:paraId="5B3F62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9" w:type="dxa"/>
          </w:tcPr>
          <w:p w14:paraId="2F128081">
            <w:pPr>
              <w:pStyle w:val="5"/>
            </w:pPr>
            <w:r>
              <w:rPr>
                <w:rFonts w:ascii="仿宋_GB2312" w:hAnsi="仿宋_GB2312" w:eastAsia="仿宋_GB2312" w:cs="仿宋_GB2312"/>
              </w:rPr>
              <w:t>1</w:t>
            </w:r>
          </w:p>
        </w:tc>
        <w:tc>
          <w:tcPr>
            <w:tcW w:w="1134" w:type="dxa"/>
          </w:tcPr>
          <w:p w14:paraId="7BE27240"/>
        </w:tc>
        <w:tc>
          <w:tcPr>
            <w:tcW w:w="6384" w:type="dxa"/>
          </w:tcPr>
          <w:p w14:paraId="6333E623">
            <w:pPr>
              <w:pStyle w:val="5"/>
              <w:jc w:val="both"/>
            </w:pPr>
            <w:r>
              <w:rPr>
                <w:rFonts w:ascii="仿宋_GB2312" w:hAnsi="仿宋_GB2312" w:eastAsia="仿宋_GB2312" w:cs="仿宋_GB2312"/>
                <w:b/>
                <w:sz w:val="24"/>
              </w:rPr>
              <w:t>一、工程概况</w:t>
            </w:r>
          </w:p>
          <w:p w14:paraId="12FB50D7">
            <w:pPr>
              <w:pStyle w:val="5"/>
              <w:ind w:firstLine="480"/>
              <w:jc w:val="both"/>
            </w:pPr>
            <w:r>
              <w:rPr>
                <w:rFonts w:ascii="仿宋_GB2312" w:hAnsi="仿宋_GB2312" w:eastAsia="仿宋_GB2312" w:cs="仿宋_GB2312"/>
                <w:sz w:val="24"/>
              </w:rPr>
              <w:t>对西安石油大学雁塔校区华油能源楼七层办公区域进行系统性装修改造，总面积约1600平方米。包括：对办公区域室内、门厅、走廊及楼梯间的地面、墙面、天棚进行翻新改造，完成拆除工程，装饰装修工程，照明系统、电气线路、弱电工程、门窗工程、空调工程等全部施工内容，全面满足日常办公使用需求。</w:t>
            </w:r>
          </w:p>
          <w:p w14:paraId="4499FCA0">
            <w:pPr>
              <w:pStyle w:val="5"/>
              <w:jc w:val="both"/>
            </w:pPr>
            <w:r>
              <w:rPr>
                <w:rFonts w:ascii="仿宋_GB2312" w:hAnsi="仿宋_GB2312" w:eastAsia="仿宋_GB2312" w:cs="仿宋_GB2312"/>
                <w:b/>
                <w:sz w:val="24"/>
              </w:rPr>
              <w:t>二、标准要求</w:t>
            </w:r>
          </w:p>
          <w:p w14:paraId="60F916CC">
            <w:pPr>
              <w:pStyle w:val="5"/>
              <w:jc w:val="both"/>
            </w:pPr>
            <w:r>
              <w:rPr>
                <w:rFonts w:ascii="仿宋_GB2312" w:hAnsi="仿宋_GB2312" w:eastAsia="仿宋_GB2312" w:cs="仿宋_GB2312"/>
                <w:sz w:val="24"/>
              </w:rPr>
              <w:t>1、依据设计文件的要求，本工程项目的施工、材料和设备安装等技术和工艺环节须达到现行的中华人民共和国以及陕西省、西安市的工程建设标准或行业规程的要求。当各级、各类标准及规范中的同一条文规定有出入时，以较严格者为准。</w:t>
            </w:r>
          </w:p>
          <w:p w14:paraId="76E55B5A">
            <w:pPr>
              <w:pStyle w:val="5"/>
              <w:jc w:val="both"/>
            </w:pPr>
            <w:r>
              <w:rPr>
                <w:rFonts w:ascii="仿宋_GB2312" w:hAnsi="仿宋_GB2312" w:eastAsia="仿宋_GB2312" w:cs="仿宋_GB2312"/>
                <w:sz w:val="24"/>
              </w:rPr>
              <w:t>1.1《民用建筑电气设计标准》GB51348-2019</w:t>
            </w:r>
          </w:p>
          <w:p w14:paraId="5DF6E51B">
            <w:pPr>
              <w:pStyle w:val="5"/>
              <w:jc w:val="both"/>
            </w:pPr>
            <w:r>
              <w:rPr>
                <w:rFonts w:ascii="仿宋_GB2312" w:hAnsi="仿宋_GB2312" w:eastAsia="仿宋_GB2312" w:cs="仿宋_GB2312"/>
                <w:sz w:val="24"/>
              </w:rPr>
              <w:t>1.2《供配电系统设计规范》GB50052-2009</w:t>
            </w:r>
          </w:p>
          <w:p w14:paraId="12028C8B">
            <w:pPr>
              <w:pStyle w:val="5"/>
              <w:jc w:val="both"/>
            </w:pPr>
            <w:r>
              <w:rPr>
                <w:rFonts w:ascii="仿宋_GB2312" w:hAnsi="仿宋_GB2312" w:eastAsia="仿宋_GB2312" w:cs="仿宋_GB2312"/>
                <w:sz w:val="24"/>
              </w:rPr>
              <w:t>1.3《建筑照明设计标准》 GB50034-2013</w:t>
            </w:r>
          </w:p>
          <w:p w14:paraId="16550DE8">
            <w:pPr>
              <w:pStyle w:val="5"/>
              <w:jc w:val="both"/>
            </w:pPr>
            <w:r>
              <w:rPr>
                <w:rFonts w:ascii="仿宋_GB2312" w:hAnsi="仿宋_GB2312" w:eastAsia="仿宋_GB2312" w:cs="仿宋_GB2312"/>
                <w:sz w:val="24"/>
              </w:rPr>
              <w:t>1.4《消防设施通用规范》GB55036-2022</w:t>
            </w:r>
          </w:p>
          <w:p w14:paraId="45FA6CF0">
            <w:pPr>
              <w:pStyle w:val="5"/>
              <w:jc w:val="both"/>
            </w:pPr>
            <w:r>
              <w:rPr>
                <w:rFonts w:ascii="仿宋_GB2312" w:hAnsi="仿宋_GB2312" w:eastAsia="仿宋_GB2312" w:cs="仿宋_GB2312"/>
                <w:sz w:val="24"/>
              </w:rPr>
              <w:t>1.5《教育建筑电气设计规范》JGJ 310-2013</w:t>
            </w:r>
          </w:p>
          <w:p w14:paraId="7CC86208">
            <w:pPr>
              <w:pStyle w:val="5"/>
              <w:jc w:val="both"/>
            </w:pPr>
            <w:r>
              <w:rPr>
                <w:rFonts w:ascii="仿宋_GB2312" w:hAnsi="仿宋_GB2312" w:eastAsia="仿宋_GB2312" w:cs="仿宋_GB2312"/>
                <w:sz w:val="24"/>
              </w:rPr>
              <w:t>1.6《建筑装饰工程施工及验收规范》GB20210-2001</w:t>
            </w:r>
          </w:p>
          <w:p w14:paraId="5FB3D381">
            <w:pPr>
              <w:pStyle w:val="5"/>
              <w:jc w:val="both"/>
            </w:pPr>
            <w:r>
              <w:rPr>
                <w:rFonts w:ascii="仿宋_GB2312" w:hAnsi="仿宋_GB2312" w:eastAsia="仿宋_GB2312" w:cs="仿宋_GB2312"/>
                <w:sz w:val="24"/>
              </w:rPr>
              <w:t>1.7《民用建筑供暖通风与空气调节设计规范》GB50736-2012</w:t>
            </w:r>
          </w:p>
          <w:p w14:paraId="0C246AE0">
            <w:pPr>
              <w:pStyle w:val="5"/>
              <w:jc w:val="both"/>
            </w:pPr>
            <w:r>
              <w:rPr>
                <w:rFonts w:ascii="仿宋_GB2312" w:hAnsi="仿宋_GB2312" w:eastAsia="仿宋_GB2312" w:cs="仿宋_GB2312"/>
                <w:sz w:val="24"/>
              </w:rPr>
              <w:t>1.8《通风与空调工程施工质量验收规范》GB50243-2016</w:t>
            </w:r>
          </w:p>
          <w:p w14:paraId="000C7367">
            <w:pPr>
              <w:pStyle w:val="5"/>
              <w:jc w:val="both"/>
            </w:pPr>
            <w:r>
              <w:rPr>
                <w:rFonts w:ascii="仿宋_GB2312" w:hAnsi="仿宋_GB2312" w:eastAsia="仿宋_GB2312" w:cs="仿宋_GB2312"/>
                <w:sz w:val="24"/>
              </w:rPr>
              <w:t>1.9《民用建筑设计统一标准》GB50352-2019</w:t>
            </w:r>
          </w:p>
          <w:p w14:paraId="7F8EB313">
            <w:pPr>
              <w:pStyle w:val="5"/>
              <w:jc w:val="both"/>
            </w:pPr>
            <w:r>
              <w:rPr>
                <w:rFonts w:ascii="仿宋_GB2312" w:hAnsi="仿宋_GB2312" w:eastAsia="仿宋_GB2312" w:cs="仿宋_GB2312"/>
                <w:sz w:val="24"/>
              </w:rPr>
              <w:t>1.10《民用建筑通用规范》GB55031-2022</w:t>
            </w:r>
          </w:p>
          <w:p w14:paraId="51BB013B">
            <w:pPr>
              <w:pStyle w:val="5"/>
              <w:jc w:val="both"/>
            </w:pPr>
            <w:r>
              <w:rPr>
                <w:rFonts w:ascii="仿宋_GB2312" w:hAnsi="仿宋_GB2312" w:eastAsia="仿宋_GB2312" w:cs="仿宋_GB2312"/>
                <w:sz w:val="24"/>
              </w:rPr>
              <w:t>1.11《消防设施通用规范》GB55036-2022</w:t>
            </w:r>
          </w:p>
          <w:p w14:paraId="42346E43">
            <w:pPr>
              <w:pStyle w:val="5"/>
              <w:jc w:val="both"/>
            </w:pPr>
            <w:r>
              <w:rPr>
                <w:rFonts w:ascii="仿宋_GB2312" w:hAnsi="仿宋_GB2312" w:eastAsia="仿宋_GB2312" w:cs="仿宋_GB2312"/>
                <w:sz w:val="24"/>
              </w:rPr>
              <w:t>1.12《自动喷水灭火系统设计规范》GB50084-2017</w:t>
            </w:r>
          </w:p>
          <w:p w14:paraId="5903E61C">
            <w:pPr>
              <w:pStyle w:val="5"/>
              <w:ind w:firstLine="480"/>
              <w:jc w:val="both"/>
            </w:pPr>
            <w:r>
              <w:rPr>
                <w:rFonts w:ascii="仿宋_GB2312" w:hAnsi="仿宋_GB2312" w:eastAsia="仿宋_GB2312" w:cs="仿宋_GB2312"/>
                <w:sz w:val="24"/>
              </w:rPr>
              <w:t xml:space="preserve">根据工程设计要求，该项工程项目的施工、材料、设备和安装等除达到以上标准外，还应满足设计要求和采购人在磋商文件中的有关要求。  </w:t>
            </w:r>
          </w:p>
          <w:p w14:paraId="3A3E91BE">
            <w:pPr>
              <w:pStyle w:val="5"/>
              <w:jc w:val="both"/>
            </w:pPr>
            <w:r>
              <w:rPr>
                <w:rFonts w:ascii="仿宋_GB2312" w:hAnsi="仿宋_GB2312" w:eastAsia="仿宋_GB2312" w:cs="仿宋_GB2312"/>
                <w:b/>
                <w:sz w:val="24"/>
              </w:rPr>
              <w:t>三、电气要求</w:t>
            </w:r>
          </w:p>
          <w:p w14:paraId="2912EDAB">
            <w:pPr>
              <w:pStyle w:val="5"/>
              <w:jc w:val="both"/>
            </w:pPr>
            <w:r>
              <w:rPr>
                <w:rFonts w:ascii="仿宋_GB2312" w:hAnsi="仿宋_GB2312" w:eastAsia="仿宋_GB2312" w:cs="仿宋_GB2312"/>
                <w:sz w:val="24"/>
              </w:rPr>
              <w:t>1、本次改造范围为整层改造。照明配电线路电源，插座配线线电流均由原有层配电箱引出，增加空调外机电缆引至楼顶，负荷等级：均为三级负荷。</w:t>
            </w:r>
          </w:p>
          <w:p w14:paraId="3AB8F80D">
            <w:pPr>
              <w:pStyle w:val="5"/>
              <w:jc w:val="both"/>
            </w:pPr>
            <w:r>
              <w:rPr>
                <w:rFonts w:ascii="仿宋_GB2312" w:hAnsi="仿宋_GB2312" w:eastAsia="仿宋_GB2312" w:cs="仿宋_GB2312"/>
                <w:sz w:val="24"/>
              </w:rPr>
              <w:t>2、穿管有吊顶的吊顶内暗配，无吊顶处问为明配或墙内暗配，导线根数为2-3根穿SC20,4-5根穿SC25。</w:t>
            </w:r>
          </w:p>
          <w:p w14:paraId="32C8CBE5">
            <w:pPr>
              <w:pStyle w:val="5"/>
              <w:jc w:val="both"/>
            </w:pPr>
            <w:r>
              <w:rPr>
                <w:rFonts w:ascii="仿宋_GB2312" w:hAnsi="仿宋_GB2312" w:eastAsia="仿宋_GB2312" w:cs="仿宋_GB2312"/>
                <w:sz w:val="24"/>
              </w:rPr>
              <w:t>3、照明线路中全部采用单相三线制。插座回路配管配线方式为BV-3x4-SC25，每个插座回路均安装漏电保护器。插座除具体要求外安装高度均为0.3M，工位处插座预留1.0M；</w:t>
            </w:r>
          </w:p>
          <w:p w14:paraId="67C0FFAF">
            <w:pPr>
              <w:pStyle w:val="5"/>
              <w:jc w:val="both"/>
            </w:pPr>
            <w:r>
              <w:rPr>
                <w:rFonts w:ascii="仿宋_GB2312" w:hAnsi="仿宋_GB2312" w:eastAsia="仿宋_GB2312" w:cs="仿宋_GB2312"/>
                <w:sz w:val="24"/>
              </w:rPr>
              <w:t>4、配电间内线路均为明敷，所有孔洞待电气设备安装完成后用防火堵料封堵.</w:t>
            </w:r>
          </w:p>
          <w:p w14:paraId="70F19BC5">
            <w:pPr>
              <w:pStyle w:val="5"/>
              <w:jc w:val="both"/>
            </w:pPr>
            <w:r>
              <w:rPr>
                <w:rFonts w:ascii="仿宋_GB2312" w:hAnsi="仿宋_GB2312" w:eastAsia="仿宋_GB2312" w:cs="仿宋_GB2312"/>
                <w:sz w:val="24"/>
              </w:rPr>
              <w:t>5、电线及电缆在金属线槽内不得有接头，接头应在接线箱内及接线盒内或出线口内，金属线槽吊装安装间距不大于2m。电缆桥架布线要求：电缆桥架水平敷设时，其支撑点间距不宜大于1.5m。垂直敷设时，其固定点间距不大于2m。</w:t>
            </w:r>
          </w:p>
          <w:p w14:paraId="199C3F6A">
            <w:pPr>
              <w:pStyle w:val="5"/>
              <w:jc w:val="both"/>
            </w:pPr>
            <w:r>
              <w:rPr>
                <w:rFonts w:ascii="仿宋_GB2312" w:hAnsi="仿宋_GB2312" w:eastAsia="仿宋_GB2312" w:cs="仿宋_GB2312"/>
                <w:sz w:val="24"/>
              </w:rPr>
              <w:t>6、电气安装用导管壁厚必须符合国家规范标准的相关技术要求。敷设在钢筋混凝土现浇楼板内的电线导管的最大外径不应大于楼板的1/3．当电线导管（非消防）暗敷设在楼板、墙体内时，其与楼板、墙体表面的外护层厚度不应小于15mm．导管 和电缆槽盒内配电电线的总截面面积不应超过导管或电缆槽盒内截面面积的40%，电缆槽盒内控制线缆的总裁面面积不应超过电缆槽盒内截面面积的50%。</w:t>
            </w:r>
          </w:p>
          <w:p w14:paraId="7F257B8F">
            <w:pPr>
              <w:pStyle w:val="5"/>
              <w:jc w:val="both"/>
            </w:pPr>
            <w:r>
              <w:rPr>
                <w:rFonts w:ascii="仿宋_GB2312" w:hAnsi="仿宋_GB2312" w:eastAsia="仿宋_GB2312" w:cs="仿宋_GB2312"/>
                <w:sz w:val="24"/>
              </w:rPr>
              <w:t>7、消防应急照明和疏散指示系统，本次设计为局部改造，原应急照明系统不变，只对末端点位进行调整。</w:t>
            </w:r>
          </w:p>
          <w:p w14:paraId="04A25FA8">
            <w:pPr>
              <w:pStyle w:val="5"/>
              <w:jc w:val="both"/>
            </w:pPr>
            <w:r>
              <w:rPr>
                <w:rFonts w:ascii="仿宋_GB2312" w:hAnsi="仿宋_GB2312" w:eastAsia="仿宋_GB2312" w:cs="仿宋_GB2312"/>
                <w:b/>
                <w:sz w:val="24"/>
              </w:rPr>
              <w:t>四、暖通要求</w:t>
            </w:r>
          </w:p>
          <w:p w14:paraId="022F00D9">
            <w:pPr>
              <w:pStyle w:val="5"/>
              <w:jc w:val="both"/>
            </w:pPr>
            <w:r>
              <w:rPr>
                <w:rFonts w:ascii="仿宋_GB2312" w:hAnsi="仿宋_GB2312" w:eastAsia="仿宋_GB2312" w:cs="仿宋_GB2312"/>
                <w:sz w:val="24"/>
              </w:rPr>
              <w:t>1、本工程采用分体空调，由电气专业预留空调电量及插座位置。</w:t>
            </w:r>
          </w:p>
          <w:p w14:paraId="7D2A2B5D">
            <w:pPr>
              <w:pStyle w:val="5"/>
              <w:jc w:val="both"/>
            </w:pPr>
            <w:r>
              <w:rPr>
                <w:rFonts w:ascii="仿宋_GB2312" w:hAnsi="仿宋_GB2312" w:eastAsia="仿宋_GB2312" w:cs="仿宋_GB2312"/>
                <w:sz w:val="24"/>
              </w:rPr>
              <w:t>2、空调冷媒管采用无缝铜管，冷凝水管采用镀锌钢管。冷媒管严禁在管道内有压力的情况下进行焊接；当空调系统需要排空制冷剂进行维修时，应使用专用回收机对系统内剩余的制冷剂回收。</w:t>
            </w:r>
          </w:p>
          <w:p w14:paraId="1B702440">
            <w:pPr>
              <w:pStyle w:val="5"/>
              <w:jc w:val="both"/>
            </w:pPr>
            <w:r>
              <w:rPr>
                <w:rFonts w:ascii="仿宋_GB2312" w:hAnsi="仿宋_GB2312" w:eastAsia="仿宋_GB2312" w:cs="仿宋_GB2312"/>
                <w:sz w:val="24"/>
              </w:rPr>
              <w:t>3、空调、通风工程风管除特别说明外，均用热浸镀锌钢板制作。</w:t>
            </w:r>
          </w:p>
          <w:p w14:paraId="19733B9C">
            <w:pPr>
              <w:pStyle w:val="5"/>
              <w:jc w:val="both"/>
            </w:pPr>
            <w:r>
              <w:rPr>
                <w:rFonts w:ascii="仿宋_GB2312" w:hAnsi="仿宋_GB2312" w:eastAsia="仿宋_GB2312" w:cs="仿宋_GB2312"/>
                <w:sz w:val="24"/>
              </w:rPr>
              <w:t>4、风管可采用管内或管外加固、管壁压制加强筋等形式进行加固，矩形风管加固件宜采用角钢。轻钢型材或钢板折叠：圆形风管加固件宜采用角钢。</w:t>
            </w:r>
          </w:p>
          <w:p w14:paraId="19C423FC">
            <w:pPr>
              <w:pStyle w:val="5"/>
              <w:jc w:val="both"/>
            </w:pPr>
            <w:r>
              <w:rPr>
                <w:rFonts w:ascii="仿宋_GB2312" w:hAnsi="仿宋_GB2312" w:eastAsia="仿宋_GB2312" w:cs="仿宋_GB2312"/>
                <w:sz w:val="24"/>
              </w:rPr>
              <w:t>5、风管穿过防火隔墙、楼板和防火墙时，穿越处风管上的防火阀、排烟防火阀两侧各2.0m范围内的风管应采用耐火风管或风管外壁应采取防火保护措施，且耐火极限不应低于该防火分隔体的耐火极限。其中排烟、补风及加压送风管道需外包不燃防火板，材质为纤维增强硅酸盐。当风管穿过需要封闭的防火、防爆的墙体或楼板时，必须设置厚度不小于1.6mm的钢制防护套管；风管与防护套管之间应采用不燃柔性材料封堵严密。</w:t>
            </w:r>
          </w:p>
          <w:p w14:paraId="3A6400B2">
            <w:pPr>
              <w:pStyle w:val="5"/>
              <w:jc w:val="both"/>
            </w:pPr>
            <w:r>
              <w:rPr>
                <w:rFonts w:ascii="仿宋_GB2312" w:hAnsi="仿宋_GB2312" w:eastAsia="仿宋_GB2312" w:cs="仿宋_GB2312"/>
                <w:sz w:val="24"/>
              </w:rPr>
              <w:t>6、通风机进出风口处若设置消声静压箱，其做法如下：用1.2mm厚镀锌铁皮做外壳，内部粘贴50mm厚玻璃棉加玻璃布，再设一层穿孔率为30%、厚0.5mm穿孔镀锌铁皮，穿孔孔径为03mm。穿孔板与箱壳间用间距0.5m、宽30mm、厚5mm的铝合金型材和自攻螺丝连接。</w:t>
            </w:r>
          </w:p>
          <w:p w14:paraId="355C77B6">
            <w:pPr>
              <w:pStyle w:val="5"/>
              <w:jc w:val="both"/>
            </w:pPr>
            <w:r>
              <w:rPr>
                <w:rFonts w:ascii="仿宋_GB2312" w:hAnsi="仿宋_GB2312" w:eastAsia="仿宋_GB2312" w:cs="仿宋_GB2312"/>
                <w:sz w:val="24"/>
              </w:rPr>
              <w:t>7、通风机传动装置的外露部分以及通风机直通大气的进、出口，必须装设防护罩（网）或采取其他安全措施，并设防雨措施。</w:t>
            </w:r>
          </w:p>
          <w:p w14:paraId="0F93C3A3">
            <w:pPr>
              <w:pStyle w:val="5"/>
              <w:jc w:val="both"/>
            </w:pPr>
            <w:r>
              <w:rPr>
                <w:rFonts w:ascii="仿宋_GB2312" w:hAnsi="仿宋_GB2312" w:eastAsia="仿宋_GB2312" w:cs="仿宋_GB2312"/>
                <w:sz w:val="24"/>
              </w:rPr>
              <w:t>8、风管穿越防火墙、楼板、竖井壁所装的防火阀应贴墙、贴楼板或贴竖井壁安装，其间距应小于200mm，否则需做防火加强措施。</w:t>
            </w:r>
          </w:p>
          <w:p w14:paraId="14DB126F">
            <w:pPr>
              <w:pStyle w:val="5"/>
              <w:jc w:val="both"/>
            </w:pPr>
            <w:r>
              <w:rPr>
                <w:rFonts w:ascii="仿宋_GB2312" w:hAnsi="仿宋_GB2312" w:eastAsia="仿宋_GB2312" w:cs="仿宋_GB2312"/>
                <w:sz w:val="24"/>
              </w:rPr>
              <w:t>9、位于房间上部区域的排风口，除用于排除空气与氢气的混合物时，吸风口上缘至顶棚平面或屋顶的距离不大于0.4m。</w:t>
            </w:r>
          </w:p>
          <w:p w14:paraId="723D776C">
            <w:pPr>
              <w:pStyle w:val="5"/>
              <w:jc w:val="both"/>
            </w:pPr>
            <w:r>
              <w:rPr>
                <w:rFonts w:ascii="仿宋_GB2312" w:hAnsi="仿宋_GB2312" w:eastAsia="仿宋_GB2312" w:cs="仿宋_GB2312"/>
                <w:sz w:val="24"/>
              </w:rPr>
              <w:t>10、管道防腐工程施工需在水管强度试验及风、水管气密性试验合格后进行。而保温工程在防腐后进行。风管、吊架等钢制零配件均需刷二遍防锈漆，外露的还需再刷二遍与周围颜色协调的调和漆。所有金属管道。管件和支架等均应做防腐处理，在涂刷底漆前必须清除表面的灰尘污垢锈斑焊渣等物。经除锈处理后刷防锈底漆两遍：对于非保温的明装金属管道、管件及所有支架应先刷防锈底漆两遍，再刷耐热色漆或银粉漆两遍。穿过防火墙处的管道保温材料，应采用不燃材料。</w:t>
            </w:r>
          </w:p>
          <w:p w14:paraId="7FCB611B">
            <w:pPr>
              <w:pStyle w:val="5"/>
              <w:jc w:val="both"/>
            </w:pPr>
            <w:r>
              <w:rPr>
                <w:rFonts w:ascii="仿宋_GB2312" w:hAnsi="仿宋_GB2312" w:eastAsia="仿宋_GB2312" w:cs="仿宋_GB2312"/>
                <w:sz w:val="24"/>
              </w:rPr>
              <w:t>11、通风设备应有装箱清单、设备说明书、产品质量合格证和产品性能检测报告等随机文件，进口设备还应有商检合格文件。安装在楼板上的风机等设备、应按设计图纸要求做好减振、隔振、防噪等措施。</w:t>
            </w:r>
          </w:p>
          <w:p w14:paraId="0F9A86F8">
            <w:pPr>
              <w:pStyle w:val="5"/>
              <w:jc w:val="both"/>
            </w:pPr>
            <w:r>
              <w:rPr>
                <w:rFonts w:ascii="仿宋_GB2312" w:hAnsi="仿宋_GB2312" w:eastAsia="仿宋_GB2312" w:cs="仿宋_GB2312"/>
                <w:b/>
                <w:sz w:val="24"/>
              </w:rPr>
              <w:t>五、装饰要求</w:t>
            </w:r>
          </w:p>
          <w:p w14:paraId="0E99E325">
            <w:pPr>
              <w:pStyle w:val="5"/>
              <w:jc w:val="both"/>
            </w:pPr>
            <w:r>
              <w:rPr>
                <w:rFonts w:ascii="仿宋_GB2312" w:hAnsi="仿宋_GB2312" w:eastAsia="仿宋_GB2312" w:cs="仿宋_GB2312"/>
                <w:sz w:val="24"/>
              </w:rPr>
              <w:t>1、不破坏建筑主体结构承重构件和超过结施图中标明的楼面荷载值,不任意更改公用的给排水管道、暖通风管和消防设施。</w:t>
            </w:r>
          </w:p>
          <w:p w14:paraId="7B256D67">
            <w:pPr>
              <w:pStyle w:val="5"/>
              <w:jc w:val="both"/>
            </w:pPr>
            <w:r>
              <w:rPr>
                <w:rFonts w:ascii="仿宋_GB2312" w:hAnsi="仿宋_GB2312" w:eastAsia="仿宋_GB2312" w:cs="仿宋_GB2312"/>
                <w:sz w:val="24"/>
              </w:rPr>
              <w:t>2、不得任意降低吊顶控制标高以及改动吊顶上的通风与消防设施,建筑内部装修不应擅自减少、改动、拆除、遮挡消防设施、疏散指示标志、安全出口、疏散出口、疏散走道和防火分区、防烟分区等。</w:t>
            </w:r>
          </w:p>
          <w:p w14:paraId="065FF541">
            <w:pPr>
              <w:pStyle w:val="5"/>
              <w:jc w:val="both"/>
            </w:pPr>
            <w:r>
              <w:rPr>
                <w:rFonts w:ascii="仿宋_GB2312" w:hAnsi="仿宋_GB2312" w:eastAsia="仿宋_GB2312" w:cs="仿宋_GB2312"/>
                <w:sz w:val="24"/>
              </w:rPr>
              <w:t>3、建筑内部消火栓箱门不应被装饰物遮掩,消火栓箱门四周的装修材料颜色应与消火栓箱门的颜色有明显区别。</w:t>
            </w:r>
          </w:p>
          <w:p w14:paraId="7CF95894">
            <w:pPr>
              <w:pStyle w:val="5"/>
              <w:jc w:val="both"/>
            </w:pPr>
            <w:r>
              <w:rPr>
                <w:rFonts w:ascii="仿宋_GB2312" w:hAnsi="仿宋_GB2312" w:eastAsia="仿宋_GB2312" w:cs="仿宋_GB2312"/>
                <w:sz w:val="24"/>
              </w:rPr>
              <w:t>4、疏散走道和安全出口的顶棚、墙面不应采用影响人员安全疏散的镜面反光材料。</w:t>
            </w:r>
          </w:p>
          <w:p w14:paraId="47F4EB22">
            <w:pPr>
              <w:pStyle w:val="5"/>
              <w:jc w:val="both"/>
            </w:pPr>
            <w:r>
              <w:rPr>
                <w:rFonts w:ascii="仿宋_GB2312" w:hAnsi="仿宋_GB2312" w:eastAsia="仿宋_GB2312" w:cs="仿宋_GB2312"/>
                <w:sz w:val="24"/>
              </w:rPr>
              <w:t>5、室内二次装修设计与变更均遵守《建筑内部装修设计防火规范》(GB50222-2017),</w:t>
            </w:r>
          </w:p>
          <w:p w14:paraId="3F2286DA">
            <w:pPr>
              <w:pStyle w:val="5"/>
              <w:jc w:val="both"/>
            </w:pPr>
            <w:r>
              <w:rPr>
                <w:rFonts w:ascii="仿宋_GB2312" w:hAnsi="仿宋_GB2312" w:eastAsia="仿宋_GB2312" w:cs="仿宋_GB2312"/>
                <w:sz w:val="24"/>
              </w:rPr>
              <w:t>6、无窗房间的内部装修材料燃烧性能等级全部为A级。</w:t>
            </w:r>
          </w:p>
          <w:p w14:paraId="106B5345">
            <w:pPr>
              <w:pStyle w:val="5"/>
              <w:jc w:val="both"/>
            </w:pPr>
            <w:r>
              <w:rPr>
                <w:rFonts w:ascii="仿宋_GB2312" w:hAnsi="仿宋_GB2312" w:eastAsia="仿宋_GB2312" w:cs="仿宋_GB2312"/>
                <w:sz w:val="24"/>
              </w:rPr>
              <w:t>7、室内需要做隔断的空间场所,其隔断采用玻璃隔断、轻钢龙骨水泥板或石膏板隔断等。</w:t>
            </w:r>
          </w:p>
          <w:p w14:paraId="2151DDEC">
            <w:pPr>
              <w:pStyle w:val="5"/>
              <w:jc w:val="both"/>
            </w:pPr>
            <w:r>
              <w:rPr>
                <w:rFonts w:ascii="仿宋_GB2312" w:hAnsi="仿宋_GB2312" w:eastAsia="仿宋_GB2312" w:cs="仿宋_GB2312"/>
                <w:sz w:val="24"/>
              </w:rPr>
              <w:t>8、二次装修设计应符合《民用建筑工程室内环境污染控制标准》(GB50325-2020)版的规定。</w:t>
            </w:r>
          </w:p>
          <w:p w14:paraId="79851ABF">
            <w:pPr>
              <w:pStyle w:val="5"/>
              <w:jc w:val="both"/>
            </w:pPr>
            <w:r>
              <w:rPr>
                <w:rFonts w:ascii="仿宋_GB2312" w:hAnsi="仿宋_GB2312" w:eastAsia="仿宋_GB2312" w:cs="仿宋_GB2312"/>
                <w:sz w:val="24"/>
              </w:rPr>
              <w:t>9、采用耐久性能好、易维护装饰装修材料,满足国家现行绿色产品评价标准中对有害物质的限值要求;</w:t>
            </w:r>
          </w:p>
          <w:p w14:paraId="143EDAC1">
            <w:pPr>
              <w:pStyle w:val="5"/>
              <w:jc w:val="both"/>
            </w:pPr>
            <w:r>
              <w:rPr>
                <w:rFonts w:ascii="仿宋_GB2312" w:hAnsi="仿宋_GB2312" w:eastAsia="仿宋_GB2312" w:cs="仿宋_GB2312"/>
                <w:sz w:val="24"/>
              </w:rPr>
              <w:t>10、室内为混合砂浆粉刷时，墙、柱和门洞口的阳角，应用每侧宽度＞50</w:t>
            </w:r>
          </w:p>
          <w:p w14:paraId="26C4BCF5">
            <w:pPr>
              <w:pStyle w:val="5"/>
              <w:jc w:val="both"/>
            </w:pPr>
            <w:r>
              <w:rPr>
                <w:rFonts w:ascii="仿宋_GB2312" w:hAnsi="仿宋_GB2312" w:eastAsia="仿宋_GB2312" w:cs="仿宋_GB2312"/>
                <w:sz w:val="24"/>
              </w:rPr>
              <w:t>11、有吊顶的房间，装饰面层应做至吊顶标高以上100高处。</w:t>
            </w:r>
          </w:p>
          <w:p w14:paraId="06A8298D">
            <w:pPr>
              <w:pStyle w:val="5"/>
              <w:jc w:val="both"/>
            </w:pPr>
            <w:r>
              <w:rPr>
                <w:rFonts w:ascii="仿宋_GB2312" w:hAnsi="仿宋_GB2312" w:eastAsia="仿宋_GB2312" w:cs="仿宋_GB2312"/>
                <w:sz w:val="24"/>
              </w:rPr>
              <w:t>12、不同材料交接处，应在找平层中附加耐碱玻璃纤维网格布，两边搭接不小于100，防止墙体开裂。</w:t>
            </w:r>
          </w:p>
          <w:p w14:paraId="14B531D4">
            <w:pPr>
              <w:pStyle w:val="5"/>
              <w:jc w:val="both"/>
            </w:pPr>
            <w:r>
              <w:rPr>
                <w:rFonts w:ascii="仿宋_GB2312" w:hAnsi="仿宋_GB2312" w:eastAsia="仿宋_GB2312" w:cs="仿宋_GB2312"/>
                <w:sz w:val="24"/>
              </w:rPr>
              <w:t>13、产生噪音和震动的设备机房，需作减噪隔声处理，具体做法见建施用料表，设备用房隔声量≥50dB其它房间隔声量应符合《民用建筑隔声设计规范》GB50118-2010。</w:t>
            </w:r>
          </w:p>
          <w:p w14:paraId="4DA2A1F5">
            <w:pPr>
              <w:pStyle w:val="5"/>
              <w:jc w:val="both"/>
            </w:pPr>
            <w:r>
              <w:rPr>
                <w:rFonts w:ascii="仿宋_GB2312" w:hAnsi="仿宋_GB2312" w:eastAsia="仿宋_GB2312" w:cs="仿宋_GB2312"/>
                <w:sz w:val="24"/>
              </w:rPr>
              <w:t>14、吊顶应符合《建筑室内吊顶工程技术规程》CECS209:2008的规定；吊杆及龙骨的安装间距、配件的安装方式应符合设计要求。当全牙丝杆长度均大于1.5米,根据相应的规范要求增加反支撑加固后置埋件、钢筋吊杆应 进行防腐处理；吊顶工程与建筑电气、给水排水、暖通空调等工种应紧密配合,做好室内管道施工。饰面板安装前应完成吊顶内所有管线、设备的安装及隐蔽工程的验收；材料要求:轻钢龙骨性能应符合国家标准《建筑用轻钢龙骨》GB/T11981的规定。纸面石膏板性能应符合国家标准《纸面石膏板》GB/T9775的规定。</w:t>
            </w:r>
          </w:p>
          <w:p w14:paraId="475B96C1">
            <w:pPr>
              <w:pStyle w:val="5"/>
              <w:jc w:val="both"/>
            </w:pPr>
            <w:r>
              <w:rPr>
                <w:rFonts w:ascii="仿宋_GB2312" w:hAnsi="仿宋_GB2312" w:eastAsia="仿宋_GB2312" w:cs="仿宋_GB2312"/>
                <w:sz w:val="24"/>
              </w:rPr>
              <w:t>15、(楼)地面装修应符合《建筑地面设计规范》GB50037的规定。</w:t>
            </w:r>
          </w:p>
          <w:p w14:paraId="3F77F20A">
            <w:pPr>
              <w:pStyle w:val="5"/>
              <w:jc w:val="both"/>
            </w:pPr>
            <w:r>
              <w:rPr>
                <w:rFonts w:ascii="仿宋_GB2312" w:hAnsi="仿宋_GB2312" w:eastAsia="仿宋_GB2312" w:cs="仿宋_GB2312"/>
                <w:sz w:val="24"/>
              </w:rPr>
              <w:t>16、涂饰工程，涂料有害物质限量应符合国家标准《室内装饰装修材料内墙涂料中有害物质限量》GB18582的规定。</w:t>
            </w:r>
          </w:p>
          <w:p w14:paraId="1F67F1E9">
            <w:pPr>
              <w:pStyle w:val="5"/>
              <w:jc w:val="both"/>
            </w:pPr>
            <w:r>
              <w:rPr>
                <w:rFonts w:ascii="仿宋_GB2312" w:hAnsi="仿宋_GB2312" w:eastAsia="仿宋_GB2312" w:cs="仿宋_GB2312"/>
                <w:sz w:val="24"/>
              </w:rPr>
              <w:t>17、其他说明说明：现场视土建墙体完成情况,如需墙面顶板找平处理办法:a:墙面增加平均20厚粉刷石膏找平处理(冲筋找平、贴网布)b:原顶面涂料区域:增加8mm厚粉刷石膏找平。吊杆长度大于1.5-2.5m时做反支撑或钢结构转换层,吊杆长度大于2.5m时做钢结构转换层。成品保护:各面层饰面材料在本工序完成后,按国家及地区相应的施工规范进行成品保护,至工程验收合格后,方可去掉保护层。</w:t>
            </w:r>
          </w:p>
          <w:p w14:paraId="5E2AD442">
            <w:pPr>
              <w:pStyle w:val="5"/>
              <w:jc w:val="both"/>
            </w:pPr>
            <w:r>
              <w:rPr>
                <w:rFonts w:ascii="仿宋_GB2312" w:hAnsi="仿宋_GB2312" w:eastAsia="仿宋_GB2312" w:cs="仿宋_GB2312"/>
                <w:sz w:val="24"/>
              </w:rPr>
              <w:t>18、安全文明施工，做到工完场清；</w:t>
            </w:r>
          </w:p>
          <w:p w14:paraId="30D26EED">
            <w:pPr>
              <w:pStyle w:val="5"/>
              <w:jc w:val="both"/>
            </w:pPr>
            <w:r>
              <w:rPr>
                <w:rFonts w:ascii="仿宋_GB2312" w:hAnsi="仿宋_GB2312" w:eastAsia="仿宋_GB2312" w:cs="仿宋_GB2312"/>
                <w:b/>
                <w:sz w:val="24"/>
              </w:rPr>
              <w:t>六、弱电智能化系统要求</w:t>
            </w:r>
          </w:p>
          <w:p w14:paraId="0BB23B9B">
            <w:pPr>
              <w:pStyle w:val="5"/>
              <w:jc w:val="both"/>
            </w:pPr>
            <w:r>
              <w:rPr>
                <w:rFonts w:ascii="仿宋_GB2312" w:hAnsi="仿宋_GB2312" w:eastAsia="仿宋_GB2312" w:cs="仿宋_GB2312"/>
                <w:sz w:val="24"/>
              </w:rPr>
              <w:t>1、无线WiFi系统无线网络覆盖范围:设置点位覆盖办公楼主要公共活动区域。系统主要由无线AP,OLT、AC控制器等组成,打造办公楼快速、安全的网络环境。</w:t>
            </w:r>
          </w:p>
          <w:p w14:paraId="4A82FAE2">
            <w:pPr>
              <w:pStyle w:val="5"/>
              <w:jc w:val="both"/>
            </w:pPr>
            <w:r>
              <w:rPr>
                <w:rFonts w:ascii="仿宋_GB2312" w:hAnsi="仿宋_GB2312" w:eastAsia="仿宋_GB2312" w:cs="仿宋_GB2312"/>
                <w:sz w:val="24"/>
              </w:rPr>
              <w:t>(1)实现系统及系统设备的远程维护和管理。</w:t>
            </w:r>
          </w:p>
          <w:p w14:paraId="2AD4FFBD">
            <w:pPr>
              <w:pStyle w:val="5"/>
              <w:jc w:val="both"/>
            </w:pPr>
            <w:r>
              <w:rPr>
                <w:rFonts w:ascii="仿宋_GB2312" w:hAnsi="仿宋_GB2312" w:eastAsia="仿宋_GB2312" w:cs="仿宋_GB2312"/>
                <w:sz w:val="24"/>
              </w:rPr>
              <w:t>(2)系统采用蜂窝式部署方式,同时实现不同子网之间的漫游。</w:t>
            </w:r>
          </w:p>
          <w:p w14:paraId="2926BDC3">
            <w:pPr>
              <w:pStyle w:val="5"/>
              <w:jc w:val="both"/>
            </w:pPr>
            <w:r>
              <w:rPr>
                <w:rFonts w:ascii="仿宋_GB2312" w:hAnsi="仿宋_GB2312" w:eastAsia="仿宋_GB2312" w:cs="仿宋_GB2312"/>
                <w:sz w:val="24"/>
              </w:rPr>
              <w:t>(3)实现应用层流量数据进行识别和带宽保障。</w:t>
            </w:r>
          </w:p>
          <w:p w14:paraId="2DF788AF">
            <w:pPr>
              <w:pStyle w:val="5"/>
              <w:jc w:val="both"/>
            </w:pPr>
            <w:r>
              <w:rPr>
                <w:rFonts w:ascii="仿宋_GB2312" w:hAnsi="仿宋_GB2312" w:eastAsia="仿宋_GB2312" w:cs="仿宋_GB2312"/>
                <w:sz w:val="24"/>
              </w:rPr>
              <w:t>(4)对非法网络应用和URL进行识别和控制</w:t>
            </w:r>
          </w:p>
          <w:p w14:paraId="53FB7727">
            <w:pPr>
              <w:pStyle w:val="5"/>
              <w:jc w:val="both"/>
            </w:pPr>
            <w:r>
              <w:rPr>
                <w:rFonts w:ascii="仿宋_GB2312" w:hAnsi="仿宋_GB2312" w:eastAsia="仿宋_GB2312" w:cs="仿宋_GB2312"/>
                <w:sz w:val="24"/>
              </w:rPr>
              <w:t>(5)室内无线AP使用2.4G/5G双频接入,保证接入数量和质量。</w:t>
            </w:r>
          </w:p>
          <w:p w14:paraId="35534163">
            <w:pPr>
              <w:pStyle w:val="5"/>
              <w:jc w:val="both"/>
            </w:pPr>
            <w:r>
              <w:rPr>
                <w:rFonts w:ascii="仿宋_GB2312" w:hAnsi="仿宋_GB2312" w:eastAsia="仿宋_GB2312" w:cs="仿宋_GB2312"/>
                <w:sz w:val="24"/>
              </w:rPr>
              <w:t>2、综合布线系统</w:t>
            </w:r>
          </w:p>
          <w:p w14:paraId="72FEDAE7">
            <w:pPr>
              <w:pStyle w:val="5"/>
              <w:ind w:firstLine="480"/>
              <w:jc w:val="both"/>
            </w:pPr>
            <w:r>
              <w:rPr>
                <w:rFonts w:ascii="仿宋_GB2312" w:hAnsi="仿宋_GB2312" w:eastAsia="仿宋_GB2312" w:cs="仿宋_GB2312"/>
                <w:sz w:val="24"/>
              </w:rPr>
              <w:t>综合布线系统是将语音信号、数字信号的配线,经过统一的规范设计,综合在一套标准的配线系统上,此系统为开放式网络拓扑结构,能支持语音、数据、图像、多媒体业务等信息的传递,以方便用户在需要时形成各自独立的子系统。除固定于建筑物内的线路外,其余所有插件均应采用模块化的标准件,以便将来有变化时可以调整。</w:t>
            </w:r>
          </w:p>
          <w:p w14:paraId="14B449A5">
            <w:pPr>
              <w:pStyle w:val="5"/>
              <w:jc w:val="both"/>
            </w:pPr>
            <w:r>
              <w:rPr>
                <w:rFonts w:ascii="仿宋_GB2312" w:hAnsi="仿宋_GB2312" w:eastAsia="仿宋_GB2312" w:cs="仿宋_GB2312"/>
                <w:sz w:val="24"/>
              </w:rPr>
              <w:t>(1)工作区子系统按照需求在办公室、前台室等设置数据及语音通用的信息插座。信息插座采用六类RJ45插口模块,以方便数据点和语音点可以互换使用,信息点面板采用86型单/双孔面板。工作区插座设置具有防尘及保护跳线功能;工作区端口配有最长寿命标签,且配颜色标记或符号标记为数据、语音等不同服务提供识别。</w:t>
            </w:r>
          </w:p>
          <w:p w14:paraId="11DA325F">
            <w:pPr>
              <w:pStyle w:val="5"/>
              <w:jc w:val="both"/>
            </w:pPr>
            <w:r>
              <w:rPr>
                <w:rFonts w:ascii="仿宋_GB2312" w:hAnsi="仿宋_GB2312" w:eastAsia="仿宋_GB2312" w:cs="仿宋_GB2312"/>
                <w:sz w:val="24"/>
              </w:rPr>
              <w:t>(2)水平区子系统由终端点位至弱电间配线设备的配线电缆、弱电间的配线设备及设备缆线和跳线等组成。所有的语音点、数据点采用六类布线设备;所有的水平电缆全部采用6类4对低烟无卤非屏蔽对绞线缆;水平线缆的长度不超过90米;弱电井内预留电信运营商垂直主干线槽。</w:t>
            </w:r>
          </w:p>
          <w:p w14:paraId="7C42AC43">
            <w:pPr>
              <w:pStyle w:val="5"/>
              <w:jc w:val="both"/>
            </w:pPr>
            <w:r>
              <w:rPr>
                <w:rFonts w:ascii="仿宋_GB2312" w:hAnsi="仿宋_GB2312" w:eastAsia="仿宋_GB2312" w:cs="仿宋_GB2312"/>
                <w:sz w:val="24"/>
              </w:rPr>
              <w:t>(3)管理子系统由交连、互连配线架组成。光纤采用8口光纤配线架安装,水平线缆采用24口铜缆非屏蔽配线架安装,配线架双链路端接引入配线架管理系统,所有配线架安装于19英寸标准机柜内,机柜的容量需考虑交换机的安装空间。对建筑内的所有配线设备、缆线、信息插座和模块等设施按照统一的模式进行标识和记录,包括但不限于:编号规则、颜色规则、布线标准和用户想法,以方便用户的使用。</w:t>
            </w:r>
          </w:p>
          <w:p w14:paraId="5929E82B">
            <w:pPr>
              <w:pStyle w:val="5"/>
              <w:jc w:val="both"/>
            </w:pPr>
            <w:r>
              <w:rPr>
                <w:rFonts w:ascii="仿宋_GB2312" w:hAnsi="仿宋_GB2312" w:eastAsia="仿宋_GB2312" w:cs="仿宋_GB2312"/>
                <w:b/>
                <w:sz w:val="24"/>
              </w:rPr>
              <w:t>七、拆除工程</w:t>
            </w:r>
          </w:p>
          <w:p w14:paraId="583520BE">
            <w:pPr>
              <w:pStyle w:val="5"/>
              <w:ind w:firstLine="480"/>
              <w:jc w:val="both"/>
            </w:pPr>
            <w:r>
              <w:rPr>
                <w:rFonts w:ascii="仿宋_GB2312" w:hAnsi="仿宋_GB2312" w:eastAsia="仿宋_GB2312" w:cs="仿宋_GB2312"/>
                <w:sz w:val="24"/>
              </w:rPr>
              <w:t>拆除原有装饰面、不破坏建筑主体结构承重构件，建筑垃圾清运、建筑垃圾消纳，所有废旧物属自行处理。驶出现场车辆，要保持清洁，封盖严密，防止洒落造成污染。</w:t>
            </w:r>
          </w:p>
          <w:p w14:paraId="4DDB905C">
            <w:pPr>
              <w:pStyle w:val="5"/>
              <w:jc w:val="both"/>
            </w:pPr>
            <w:r>
              <w:rPr>
                <w:rFonts w:ascii="仿宋_GB2312" w:hAnsi="仿宋_GB2312" w:eastAsia="仿宋_GB2312" w:cs="仿宋_GB2312"/>
                <w:b/>
                <w:sz w:val="24"/>
              </w:rPr>
              <w:t>八、以下内容为对本工程的最基本要求，包括但不限于：</w:t>
            </w:r>
          </w:p>
          <w:p w14:paraId="494AEC09">
            <w:pPr>
              <w:pStyle w:val="5"/>
              <w:jc w:val="both"/>
            </w:pPr>
            <w:r>
              <w:rPr>
                <w:rFonts w:ascii="仿宋_GB2312" w:hAnsi="仿宋_GB2312" w:eastAsia="仿宋_GB2312" w:cs="仿宋_GB2312"/>
                <w:sz w:val="24"/>
              </w:rPr>
              <w:t>1、施工单位项目负责人是安全生产第一责任人，施工单位应建立健全安全生产责任制度和安全教育培训、安全生产检查和安全生产操作规程等各项规章制度；向施工作业人员提供符合相关标准的劳动安全防护用品（具），为施工人员缴纳意外伤害保险。</w:t>
            </w:r>
          </w:p>
          <w:p w14:paraId="7F8E637E">
            <w:pPr>
              <w:pStyle w:val="5"/>
              <w:jc w:val="both"/>
            </w:pPr>
            <w:r>
              <w:rPr>
                <w:rFonts w:ascii="仿宋_GB2312" w:hAnsi="仿宋_GB2312" w:eastAsia="仿宋_GB2312" w:cs="仿宋_GB2312"/>
                <w:sz w:val="24"/>
              </w:rPr>
              <w:t>2、施工单位应根据工程特点和周边各种管线管网、相邻建筑物以及绿化等其他设施等编制工程安全防护措施方案。该方案经施工单位技术负责人签字批准送建设单位审核后方可施工。</w:t>
            </w:r>
          </w:p>
          <w:p w14:paraId="2440C410">
            <w:pPr>
              <w:pStyle w:val="5"/>
              <w:jc w:val="both"/>
            </w:pPr>
            <w:r>
              <w:rPr>
                <w:rFonts w:ascii="仿宋_GB2312" w:hAnsi="仿宋_GB2312" w:eastAsia="仿宋_GB2312" w:cs="仿宋_GB2312"/>
                <w:sz w:val="24"/>
              </w:rPr>
              <w:t>3、施工单位在施工现场应建立项目部，并按规定配备专职安全员。现场专职安全员必须持有安全生产考核合格证。</w:t>
            </w:r>
          </w:p>
          <w:p w14:paraId="13D0FC2B">
            <w:pPr>
              <w:pStyle w:val="5"/>
              <w:jc w:val="both"/>
            </w:pPr>
            <w:r>
              <w:rPr>
                <w:rFonts w:ascii="仿宋_GB2312" w:hAnsi="仿宋_GB2312" w:eastAsia="仿宋_GB2312" w:cs="仿宋_GB2312"/>
                <w:sz w:val="24"/>
              </w:rPr>
              <w:t>4、关键部位作业人员必须经专业安全技术培训后方可上岗。必要时施工前施工单位对施工作业人员进行安全技术交底，派出技术人员到现场指导，专职安全员在现场监督安全管理。另外施工单位必须制定安全事故应急救援方案。</w:t>
            </w:r>
          </w:p>
          <w:p w14:paraId="67166ED9">
            <w:pPr>
              <w:pStyle w:val="5"/>
              <w:jc w:val="both"/>
            </w:pPr>
            <w:r>
              <w:rPr>
                <w:rFonts w:ascii="仿宋_GB2312" w:hAnsi="仿宋_GB2312" w:eastAsia="仿宋_GB2312" w:cs="仿宋_GB2312"/>
                <w:sz w:val="24"/>
              </w:rPr>
              <w:t>5、拆除时不得野蛮施工、不得对附近建筑物、路灯、规划外的树木等造成损害。</w:t>
            </w:r>
          </w:p>
          <w:p w14:paraId="2A6458C0">
            <w:pPr>
              <w:pStyle w:val="5"/>
            </w:pPr>
            <w:r>
              <w:rPr>
                <w:rFonts w:ascii="仿宋_GB2312" w:hAnsi="仿宋_GB2312" w:eastAsia="仿宋_GB2312" w:cs="仿宋_GB2312"/>
                <w:sz w:val="24"/>
              </w:rPr>
              <w:t>6、施工单位对工程的周边环境和施工区域内的环境卫生负责。</w:t>
            </w:r>
          </w:p>
        </w:tc>
      </w:tr>
      <w:tr w14:paraId="06000D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9" w:type="dxa"/>
          </w:tcPr>
          <w:p w14:paraId="136BE7F1">
            <w:pPr>
              <w:pStyle w:val="5"/>
            </w:pPr>
            <w:r>
              <w:rPr>
                <w:rFonts w:ascii="仿宋_GB2312" w:hAnsi="仿宋_GB2312" w:eastAsia="仿宋_GB2312" w:cs="仿宋_GB2312"/>
              </w:rPr>
              <w:t>2</w:t>
            </w:r>
          </w:p>
        </w:tc>
        <w:tc>
          <w:tcPr>
            <w:tcW w:w="1134" w:type="dxa"/>
          </w:tcPr>
          <w:p w14:paraId="07092C42"/>
        </w:tc>
        <w:tc>
          <w:tcPr>
            <w:tcW w:w="6384" w:type="dxa"/>
          </w:tcPr>
          <w:p w14:paraId="03A3DAD1">
            <w:pPr>
              <w:pStyle w:val="5"/>
              <w:jc w:val="both"/>
            </w:pPr>
            <w:r>
              <w:rPr>
                <w:rFonts w:ascii="仿宋_GB2312" w:hAnsi="仿宋_GB2312" w:eastAsia="仿宋_GB2312" w:cs="仿宋_GB2312"/>
                <w:b/>
                <w:sz w:val="24"/>
              </w:rPr>
              <w:t>项目管理要求</w:t>
            </w:r>
          </w:p>
          <w:p w14:paraId="47D33DC7">
            <w:pPr>
              <w:pStyle w:val="5"/>
              <w:jc w:val="both"/>
            </w:pPr>
            <w:r>
              <w:rPr>
                <w:rFonts w:ascii="仿宋_GB2312" w:hAnsi="仿宋_GB2312" w:eastAsia="仿宋_GB2312" w:cs="仿宋_GB2312"/>
                <w:sz w:val="24"/>
              </w:rPr>
              <w:t>1、本项目不得分包、转包。</w:t>
            </w:r>
          </w:p>
          <w:p w14:paraId="06D9B6A2">
            <w:pPr>
              <w:pStyle w:val="5"/>
              <w:jc w:val="both"/>
            </w:pPr>
            <w:r>
              <w:rPr>
                <w:rFonts w:ascii="仿宋_GB2312" w:hAnsi="仿宋_GB2312" w:eastAsia="仿宋_GB2312" w:cs="仿宋_GB2312"/>
                <w:sz w:val="24"/>
              </w:rPr>
              <w:t>2、供应商在竞争性磋商响应文件中承诺的项目负责人及相应资质的专业技术、安全管理人员未经采购人书面同意，承包人不得调换和撤离，并按工程进度及时到位。采购人有权要求施工单位撤换工作不负责任、管理不力、贻误工期和造成严重安全事故和违法乱纪的专业技术、安全管理人员。如项目负责人及相应资质的专业技术人员未按要求到位，视作违约，采购人有权按合同约定进行罚款直至单方面终止合同。</w:t>
            </w:r>
          </w:p>
          <w:p w14:paraId="576D62D6">
            <w:pPr>
              <w:pStyle w:val="5"/>
              <w:jc w:val="both"/>
            </w:pPr>
            <w:r>
              <w:rPr>
                <w:rFonts w:ascii="仿宋_GB2312" w:hAnsi="仿宋_GB2312" w:eastAsia="仿宋_GB2312" w:cs="仿宋_GB2312"/>
                <w:sz w:val="24"/>
              </w:rPr>
              <w:t>3、成交供应商须无条件接受甲方代表的现场检查和管理。</w:t>
            </w:r>
          </w:p>
          <w:p w14:paraId="60625B43">
            <w:pPr>
              <w:pStyle w:val="5"/>
              <w:jc w:val="both"/>
            </w:pPr>
            <w:r>
              <w:rPr>
                <w:rFonts w:ascii="仿宋_GB2312" w:hAnsi="仿宋_GB2312" w:eastAsia="仿宋_GB2312" w:cs="仿宋_GB2312"/>
                <w:sz w:val="24"/>
              </w:rPr>
              <w:t>4、成交供应商在施工期间做好安全文明施工管理，必须重视安全，按规范操作；施工过程中佩戴安全帽，并保证自身及周边公民人身财产安全；严禁带电操作；确保车辆、人员、施工安全；若发生事故，由承包方负责并承担全部费用，任何责任与学校无关。</w:t>
            </w:r>
          </w:p>
          <w:p w14:paraId="59B1D48E">
            <w:pPr>
              <w:pStyle w:val="5"/>
            </w:pPr>
            <w:r>
              <w:rPr>
                <w:rFonts w:ascii="仿宋_GB2312" w:hAnsi="仿宋_GB2312" w:eastAsia="仿宋_GB2312" w:cs="仿宋_GB2312"/>
                <w:sz w:val="24"/>
              </w:rPr>
              <w:t>5、施工的建筑垃圾应清运至有关部门指定的地点，做到工完场清，不留死角。</w:t>
            </w:r>
          </w:p>
        </w:tc>
      </w:tr>
      <w:tr w14:paraId="7499DF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9" w:type="dxa"/>
          </w:tcPr>
          <w:p w14:paraId="31FBF019">
            <w:pPr>
              <w:pStyle w:val="5"/>
            </w:pPr>
            <w:r>
              <w:rPr>
                <w:rFonts w:ascii="仿宋_GB2312" w:hAnsi="仿宋_GB2312" w:eastAsia="仿宋_GB2312" w:cs="仿宋_GB2312"/>
              </w:rPr>
              <w:t>3</w:t>
            </w:r>
          </w:p>
        </w:tc>
        <w:tc>
          <w:tcPr>
            <w:tcW w:w="1134" w:type="dxa"/>
          </w:tcPr>
          <w:p w14:paraId="04D600DA">
            <w:pPr>
              <w:pStyle w:val="5"/>
            </w:pPr>
            <w:r>
              <w:rPr>
                <w:rFonts w:ascii="仿宋_GB2312" w:hAnsi="仿宋_GB2312" w:eastAsia="仿宋_GB2312" w:cs="仿宋_GB2312"/>
              </w:rPr>
              <w:t>★</w:t>
            </w:r>
          </w:p>
        </w:tc>
        <w:tc>
          <w:tcPr>
            <w:tcW w:w="6384" w:type="dxa"/>
          </w:tcPr>
          <w:p w14:paraId="318FBE33">
            <w:pPr>
              <w:pStyle w:val="5"/>
            </w:pPr>
            <w:r>
              <w:rPr>
                <w:rFonts w:ascii="仿宋_GB2312" w:hAnsi="仿宋_GB2312" w:eastAsia="仿宋_GB2312" w:cs="仿宋_GB2312"/>
                <w:b/>
                <w:sz w:val="24"/>
              </w:rPr>
              <w:t>其他要求</w:t>
            </w:r>
            <w:r>
              <w:br w:type="textWrapping"/>
            </w:r>
            <w:r>
              <w:rPr>
                <w:rFonts w:ascii="仿宋_GB2312" w:hAnsi="仿宋_GB2312" w:eastAsia="仿宋_GB2312" w:cs="仿宋_GB2312"/>
                <w:sz w:val="24"/>
              </w:rPr>
              <w:t>1、提供服务的时间、地点等</w:t>
            </w:r>
            <w:r>
              <w:br w:type="textWrapping"/>
            </w:r>
            <w:r>
              <w:rPr>
                <w:rFonts w:ascii="仿宋_GB2312" w:hAnsi="仿宋_GB2312" w:eastAsia="仿宋_GB2312" w:cs="仿宋_GB2312"/>
                <w:sz w:val="24"/>
              </w:rPr>
              <w:t>（1）</w:t>
            </w:r>
            <w:r>
              <w:rPr>
                <w:rFonts w:ascii="仿宋_GB2312" w:hAnsi="仿宋_GB2312" w:eastAsia="仿宋_GB2312" w:cs="仿宋_GB2312"/>
                <w:b/>
                <w:sz w:val="24"/>
              </w:rPr>
              <w:t>完工期：</w:t>
            </w:r>
            <w:r>
              <w:rPr>
                <w:rFonts w:ascii="仿宋_GB2312" w:hAnsi="仿宋_GB2312" w:eastAsia="仿宋_GB2312" w:cs="仿宋_GB2312"/>
                <w:sz w:val="24"/>
              </w:rPr>
              <w:t>合同签订后60日历天完成全部项目内容；</w:t>
            </w:r>
            <w:r>
              <w:br w:type="textWrapping"/>
            </w:r>
            <w:r>
              <w:rPr>
                <w:rFonts w:ascii="仿宋_GB2312" w:hAnsi="仿宋_GB2312" w:eastAsia="仿宋_GB2312" w:cs="仿宋_GB2312"/>
                <w:sz w:val="24"/>
              </w:rPr>
              <w:t>（2）交付地点：西安石油大学指定地点；</w:t>
            </w:r>
            <w:r>
              <w:br w:type="textWrapping"/>
            </w:r>
            <w:r>
              <w:rPr>
                <w:rFonts w:ascii="仿宋_GB2312" w:hAnsi="仿宋_GB2312" w:eastAsia="仿宋_GB2312" w:cs="仿宋_GB2312"/>
                <w:sz w:val="24"/>
              </w:rPr>
              <w:t>（3）</w:t>
            </w:r>
            <w:r>
              <w:rPr>
                <w:rFonts w:ascii="仿宋_GB2312" w:hAnsi="仿宋_GB2312" w:eastAsia="仿宋_GB2312" w:cs="仿宋_GB2312"/>
                <w:b/>
                <w:sz w:val="24"/>
              </w:rPr>
              <w:t>质保期：</w:t>
            </w:r>
            <w:r>
              <w:rPr>
                <w:rFonts w:ascii="仿宋_GB2312" w:hAnsi="仿宋_GB2312" w:eastAsia="仿宋_GB2312" w:cs="仿宋_GB2312"/>
                <w:sz w:val="24"/>
              </w:rPr>
              <w:t>自项目竣工验收合格之日起2年；</w:t>
            </w:r>
            <w:r>
              <w:rPr>
                <w:rFonts w:ascii="仿宋_GB2312" w:hAnsi="仿宋_GB2312" w:eastAsia="仿宋_GB2312" w:cs="仿宋_GB2312"/>
              </w:rPr>
              <w:t xml:space="preserve"> </w:t>
            </w:r>
          </w:p>
          <w:p w14:paraId="192439A8">
            <w:pPr>
              <w:pStyle w:val="5"/>
            </w:pPr>
            <w:r>
              <w:rPr>
                <w:rFonts w:ascii="仿宋_GB2312" w:hAnsi="仿宋_GB2312" w:eastAsia="仿宋_GB2312" w:cs="仿宋_GB2312"/>
                <w:sz w:val="24"/>
              </w:rPr>
              <w:t>（4）工程质量标准：符合国家及行业现行技术规范标准，符合国家及行业验收合格标准；</w:t>
            </w:r>
            <w:r>
              <w:br w:type="textWrapping"/>
            </w:r>
            <w:r>
              <w:rPr>
                <w:rFonts w:ascii="仿宋_GB2312" w:hAnsi="仿宋_GB2312" w:eastAsia="仿宋_GB2312" w:cs="仿宋_GB2312"/>
                <w:sz w:val="24"/>
              </w:rPr>
              <w:t>2、结算方式</w:t>
            </w:r>
            <w:r>
              <w:br w:type="textWrapping"/>
            </w:r>
            <w:r>
              <w:rPr>
                <w:rFonts w:ascii="仿宋_GB2312" w:hAnsi="仿宋_GB2312" w:eastAsia="仿宋_GB2312" w:cs="仿宋_GB2312"/>
                <w:sz w:val="24"/>
              </w:rPr>
              <w:t>（1）结算单位：由采购人负责结算，在付款前，必须开具等额增值税专用发票给采购人；材料价格以甲方的认质认价计入。</w:t>
            </w:r>
            <w:r>
              <w:br w:type="textWrapping"/>
            </w:r>
            <w:r>
              <w:rPr>
                <w:rFonts w:ascii="仿宋_GB2312" w:hAnsi="仿宋_GB2312" w:eastAsia="仿宋_GB2312" w:cs="仿宋_GB2312"/>
                <w:sz w:val="24"/>
              </w:rPr>
              <w:t>（2）</w:t>
            </w:r>
            <w:r>
              <w:rPr>
                <w:rFonts w:ascii="仿宋_GB2312" w:hAnsi="仿宋_GB2312" w:eastAsia="仿宋_GB2312" w:cs="仿宋_GB2312"/>
                <w:b/>
                <w:sz w:val="24"/>
              </w:rPr>
              <w:t>付款方式：</w:t>
            </w:r>
            <w:r>
              <w:br w:type="textWrapping"/>
            </w:r>
            <w:r>
              <w:rPr>
                <w:rFonts w:ascii="仿宋_GB2312" w:hAnsi="仿宋_GB2312" w:eastAsia="仿宋_GB2312" w:cs="仿宋_GB2312"/>
              </w:rPr>
              <w:t xml:space="preserve">  </w:t>
            </w:r>
            <w:r>
              <w:rPr>
                <w:rFonts w:ascii="仿宋_GB2312" w:hAnsi="仿宋_GB2312" w:eastAsia="仿宋_GB2312" w:cs="仿宋_GB2312"/>
                <w:sz w:val="24"/>
              </w:rPr>
              <w:t>①此工程无预付款，工程施工完毕，经甲方验收合格后，10日内支付合同总价款的80%；经工程审计结算审核后10日内，扣除核定总造价1%的水电费后付款至决算审定金额的100%。</w:t>
            </w:r>
          </w:p>
          <w:p w14:paraId="2EDCCE42">
            <w:pPr>
              <w:pStyle w:val="5"/>
            </w:pPr>
            <w:r>
              <w:rPr>
                <w:rFonts w:ascii="仿宋_GB2312" w:hAnsi="仿宋_GB2312" w:eastAsia="仿宋_GB2312" w:cs="仿宋_GB2312"/>
                <w:sz w:val="24"/>
              </w:rPr>
              <w:t>②承包人递交的工程结算资料应详实、准确，经发包人委托的造价咨询机构进行结算审核，审减额在5%以内（含5%）的审核成果费由发包人承担；审减额超过5%的，超出部分的审计成果费由承包人承担。</w:t>
            </w:r>
          </w:p>
        </w:tc>
      </w:tr>
      <w:tr w14:paraId="0D1692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9" w:type="dxa"/>
          </w:tcPr>
          <w:p w14:paraId="72ABECCA">
            <w:pPr>
              <w:pStyle w:val="5"/>
            </w:pPr>
            <w:r>
              <w:rPr>
                <w:rFonts w:ascii="仿宋_GB2312" w:hAnsi="仿宋_GB2312" w:eastAsia="仿宋_GB2312" w:cs="仿宋_GB2312"/>
              </w:rPr>
              <w:t>4</w:t>
            </w:r>
          </w:p>
        </w:tc>
        <w:tc>
          <w:tcPr>
            <w:tcW w:w="1134" w:type="dxa"/>
          </w:tcPr>
          <w:p w14:paraId="05422FE7"/>
        </w:tc>
        <w:tc>
          <w:tcPr>
            <w:tcW w:w="6384" w:type="dxa"/>
          </w:tcPr>
          <w:p w14:paraId="00BAEA7E">
            <w:pPr>
              <w:pStyle w:val="5"/>
            </w:pPr>
            <w:r>
              <w:rPr>
                <w:rFonts w:ascii="仿宋_GB2312" w:hAnsi="仿宋_GB2312" w:eastAsia="仿宋_GB2312" w:cs="仿宋_GB2312"/>
                <w:sz w:val="24"/>
              </w:rPr>
              <w:t>工程量清单编制说明</w:t>
            </w:r>
          </w:p>
          <w:p w14:paraId="54A5C4D4">
            <w:pPr>
              <w:pStyle w:val="5"/>
            </w:pPr>
            <w:r>
              <w:rPr>
                <w:rFonts w:ascii="仿宋_GB2312" w:hAnsi="仿宋_GB2312" w:eastAsia="仿宋_GB2312" w:cs="仿宋_GB2312"/>
                <w:sz w:val="24"/>
              </w:rPr>
              <w:t>（一）编制范围</w:t>
            </w:r>
          </w:p>
          <w:p w14:paraId="085C0F73">
            <w:pPr>
              <w:pStyle w:val="5"/>
            </w:pPr>
            <w:r>
              <w:rPr>
                <w:rFonts w:ascii="仿宋_GB2312" w:hAnsi="仿宋_GB2312" w:eastAsia="仿宋_GB2312" w:cs="仿宋_GB2312"/>
                <w:sz w:val="24"/>
              </w:rPr>
              <w:t>本项目主要包含雁塔校区华油能源楼七层办公区域改造项目的装饰装修工程、给排水工程、电气设备安装工程、通风与空调工程、弱电智能化工程以及拆除工程。</w:t>
            </w:r>
          </w:p>
          <w:p w14:paraId="082201B2">
            <w:pPr>
              <w:pStyle w:val="5"/>
            </w:pPr>
            <w:r>
              <w:rPr>
                <w:rFonts w:ascii="仿宋_GB2312" w:hAnsi="仿宋_GB2312" w:eastAsia="仿宋_GB2312" w:cs="仿宋_GB2312"/>
                <w:sz w:val="24"/>
              </w:rPr>
              <w:t>（二）编制依据</w:t>
            </w:r>
          </w:p>
          <w:p w14:paraId="6BC152DB">
            <w:pPr>
              <w:pStyle w:val="5"/>
            </w:pPr>
            <w:r>
              <w:rPr>
                <w:rFonts w:ascii="仿宋_GB2312" w:hAnsi="仿宋_GB2312" w:eastAsia="仿宋_GB2312" w:cs="仿宋_GB2312"/>
                <w:sz w:val="24"/>
              </w:rPr>
              <w:t>1.陕西省建设工程工程量清单计价标准及计算标准（2025）、陕西省建设工程费用规则（2025）、陕西省房屋建筑与装饰工程基价表（2025）、陕西省通用安装工程基价表（2025）、陕西省房屋建筑与装饰工程消耗量定额（2025）、陕西省通用安装工程消耗量定额（2025）等；</w:t>
            </w:r>
          </w:p>
          <w:p w14:paraId="7C14BE7A">
            <w:pPr>
              <w:pStyle w:val="5"/>
            </w:pPr>
            <w:r>
              <w:rPr>
                <w:rFonts w:ascii="仿宋_GB2312" w:hAnsi="仿宋_GB2312" w:eastAsia="仿宋_GB2312" w:cs="仿宋_GB2312"/>
                <w:sz w:val="24"/>
              </w:rPr>
              <w:t>2.本项目施工图纸。</w:t>
            </w:r>
          </w:p>
          <w:p w14:paraId="69AB968E">
            <w:pPr>
              <w:pStyle w:val="5"/>
            </w:pPr>
            <w:r>
              <w:rPr>
                <w:rFonts w:ascii="仿宋_GB2312" w:hAnsi="仿宋_GB2312" w:eastAsia="仿宋_GB2312" w:cs="仿宋_GB2312"/>
                <w:sz w:val="24"/>
              </w:rPr>
              <w:t>（三）其他说明</w:t>
            </w:r>
          </w:p>
          <w:p w14:paraId="5BEF5BB9">
            <w:pPr>
              <w:pStyle w:val="5"/>
            </w:pPr>
            <w:r>
              <w:rPr>
                <w:rFonts w:ascii="仿宋_GB2312" w:hAnsi="仿宋_GB2312" w:eastAsia="仿宋_GB2312" w:cs="仿宋_GB2312"/>
                <w:sz w:val="24"/>
              </w:rPr>
              <w:t>1.工程量清单采用计价软件及版本号：广联达云计价平台GCCP7.0，7.5000.4.2；</w:t>
            </w:r>
          </w:p>
          <w:p w14:paraId="1DDD365A">
            <w:pPr>
              <w:pStyle w:val="5"/>
            </w:pPr>
            <w:r>
              <w:rPr>
                <w:rFonts w:ascii="仿宋_GB2312" w:hAnsi="仿宋_GB2312" w:eastAsia="仿宋_GB2312" w:cs="仿宋_GB2312"/>
                <w:sz w:val="24"/>
              </w:rPr>
              <w:t>2.本项目电气设备安装工程、弱电智能化工程无专业图纸，管线数量根据精装点位图进行综合测算。清单中的电气设备安装工程优化项及弱电智能化工程优化项，由投标人根据精装修图纸及业主需求，在符合国家规范的前提下，对图纸进行优化。</w:t>
            </w:r>
          </w:p>
        </w:tc>
      </w:tr>
      <w:tr w14:paraId="5BEE92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9" w:type="dxa"/>
          </w:tcPr>
          <w:p w14:paraId="4CC01CE7">
            <w:pPr>
              <w:pStyle w:val="5"/>
            </w:pPr>
            <w:r>
              <w:rPr>
                <w:rFonts w:ascii="仿宋_GB2312" w:hAnsi="仿宋_GB2312" w:eastAsia="仿宋_GB2312" w:cs="仿宋_GB2312"/>
              </w:rPr>
              <w:t>5</w:t>
            </w:r>
          </w:p>
        </w:tc>
        <w:tc>
          <w:tcPr>
            <w:tcW w:w="1134" w:type="dxa"/>
          </w:tcPr>
          <w:p w14:paraId="40D581BD"/>
        </w:tc>
        <w:tc>
          <w:tcPr>
            <w:tcW w:w="6384" w:type="dxa"/>
          </w:tcPr>
          <w:p w14:paraId="71599598">
            <w:pPr>
              <w:pStyle w:val="5"/>
            </w:pPr>
            <w:r>
              <w:rPr>
                <w:rFonts w:ascii="仿宋_GB2312" w:hAnsi="仿宋_GB2312" w:eastAsia="仿宋_GB2312" w:cs="仿宋_GB2312"/>
                <w:sz w:val="24"/>
              </w:rPr>
              <w:t>工程量清单：详见工程量清单附件</w:t>
            </w:r>
          </w:p>
          <w:p w14:paraId="4F8B81FD">
            <w:pPr>
              <w:pStyle w:val="5"/>
            </w:pPr>
            <w:r>
              <w:rPr>
                <w:rFonts w:ascii="仿宋_GB2312" w:hAnsi="仿宋_GB2312" w:eastAsia="仿宋_GB2312" w:cs="仿宋_GB2312"/>
                <w:sz w:val="24"/>
              </w:rPr>
              <w:t>施工图：详见施工图纸附件</w:t>
            </w:r>
          </w:p>
        </w:tc>
      </w:tr>
    </w:tbl>
    <w:p w14:paraId="5B03B866">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A12B8D"/>
    <w:rsid w:val="12A12B8D"/>
    <w:rsid w:val="6F356B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Calibri" w:hAnsi="Calibri" w:eastAsia="仿宋_GB2312" w:cs="Times New Roman"/>
      <w:b/>
      <w:kern w:val="44"/>
      <w:sz w:val="44"/>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2026-07-09T08:33:00Z</dcterms:created>
  <dc:creator>123</dc:creator>
  <cp:lastModifiedBy>123</cp:lastModifiedBy>
  <dcterms:modified xsi:type="dcterms:W3CDTF">2026-07-09T08:33:46Z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3CC96046A8E84EE399F0A25F0C17F1FC_11</vt:lpwstr>
  </property>
  <property fmtid="{D5CDD505-2E9C-101B-9397-08002B2CF9AE}" pid="4" name="KSOTemplateDocerSaveRecord">
    <vt:lpwstr>eyJoZGlkIjoiOGFlZDBjMTkxMjAyY2VhMDJmNjJkYjY5NWY5ZGZmNGMiLCJ1c2VySWQiOiI0NTE5NDQwNTQifQ==</vt:lpwstr>
  </property>
</Properties>
</file>