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版本号：ZCBN-镇巴县-2026-0020420260626001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镇巴县巴山镇活水社区至万源市皮窝乡中坝村界通组路建设项目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ZCBN-镇巴县-2026-00204</w:t>
      </w:r>
      <w:r>
        <w:br/>
      </w:r>
      <w:r>
        <w:br/>
      </w:r>
      <w:r>
        <w:br/>
      </w:r>
    </w:p>
    <w:p>
      <w:pPr>
        <w:pStyle w:val="null3"/>
        <w:jc w:val="center"/>
        <w:outlineLvl w:val="2"/>
      </w:pPr>
      <w:r>
        <w:rPr>
          <w:rFonts w:ascii="仿宋_GB2312" w:hAnsi="仿宋_GB2312" w:cs="仿宋_GB2312" w:eastAsia="仿宋_GB2312"/>
          <w:sz w:val="28"/>
          <w:b/>
        </w:rPr>
        <w:t>镇巴县巴山镇人民政府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镇巴县巴山镇人民政府</w:t>
      </w:r>
      <w:r>
        <w:rPr>
          <w:rFonts w:ascii="仿宋_GB2312" w:hAnsi="仿宋_GB2312" w:cs="仿宋_GB2312" w:eastAsia="仿宋_GB2312"/>
        </w:rPr>
        <w:t>委托，拟对</w:t>
      </w:r>
      <w:r>
        <w:rPr>
          <w:rFonts w:ascii="仿宋_GB2312" w:hAnsi="仿宋_GB2312" w:cs="仿宋_GB2312" w:eastAsia="仿宋_GB2312"/>
        </w:rPr>
        <w:t>镇巴县巴山镇活水社区至万源市皮窝乡中坝村界通组路建设项目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ZCBN-镇巴县-2026-00204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镇巴县巴山镇活水社区至万源市皮窝乡中坝村界通组路建设项目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该公路路线严格按照规范设计，路基宽度4.5 米（路基横断面布置为：左侧 0.5 米土路肩+3.5 米（路面铺筑宽度）+右侧0.5 米土路肩）。该项目起点位于巴山镇活水社区猪洞湾，终点止于大卡子，共计 4.360公里。详见工程量清单及施工图纸。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采购包1（镇巴县巴山镇活水社区至万源市皮窝乡中坝村界通组路建设项目）：属于专门面向中小企业采购。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4、供应商资质要求：供应商须具有建设行政主管部门颁发的公路工程施工总承包三级及以上资质，具有有效的安全生产许可证，供应商需在项目电子化交易系统中按要求上传相应证明文件并进行电子签章;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5、拟派项目负责人资质与专业要求：拟派项目负责人须具有公路工程专业注册建造师二级及以上资格和有效的安全生产考核合格B证，在本单位注册且未担任其他在建工程的项目负责人；供应商需在项目电子化交易系统中按要求上传相应证明文件并进行电子签章;</w:t>
      </w:r>
    </w:p>
    <w:p>
      <w:pPr>
        <w:pStyle w:val="null3"/>
      </w:pPr>
      <w:r>
        <w:rPr>
          <w:rFonts w:ascii="仿宋_GB2312" w:hAnsi="仿宋_GB2312" w:cs="仿宋_GB2312" w:eastAsia="仿宋_GB2312"/>
        </w:rPr>
        <w:t>6、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陕西省镇巴县巴山镇活水社区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镇巴县巴山镇人民政府经办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13379160909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采购包1：2,897,077.71元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镇巴县巴山镇人民政府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地址：汉中市镇巴县沿山路孙二娘火锅店旁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2,897,077.71</w:t>
      </w:r>
    </w:p>
    <w:p>
      <w:pPr>
        <w:pStyle w:val="null3"/>
      </w:pPr>
      <w:r>
        <w:rPr>
          <w:rFonts w:ascii="仿宋_GB2312" w:hAnsi="仿宋_GB2312" w:cs="仿宋_GB2312" w:eastAsia="仿宋_GB2312"/>
        </w:rPr>
        <w:t>采购包最高限价（元）: 2,897,077.71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镇巴县巴山镇活水社区至万源市皮窝乡中坝村界通组路建设项目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2,897,077.71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标的名称：镇巴县巴山镇活水社区至万源市皮窝乡中坝村界通组路建设项目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一、工程质量要求与验收依据</w:t>
            </w:r>
          </w:p>
          <w:p>
            <w:pPr>
              <w:pStyle w:val="null3"/>
              <w:jc w:val="left"/>
            </w:pPr>
            <w:r>
              <w:rPr>
                <w:rFonts w:ascii="仿宋_GB2312" w:hAnsi="仿宋_GB2312" w:cs="仿宋_GB2312" w:eastAsia="仿宋_GB2312"/>
                <w:sz w:val="18"/>
                <w:color w:val="000000"/>
              </w:rPr>
              <w:t>（1）质量要求：中标人必须严格按照有关施工和验收规范进行施工，保证达到本工程 “合格”的质量标准，通过有关部门验收。</w:t>
            </w:r>
          </w:p>
          <w:p>
            <w:pPr>
              <w:pStyle w:val="null3"/>
              <w:jc w:val="left"/>
            </w:pPr>
            <w:r>
              <w:rPr>
                <w:rFonts w:ascii="仿宋_GB2312" w:hAnsi="仿宋_GB2312" w:cs="仿宋_GB2312" w:eastAsia="仿宋_GB2312"/>
                <w:sz w:val="18"/>
                <w:color w:val="000000"/>
              </w:rPr>
              <w:t>（2）验收方法：验收应按公路工程适用的规范或标准及其他相关的规范和标准执行。</w:t>
            </w:r>
          </w:p>
          <w:p>
            <w:pPr>
              <w:pStyle w:val="null3"/>
              <w:jc w:val="left"/>
            </w:pPr>
            <w:r>
              <w:rPr>
                <w:rFonts w:ascii="仿宋_GB2312" w:hAnsi="仿宋_GB2312" w:cs="仿宋_GB2312" w:eastAsia="仿宋_GB2312"/>
                <w:sz w:val="18"/>
                <w:color w:val="000000"/>
              </w:rPr>
              <w:t>（3）依据设计文件要求：本招标工程项目的材料、设备、施工必须达到现行中华人民共和国及省、市、行业的一切有关工程建设标准、法规、规范的要求。</w:t>
            </w:r>
          </w:p>
          <w:p>
            <w:pPr>
              <w:pStyle w:val="null3"/>
              <w:jc w:val="left"/>
            </w:pPr>
            <w:r>
              <w:rPr>
                <w:rFonts w:ascii="仿宋_GB2312" w:hAnsi="仿宋_GB2312" w:cs="仿宋_GB2312" w:eastAsia="仿宋_GB2312"/>
                <w:sz w:val="18"/>
                <w:color w:val="000000"/>
              </w:rPr>
              <w:t>（4）以最新标准为准。</w:t>
            </w:r>
          </w:p>
          <w:p>
            <w:pPr>
              <w:pStyle w:val="null3"/>
              <w:jc w:val="left"/>
            </w:pPr>
            <w:r>
              <w:rPr>
                <w:rFonts w:ascii="仿宋_GB2312" w:hAnsi="仿宋_GB2312" w:cs="仿宋_GB2312" w:eastAsia="仿宋_GB2312"/>
                <w:sz w:val="18"/>
                <w:color w:val="000000"/>
              </w:rPr>
              <w:t>二、根据工程设计要求，该项工程的材料、施工除必须达到以上标准外，还应满足设计要求和采购人在招标文件中的有关要求。</w:t>
            </w:r>
          </w:p>
          <w:p>
            <w:pPr>
              <w:pStyle w:val="null3"/>
              <w:jc w:val="left"/>
            </w:pPr>
            <w:r>
              <w:rPr>
                <w:rFonts w:ascii="仿宋_GB2312" w:hAnsi="仿宋_GB2312" w:cs="仿宋_GB2312" w:eastAsia="仿宋_GB2312"/>
                <w:sz w:val="18"/>
                <w:color w:val="000000"/>
              </w:rPr>
              <w:t>三、本工程所有主要材料必须符合设计要求及国家有关规定，有出厂合格证，经质检部门检验合格。</w:t>
            </w:r>
          </w:p>
          <w:p>
            <w:pPr>
              <w:pStyle w:val="null3"/>
              <w:jc w:val="left"/>
            </w:pPr>
            <w:r>
              <w:rPr>
                <w:rFonts w:ascii="仿宋_GB2312" w:hAnsi="仿宋_GB2312" w:cs="仿宋_GB2312" w:eastAsia="仿宋_GB2312"/>
                <w:sz w:val="18"/>
                <w:color w:val="000000"/>
              </w:rPr>
              <w:t>四、未尽的工程质量技术要求均按现行国家、省、市有关规范和标准执行。</w:t>
            </w:r>
          </w:p>
          <w:p>
            <w:pPr>
              <w:pStyle w:val="null3"/>
              <w:jc w:val="left"/>
            </w:pPr>
            <w:r>
              <w:rPr>
                <w:rFonts w:ascii="仿宋_GB2312" w:hAnsi="仿宋_GB2312" w:cs="仿宋_GB2312" w:eastAsia="仿宋_GB2312"/>
                <w:sz w:val="18"/>
                <w:color w:val="000000"/>
              </w:rPr>
              <w:t>五、工程量固化清单、清单编制说明及施工图纸（另附）。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1、工期：180日历天；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投标保证金若采用银行转账(转账时请各投标企业备注：项目名称+投标保证金，以便核查。)采用转账支票或银行电汇形式提交的投标保证金必须从其基本账户转出，必须在进账单或电汇单注明项目名称。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供应商须具有建设行政主管部门颁发的公路工程施工总承包三级及以上资质，具有有效的安全生产许可证，供应商需在项目电子化交易系统中按要求上传相应证明文件并进行电子签章;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公路工程专业注册建造师二级及以上资格和有效的安全生产考核合格B证，在本单位注册且未担任其他在建工程的项目负责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180日历天</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技术响应方案.pdf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安全目标</w:t>
            </w:r>
          </w:p>
        </w:tc>
        <w:tc>
          <w:tcPr>
            <w:tcW w:type="dxa" w:w="3322"/>
          </w:tcPr>
          <w:p>
            <w:pPr>
              <w:pStyle w:val="null3"/>
            </w:pPr>
            <w:r>
              <w:rPr>
                <w:rFonts w:ascii="仿宋_GB2312" w:hAnsi="仿宋_GB2312" w:cs="仿宋_GB2312" w:eastAsia="仿宋_GB2312"/>
              </w:rPr>
              <w:t>参建人员“零死亡”目标</w:t>
            </w:r>
          </w:p>
        </w:tc>
        <w:tc>
          <w:tcPr>
            <w:tcW w:type="dxa" w:w="1661"/>
          </w:tcPr>
          <w:p>
            <w:pPr>
              <w:pStyle w:val="null3"/>
            </w:pPr>
            <w:r>
              <w:rPr>
                <w:rFonts w:ascii="仿宋_GB2312" w:hAnsi="仿宋_GB2312" w:cs="仿宋_GB2312" w:eastAsia="仿宋_GB2312"/>
              </w:rPr>
              <w:t>技术响应方案.pdf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投标保证金缴纳凭证粘贴处.pdf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投标保证金缴纳凭证粘贴处.pdf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