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版本号：KY2026-1-74320260902001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加强型行星式球磨机采购项目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KY2026-1-743</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加强型行星式球磨机采购项目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KY2026-1-743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加强型行星式球磨机采购项目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具体采购内容详见技术参数与性能指标。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采购包1（加强型行星式球磨机）：属于专门面向中小企业采购。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1、法定代表人授权委托书：法定代表人授权书及被授权人身份证明。（法定代表人直接谈判只须提供其身份证明）</w:t>
      </w:r>
    </w:p>
    <w:p>
      <w:pPr>
        <w:pStyle w:val="null3"/>
      </w:pPr>
      <w:r>
        <w:rPr>
          <w:rFonts w:ascii="仿宋_GB2312" w:hAnsi="仿宋_GB2312" w:cs="仿宋_GB2312" w:eastAsia="仿宋_GB2312"/>
        </w:rPr>
        <w:t>2、声明函：本项目专门面向中小企业采购，响应产品的制造商应为中型企业或小型、微型企业或监狱企业或残疾人福利性单位，供应商须提供声明函。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李成龙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银行账号：86113010750181502001655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 5 %作为履约保证金，待合同履约完毕后无息退还。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代理服务费收费标准：成交供应商应依据成交金额向采购代理机构交纳成交服务费，交费金额以国家计委颁布的《招标代理服务收费管理暂行办法》(计价格[2002]1980号)文件为依据计代理服务费，按照以下要求计： 1、项目金额在100万元及以下的，按中标金额全额计取； 2、项目金额超过100万元的，100万元及以下部分全额计取，超出部分按75%计取。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联系人：杭琨、刘金柯</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具体采购内容详见谈判文件第三章。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470,000.00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加强型行星式球磨机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标的名称：加强型行星式球磨机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jc w:val="left"/>
            </w:pPr>
            <w:r>
              <w:rPr>
                <w:rFonts w:ascii="仿宋_GB2312" w:hAnsi="仿宋_GB2312" w:cs="仿宋_GB2312" w:eastAsia="仿宋_GB2312"/>
                <w:sz w:val="28"/>
                <w:b/>
                <w:color w:val="000000"/>
              </w:rPr>
              <w:t>1.</w:t>
            </w:r>
            <w:r>
              <w:rPr>
                <w:rFonts w:ascii="仿宋_GB2312" w:hAnsi="仿宋_GB2312" w:cs="仿宋_GB2312" w:eastAsia="仿宋_GB2312"/>
                <w:sz w:val="28"/>
                <w:b/>
                <w:color w:val="000000"/>
              </w:rPr>
              <w:t>采购清单及技术标准、配置要求：</w:t>
            </w:r>
          </w:p>
          <w:p>
            <w:pPr>
              <w:pStyle w:val="null3"/>
            </w:pPr>
            <w:r>
              <w:rPr>
                <w:rFonts w:ascii="仿宋_GB2312" w:hAnsi="仿宋_GB2312" w:cs="仿宋_GB2312" w:eastAsia="仿宋_GB2312"/>
                <w:sz w:val="24"/>
                <w:b/>
                <w:color w:val="000000"/>
                <w:shd w:fill="FFFFFF" w:val="clear"/>
              </w:rPr>
              <w:t>一、</w:t>
            </w:r>
            <w:r>
              <w:rPr>
                <w:rFonts w:ascii="仿宋_GB2312" w:hAnsi="仿宋_GB2312" w:cs="仿宋_GB2312" w:eastAsia="仿宋_GB2312"/>
                <w:sz w:val="24"/>
                <w:b/>
                <w:color w:val="000000"/>
                <w:shd w:fill="FFFFFF" w:val="clear"/>
              </w:rPr>
              <w:t>采购清单</w:t>
            </w:r>
          </w:p>
          <w:tbl>
            <w:tblPr>
              <w:tblBorders>
                <w:top w:val="none" w:color="000000" w:sz="4"/>
                <w:left w:val="none" w:color="000000" w:sz="4"/>
                <w:bottom w:val="none" w:color="000000" w:sz="4"/>
                <w:right w:val="none" w:color="000000" w:sz="4"/>
                <w:insideH w:val="none"/>
                <w:insideV w:val="none"/>
              </w:tblBorders>
            </w:tblPr>
            <w:tblGrid>
              <w:gridCol w:w="287"/>
              <w:gridCol w:w="1198"/>
              <w:gridCol w:w="547"/>
              <w:gridCol w:w="521"/>
            </w:tblGrid>
            <w:tr>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shd w:fill="FFFFFF" w:val="clear"/>
                    </w:rPr>
                    <w:t>序号</w:t>
                  </w:r>
                </w:p>
              </w:tc>
              <w:tc>
                <w:tcPr>
                  <w:tcW w:type="dxa" w:w="11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shd w:fill="FFFFFF" w:val="clear"/>
                    </w:rPr>
                    <w:t>产品名称</w:t>
                  </w:r>
                </w:p>
              </w:tc>
              <w:tc>
                <w:tcPr>
                  <w:tcW w:type="dxa" w:w="5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shd w:fill="FFFFFF" w:val="clear"/>
                    </w:rPr>
                    <w:t>数量</w:t>
                  </w:r>
                </w:p>
              </w:tc>
              <w:tc>
                <w:tcPr>
                  <w:tcW w:type="dxa" w:w="5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shd w:fill="FFFFFF" w:val="clear"/>
                    </w:rPr>
                    <w:t>单位</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加强型行星式球磨机</w:t>
                  </w:r>
                </w:p>
                <w:p>
                  <w:pPr>
                    <w:pStyle w:val="null3"/>
                    <w:spacing w:after="120"/>
                    <w:jc w:val="center"/>
                  </w:pPr>
                  <w:r>
                    <w:rPr>
                      <w:rFonts w:ascii="仿宋_GB2312" w:hAnsi="仿宋_GB2312" w:cs="仿宋_GB2312" w:eastAsia="仿宋_GB2312"/>
                      <w:sz w:val="24"/>
                      <w:b/>
                      <w:color w:val="000000"/>
                    </w:rPr>
                    <w:t>【核心产品】</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r>
          </w:tbl>
          <w:p>
            <w:pPr>
              <w:pStyle w:val="null3"/>
              <w:jc w:val="left"/>
            </w:pPr>
            <w:r>
              <w:rPr>
                <w:rFonts w:ascii="仿宋_GB2312" w:hAnsi="仿宋_GB2312" w:cs="仿宋_GB2312" w:eastAsia="仿宋_GB2312"/>
                <w:sz w:val="24"/>
                <w:b/>
                <w:color w:val="000000"/>
              </w:rPr>
              <w:t>二、技术标准、配置要求</w:t>
            </w:r>
          </w:p>
          <w:tbl>
            <w:tblPr>
              <w:tblBorders>
                <w:top w:val="none" w:color="000000" w:sz="4"/>
                <w:left w:val="none" w:color="000000" w:sz="4"/>
                <w:bottom w:val="none" w:color="000000" w:sz="4"/>
                <w:right w:val="none" w:color="000000" w:sz="4"/>
                <w:insideH w:val="none"/>
                <w:insideV w:val="none"/>
              </w:tblBorders>
            </w:tblPr>
            <w:tblGrid>
              <w:gridCol w:w="127"/>
              <w:gridCol w:w="233"/>
              <w:gridCol w:w="1282"/>
              <w:gridCol w:w="713"/>
              <w:gridCol w:w="191"/>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序号</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产品名称</w:t>
                  </w:r>
                </w:p>
              </w:tc>
              <w:tc>
                <w:tcPr>
                  <w:tcW w:type="dxa" w:w="12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技术标准</w:t>
                  </w:r>
                </w:p>
              </w:tc>
              <w:tc>
                <w:tcPr>
                  <w:tcW w:type="dxa" w:w="7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配置要求</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数量</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加强型行星式球磨机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、最大进样尺寸≤10mm；出样尺寸:≤0.1μm；（取决于样品材质）</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、研磨平台数：≥2；</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、转速:主盘转速最高≥800转/分，研磨罐相对转速≥1600转，离心加速度≥64g；</w:t>
                  </w:r>
                  <w:r>
                    <w:rPr>
                      <w:rFonts w:ascii="仿宋_GB2312" w:hAnsi="仿宋_GB2312" w:cs="仿宋_GB2312" w:eastAsia="仿宋_GB2312"/>
                      <w:sz w:val="21"/>
                      <w:b/>
                      <w:color w:val="000000"/>
                    </w:rPr>
                    <w:t>（提供佐证材料）</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、电机驱动功率≥2500w;</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、有效太阳轮直径：≤190毫米；</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、研磨罐容积：125±30毫升， 250±50毫升；</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、研磨罐可自动定位和锁紧,且研磨罐具有RFID自动识别和定位功能；</w:t>
                  </w:r>
                  <w:r>
                    <w:rPr>
                      <w:rFonts w:ascii="仿宋_GB2312" w:hAnsi="仿宋_GB2312" w:cs="仿宋_GB2312" w:eastAsia="仿宋_GB2312"/>
                      <w:sz w:val="21"/>
                      <w:b/>
                      <w:color w:val="000000"/>
                    </w:rPr>
                    <w:t>（提供佐证材料）</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、自带风控制冷系统；</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、配备PTM系统，记录研磨过程中罐内压力及温度变化，量化研磨能量输入；</w:t>
                  </w:r>
                  <w:r>
                    <w:rPr>
                      <w:rFonts w:ascii="仿宋_GB2312" w:hAnsi="仿宋_GB2312" w:cs="仿宋_GB2312" w:eastAsia="仿宋_GB2312"/>
                      <w:sz w:val="21"/>
                      <w:b/>
                      <w:color w:val="000000"/>
                    </w:rPr>
                    <w:t>（提供佐证材料）</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配备振动筛分仪， 最小筛分范围≤25μm；</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二年的保修期，仪器终生维护；生产厂商获得ISO9001质量管理体系认证，且具有≥15年生产、销售、研发能力。</w:t>
                  </w:r>
                  <w:r>
                    <w:rPr>
                      <w:rFonts w:ascii="仿宋_GB2312" w:hAnsi="仿宋_GB2312" w:cs="仿宋_GB2312" w:eastAsia="仿宋_GB2312"/>
                      <w:sz w:val="21"/>
                      <w:b/>
                      <w:color w:val="000000"/>
                    </w:rPr>
                    <w:t>（提供佐证资料）</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主机： 1台</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球磨罐：</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氧化锆125±30ml  带温度压力监测 2个；</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氧化锆250±50ml  2个， 配通气盖和安全环（充惰性气体使用）；</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）氧化锆500±30ml 2个，配通气盖和安全环（充惰性气体使用）；</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不锈钢150±30ml  2个，配通气盖和安全环（充惰性气体使用）；</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不锈钢250±50ml  2个，配通气盖和安全环（充惰性气体使用）</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研磨介质：需满足不同球磨罐配套使用要求；</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振动筛分仪 1套；</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1</w:t>
                  </w:r>
                </w:p>
              </w:tc>
            </w:tr>
          </w:tbl>
          <w:p>
            <w:pPr>
              <w:pStyle w:val="null3"/>
            </w:pPr>
            <w:r>
              <w:rPr>
                <w:rFonts w:ascii="仿宋_GB2312" w:hAnsi="仿宋_GB2312" w:cs="仿宋_GB2312" w:eastAsia="仿宋_GB2312"/>
                <w:sz w:val="24"/>
                <w:b/>
                <w:color w:val="000000"/>
              </w:rPr>
              <w:t>备注：所有</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不允许负偏离，任意一项负偏离按无效文件处理。需提供佐证材料的</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佐证材料包括但不限于产品彩页、厂家盖章出具的技术白皮书、官网截图等（技术要求中有佐证要求的以技术要求为准）。未提供或提供的佐证材料低于文件规定的相应技术参数时视为负偏离。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交货期：合同签订之日起45日历日内完成交付、安装及调试。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交货地点：西安建筑科技大学北院冶金南楼101。</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1、质保期：验收合格通过之日起 2 年。 2、售后服务响应时间（质保期内）：即时响应（包括电话响应）；电话响应无法解决 36 小时内到达现场。修复时间 6 小时内解决；如在 6 小时内无法修复，则提供部件冗余服务或采取应急措施，提供相同产品或不低于故障产品规格档次的备用产品供采购人使用，以确保货物的正常使用。 3、培训内容及要求： 设备的使用、常见故障排除、日常维护 。</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成交）结果发布后，中标（成交）供应商在2个工作日内向采购代理机构提供一正一副（和上传文件保持一致的）、电子版壹份（U盘壹份注明单位名称）,纸质投标（响应）文件用于备案及档案保存。纸质谈判响应文件正副本分别胶装（纸质谈判响应文件建议采用双面打印）。 2、保证金的退还：自成交通知书发出之日起5个工作日内退还未成交供应商的谈判保证金,自采购合同签订之日起5个工作日内退还成交供应商的谈判保证金。 3、采购人应按照采购文件和成交供应商响应文件，在成交通知书发出之日起25日内签订合同。 4、本项目谈判报价包括设备配套固定件、安装与调试。 5、供应商所投产品为成熟商业化产品，不接受处于科研阶段或需定制的产品。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8月至今已缴纳至少一个月的依法缴纳税款的相关凭据（时间以税款所属日期为准），凭据应有税务机关或代收机关的公章或业务专用章。依法免税或无须缴纳税款的投标人，应提供相关证明文件。 ③社会保障资金缴存证明：提供2025年8月至今已缴存的至少一个月的社会保障资金缴存单据或社保机构开具的社会保险参保缴费情况证明，依法不需要缴纳社会保障资金的单位应提供相关证明材料。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响应函 5供应商资格条件证明文件.docx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①提供审计报告的，根据《财政部关于注册会计师行业统一监管平台上线运行的通知》财办(2022)32号文件要求，审计报告须有清晰可扫描查询的二维码（注册会计师行业统一监管平台(网址http://acc.mof.gov.cn)赋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5供应商资格条件证明文件.docx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法定代表人授权书及被授权人身份证明。（法定代表人直接谈判只须提供其身份证明）</w:t>
            </w:r>
          </w:p>
        </w:tc>
        <w:tc>
          <w:tcPr>
            <w:tcW w:type="dxa" w:w="1661"/>
          </w:tcPr>
          <w:p>
            <w:pPr>
              <w:pStyle w:val="null3"/>
            </w:pPr>
            <w:r>
              <w:rPr>
                <w:rFonts w:ascii="仿宋_GB2312" w:hAnsi="仿宋_GB2312" w:cs="仿宋_GB2312" w:eastAsia="仿宋_GB2312"/>
              </w:rPr>
              <w:t>5供应商资格条件证明文件.docx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本项目专门面向中小企业采购，响应产品的制造商应为中型企业或小型、微型企业或监狱企业或残疾人福利性单位，供应商须提供声明函。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5供应商资格条件证明文件.docx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1响应报价表.docx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有下列情形之一的，应在符合性审查时按照无效响应处理： (1)响应文件未按照采购文件规定要求签署、盖章； (2)不满足本谈判文件中“交货时间、交货地点、采购资金的支付方式及约定、质量保修范围和保修期”的实质性条款要求； (3)谈判有效期不足或无有效期； (4)报价超过谈判文件中规定的最高限价； (5)保证金交纳不符合谈判文件要求； (6)未提供或未填写产品使用寿命承诺函； (7)法律、法规和谈判文件规定的其他无效情形。</w:t>
            </w:r>
          </w:p>
        </w:tc>
        <w:tc>
          <w:tcPr>
            <w:tcW w:type="dxa" w:w="1661"/>
          </w:tcPr>
          <w:p>
            <w:pPr>
              <w:pStyle w:val="null3"/>
            </w:pPr>
            <w:r>
              <w:rPr>
                <w:rFonts w:ascii="仿宋_GB2312" w:hAnsi="仿宋_GB2312" w:cs="仿宋_GB2312" w:eastAsia="仿宋_GB2312"/>
              </w:rPr>
              <w:t>中小企业声明函.docx 8保证金缴纳凭证.docx 4商务条款响应说明.docx 报价表 6谈判响应方案说明.docx 响应文件封面 3技术指标偏差表.docx 残疾人福利性单位声明函 标的清单 2分项报价表.docx 1响应报价表.docx 响应函 监狱企业的证明文件 7供应商承诺书.docx 5供应商资格条件证明文件.docx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详见附件：1响应报价表.docx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详见附件：3技术指标偏差表.docx</w:t>
      </w:r>
    </w:p>
    <w:p>
      <w:pPr>
        <w:pStyle w:val="null3"/>
        <w:ind w:firstLine="960"/>
      </w:pPr>
      <w:r>
        <w:rPr>
          <w:rFonts w:ascii="仿宋_GB2312" w:hAnsi="仿宋_GB2312" w:cs="仿宋_GB2312" w:eastAsia="仿宋_GB2312"/>
        </w:rPr>
        <w:t>详见附件：4商务条款响应说明.docx</w:t>
      </w:r>
    </w:p>
    <w:p>
      <w:pPr>
        <w:pStyle w:val="null3"/>
        <w:ind w:firstLine="960"/>
      </w:pPr>
      <w:r>
        <w:rPr>
          <w:rFonts w:ascii="仿宋_GB2312" w:hAnsi="仿宋_GB2312" w:cs="仿宋_GB2312" w:eastAsia="仿宋_GB2312"/>
        </w:rPr>
        <w:t>详见附件：5供应商资格条件证明文件.docx</w:t>
      </w:r>
    </w:p>
    <w:p>
      <w:pPr>
        <w:pStyle w:val="null3"/>
        <w:ind w:firstLine="960"/>
      </w:pPr>
      <w:r>
        <w:rPr>
          <w:rFonts w:ascii="仿宋_GB2312" w:hAnsi="仿宋_GB2312" w:cs="仿宋_GB2312" w:eastAsia="仿宋_GB2312"/>
        </w:rPr>
        <w:t>详见附件：6谈判响应方案说明.docx</w:t>
      </w:r>
    </w:p>
    <w:p>
      <w:pPr>
        <w:pStyle w:val="null3"/>
        <w:ind w:firstLine="960"/>
      </w:pPr>
      <w:r>
        <w:rPr>
          <w:rFonts w:ascii="仿宋_GB2312" w:hAnsi="仿宋_GB2312" w:cs="仿宋_GB2312" w:eastAsia="仿宋_GB2312"/>
        </w:rPr>
        <w:t>详见附件：7供应商承诺书.docx</w:t>
      </w:r>
    </w:p>
    <w:p>
      <w:pPr>
        <w:pStyle w:val="null3"/>
        <w:ind w:firstLine="960"/>
      </w:pPr>
      <w:r>
        <w:rPr>
          <w:rFonts w:ascii="仿宋_GB2312" w:hAnsi="仿宋_GB2312" w:cs="仿宋_GB2312" w:eastAsia="仿宋_GB2312"/>
        </w:rPr>
        <w:t>详见附件：8保证金缴纳凭证.docx</w:t>
      </w:r>
    </w:p>
    <w:p>
      <w:pPr>
        <w:pStyle w:val="null3"/>
        <w:ind w:firstLine="960"/>
      </w:pPr>
      <w:r>
        <w:rPr>
          <w:rFonts w:ascii="仿宋_GB2312" w:hAnsi="仿宋_GB2312" w:cs="仿宋_GB2312" w:eastAsia="仿宋_GB2312"/>
        </w:rPr>
        <w:t>详见附件：中小企业声明函.docx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