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ED650">
      <w:pPr>
        <w:shd w:val="clear"/>
        <w:spacing w:before="330" w:line="224" w:lineRule="auto"/>
        <w:ind w:left="139"/>
        <w:jc w:val="right"/>
        <w:rPr>
          <w:rFonts w:hint="eastAsia" w:ascii="宋体" w:hAnsi="宋体" w:eastAsia="宋体" w:cs="宋体"/>
          <w:sz w:val="24"/>
          <w:szCs w:val="24"/>
          <w:highlight w:val="none"/>
        </w:rPr>
      </w:pPr>
      <w:bookmarkStart w:id="1" w:name="_GoBack"/>
      <w:bookmarkEnd w:id="1"/>
      <w:r>
        <w:rPr>
          <w:rFonts w:hint="eastAsia" w:cs="宋体"/>
          <w:spacing w:val="-4"/>
          <w:sz w:val="24"/>
          <w:szCs w:val="24"/>
          <w:highlight w:val="none"/>
          <w:lang w:val="en-US" w:eastAsia="zh-CN"/>
        </w:rPr>
        <w:t>合同</w:t>
      </w:r>
      <w:r>
        <w:rPr>
          <w:rFonts w:hint="eastAsia" w:ascii="宋体" w:hAnsi="宋体" w:eastAsia="宋体" w:cs="宋体"/>
          <w:spacing w:val="-4"/>
          <w:sz w:val="24"/>
          <w:szCs w:val="24"/>
          <w:highlight w:val="none"/>
        </w:rPr>
        <w:t>编号：</w:t>
      </w:r>
    </w:p>
    <w:p w14:paraId="35D6F28F">
      <w:pPr>
        <w:pStyle w:val="4"/>
        <w:shd w:val="clear"/>
        <w:spacing w:line="251" w:lineRule="auto"/>
        <w:rPr>
          <w:rFonts w:hint="eastAsia" w:ascii="宋体" w:hAnsi="宋体" w:eastAsia="宋体" w:cs="宋体"/>
          <w:highlight w:val="none"/>
        </w:rPr>
      </w:pPr>
    </w:p>
    <w:p w14:paraId="5187DC3A">
      <w:pPr>
        <w:pStyle w:val="4"/>
        <w:shd w:val="clear"/>
        <w:spacing w:line="251" w:lineRule="auto"/>
        <w:rPr>
          <w:rFonts w:hint="eastAsia" w:ascii="宋体" w:hAnsi="宋体" w:eastAsia="宋体" w:cs="宋体"/>
          <w:highlight w:val="none"/>
        </w:rPr>
      </w:pPr>
    </w:p>
    <w:p w14:paraId="501F3BC2">
      <w:pPr>
        <w:pStyle w:val="4"/>
        <w:shd w:val="clear"/>
        <w:spacing w:line="251" w:lineRule="auto"/>
        <w:rPr>
          <w:rFonts w:hint="eastAsia" w:ascii="宋体" w:hAnsi="宋体" w:eastAsia="宋体" w:cs="宋体"/>
          <w:highlight w:val="none"/>
        </w:rPr>
      </w:pPr>
    </w:p>
    <w:p w14:paraId="2D8A3359">
      <w:pPr>
        <w:pStyle w:val="4"/>
        <w:shd w:val="clear"/>
        <w:spacing w:line="251" w:lineRule="auto"/>
        <w:rPr>
          <w:rFonts w:hint="eastAsia" w:ascii="宋体" w:hAnsi="宋体" w:eastAsia="宋体" w:cs="宋体"/>
          <w:highlight w:val="none"/>
        </w:rPr>
      </w:pPr>
    </w:p>
    <w:p w14:paraId="5DD5DF4F">
      <w:pPr>
        <w:pStyle w:val="4"/>
        <w:shd w:val="clear"/>
        <w:spacing w:line="251" w:lineRule="auto"/>
        <w:rPr>
          <w:rFonts w:hint="eastAsia" w:ascii="宋体" w:hAnsi="宋体" w:eastAsia="宋体" w:cs="宋体"/>
          <w:highlight w:val="none"/>
        </w:rPr>
      </w:pPr>
    </w:p>
    <w:p w14:paraId="517E5FCF">
      <w:pPr>
        <w:pStyle w:val="4"/>
        <w:shd w:val="clear"/>
        <w:spacing w:line="251" w:lineRule="auto"/>
        <w:rPr>
          <w:rFonts w:hint="eastAsia" w:ascii="宋体" w:hAnsi="宋体" w:eastAsia="宋体" w:cs="宋体"/>
          <w:highlight w:val="none"/>
        </w:rPr>
      </w:pPr>
    </w:p>
    <w:p w14:paraId="5EE2980D">
      <w:pPr>
        <w:shd w:val="clear"/>
        <w:spacing w:before="179" w:line="223" w:lineRule="auto"/>
        <w:ind w:left="101"/>
        <w:jc w:val="center"/>
        <w:rPr>
          <w:rFonts w:hint="eastAsia" w:ascii="宋体" w:hAnsi="宋体" w:eastAsia="宋体" w:cs="宋体"/>
          <w:sz w:val="44"/>
          <w:szCs w:val="44"/>
          <w:highlight w:val="none"/>
          <w:lang w:eastAsia="zh-CN"/>
        </w:rPr>
      </w:pPr>
      <w:bookmarkStart w:id="0" w:name="bookmark8"/>
      <w:bookmarkEnd w:id="0"/>
      <w:r>
        <w:rPr>
          <w:rFonts w:hint="eastAsia" w:cs="宋体"/>
          <w:spacing w:val="7"/>
          <w:sz w:val="44"/>
          <w:szCs w:val="44"/>
          <w:highlight w:val="none"/>
          <w:lang w:eastAsia="zh-CN"/>
        </w:rPr>
        <w:t>2026年后勤服务外包项目</w:t>
      </w:r>
    </w:p>
    <w:p w14:paraId="2DE9F714">
      <w:pPr>
        <w:pStyle w:val="4"/>
        <w:shd w:val="clear"/>
        <w:spacing w:line="259" w:lineRule="auto"/>
        <w:rPr>
          <w:rFonts w:hint="eastAsia" w:ascii="宋体" w:hAnsi="宋体" w:eastAsia="宋体" w:cs="宋体"/>
          <w:highlight w:val="none"/>
        </w:rPr>
      </w:pPr>
    </w:p>
    <w:p w14:paraId="35DF1319">
      <w:pPr>
        <w:pStyle w:val="4"/>
        <w:shd w:val="clear"/>
        <w:spacing w:line="259" w:lineRule="auto"/>
        <w:rPr>
          <w:rFonts w:hint="eastAsia" w:ascii="宋体" w:hAnsi="宋体" w:eastAsia="宋体" w:cs="宋体"/>
          <w:highlight w:val="none"/>
        </w:rPr>
      </w:pPr>
    </w:p>
    <w:p w14:paraId="390C7C05">
      <w:pPr>
        <w:shd w:val="clear"/>
        <w:rPr>
          <w:rFonts w:hint="eastAsia"/>
          <w:highlight w:val="none"/>
        </w:rPr>
      </w:pPr>
    </w:p>
    <w:p w14:paraId="091C41E7">
      <w:pPr>
        <w:pStyle w:val="4"/>
        <w:shd w:val="clear"/>
        <w:spacing w:line="259" w:lineRule="auto"/>
        <w:rPr>
          <w:rFonts w:hint="eastAsia" w:ascii="宋体" w:hAnsi="宋体" w:eastAsia="宋体" w:cs="宋体"/>
          <w:highlight w:val="none"/>
        </w:rPr>
      </w:pPr>
    </w:p>
    <w:p w14:paraId="09E16795">
      <w:pPr>
        <w:shd w:val="clea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6EC7ED7E">
      <w:pPr>
        <w:pStyle w:val="4"/>
        <w:shd w:val="clear"/>
        <w:spacing w:line="242" w:lineRule="auto"/>
        <w:rPr>
          <w:rFonts w:hint="eastAsia" w:ascii="宋体" w:hAnsi="宋体" w:eastAsia="宋体" w:cs="宋体"/>
          <w:highlight w:val="none"/>
        </w:rPr>
      </w:pPr>
    </w:p>
    <w:p w14:paraId="62E318A6">
      <w:pPr>
        <w:pStyle w:val="4"/>
        <w:shd w:val="clear"/>
        <w:spacing w:line="242" w:lineRule="auto"/>
        <w:rPr>
          <w:rFonts w:hint="eastAsia" w:ascii="宋体" w:hAnsi="宋体" w:eastAsia="宋体" w:cs="宋体"/>
          <w:highlight w:val="none"/>
        </w:rPr>
      </w:pPr>
    </w:p>
    <w:p w14:paraId="2EB057F6">
      <w:pPr>
        <w:pStyle w:val="4"/>
        <w:shd w:val="clear"/>
        <w:spacing w:line="242" w:lineRule="auto"/>
        <w:rPr>
          <w:rFonts w:hint="eastAsia" w:ascii="宋体" w:hAnsi="宋体" w:eastAsia="宋体" w:cs="宋体"/>
          <w:highlight w:val="none"/>
        </w:rPr>
      </w:pPr>
    </w:p>
    <w:p w14:paraId="1DB8C3B7">
      <w:pPr>
        <w:pStyle w:val="4"/>
        <w:shd w:val="clear"/>
        <w:spacing w:line="242" w:lineRule="auto"/>
        <w:rPr>
          <w:rFonts w:hint="eastAsia" w:ascii="宋体" w:hAnsi="宋体" w:eastAsia="宋体" w:cs="宋体"/>
          <w:highlight w:val="none"/>
        </w:rPr>
      </w:pPr>
    </w:p>
    <w:p w14:paraId="15D2F4C3">
      <w:pPr>
        <w:pStyle w:val="4"/>
        <w:shd w:val="clear"/>
        <w:spacing w:line="242" w:lineRule="auto"/>
        <w:rPr>
          <w:rFonts w:hint="eastAsia" w:ascii="宋体" w:hAnsi="宋体" w:eastAsia="宋体" w:cs="宋体"/>
          <w:highlight w:val="none"/>
        </w:rPr>
      </w:pPr>
    </w:p>
    <w:p w14:paraId="655E47B1">
      <w:pPr>
        <w:pStyle w:val="4"/>
        <w:shd w:val="clear"/>
        <w:spacing w:line="242" w:lineRule="auto"/>
        <w:rPr>
          <w:rFonts w:hint="eastAsia" w:ascii="宋体" w:hAnsi="宋体" w:eastAsia="宋体" w:cs="宋体"/>
          <w:highlight w:val="none"/>
        </w:rPr>
      </w:pPr>
    </w:p>
    <w:p w14:paraId="0B091825">
      <w:pPr>
        <w:pStyle w:val="4"/>
        <w:shd w:val="clear"/>
        <w:spacing w:line="242" w:lineRule="auto"/>
        <w:rPr>
          <w:rFonts w:hint="eastAsia" w:ascii="宋体" w:hAnsi="宋体" w:eastAsia="宋体" w:cs="宋体"/>
          <w:highlight w:val="none"/>
        </w:rPr>
      </w:pPr>
    </w:p>
    <w:p w14:paraId="7F8D019C">
      <w:pPr>
        <w:pStyle w:val="4"/>
        <w:shd w:val="clear"/>
        <w:spacing w:line="242" w:lineRule="auto"/>
        <w:rPr>
          <w:rFonts w:hint="eastAsia" w:ascii="宋体" w:hAnsi="宋体" w:eastAsia="宋体" w:cs="宋体"/>
          <w:highlight w:val="none"/>
        </w:rPr>
      </w:pPr>
    </w:p>
    <w:p w14:paraId="0F5D5146">
      <w:pPr>
        <w:pStyle w:val="4"/>
        <w:shd w:val="clear"/>
        <w:spacing w:line="242" w:lineRule="auto"/>
        <w:rPr>
          <w:rFonts w:hint="eastAsia" w:ascii="宋体" w:hAnsi="宋体" w:eastAsia="宋体" w:cs="宋体"/>
          <w:highlight w:val="none"/>
        </w:rPr>
      </w:pPr>
    </w:p>
    <w:p w14:paraId="432A703C">
      <w:pPr>
        <w:pStyle w:val="4"/>
        <w:shd w:val="clear"/>
        <w:spacing w:line="242" w:lineRule="auto"/>
        <w:rPr>
          <w:rFonts w:hint="eastAsia" w:ascii="宋体" w:hAnsi="宋体" w:eastAsia="宋体" w:cs="宋体"/>
          <w:highlight w:val="none"/>
        </w:rPr>
      </w:pPr>
    </w:p>
    <w:p w14:paraId="6A72762C">
      <w:pPr>
        <w:pStyle w:val="4"/>
        <w:shd w:val="clear"/>
        <w:spacing w:line="242" w:lineRule="auto"/>
        <w:rPr>
          <w:rFonts w:hint="eastAsia" w:ascii="宋体" w:hAnsi="宋体" w:eastAsia="宋体" w:cs="宋体"/>
          <w:highlight w:val="none"/>
        </w:rPr>
      </w:pPr>
    </w:p>
    <w:p w14:paraId="72BF7A49">
      <w:pPr>
        <w:pStyle w:val="4"/>
        <w:shd w:val="clear"/>
        <w:spacing w:line="242" w:lineRule="auto"/>
        <w:rPr>
          <w:rFonts w:hint="eastAsia" w:ascii="宋体" w:hAnsi="宋体" w:eastAsia="宋体" w:cs="宋体"/>
          <w:highlight w:val="none"/>
        </w:rPr>
      </w:pPr>
    </w:p>
    <w:p w14:paraId="5C21AAF5">
      <w:pPr>
        <w:pStyle w:val="4"/>
        <w:shd w:val="clear"/>
        <w:spacing w:line="242" w:lineRule="auto"/>
        <w:rPr>
          <w:rFonts w:hint="eastAsia" w:ascii="宋体" w:hAnsi="宋体" w:eastAsia="宋体" w:cs="宋体"/>
          <w:highlight w:val="none"/>
        </w:rPr>
      </w:pPr>
    </w:p>
    <w:p w14:paraId="097E6889">
      <w:pPr>
        <w:pStyle w:val="4"/>
        <w:shd w:val="clear"/>
        <w:spacing w:line="242" w:lineRule="auto"/>
        <w:rPr>
          <w:rFonts w:hint="eastAsia" w:ascii="宋体" w:hAnsi="宋体" w:eastAsia="宋体" w:cs="宋体"/>
          <w:highlight w:val="none"/>
        </w:rPr>
      </w:pPr>
    </w:p>
    <w:p w14:paraId="3E5AC082">
      <w:pPr>
        <w:pStyle w:val="4"/>
        <w:shd w:val="clear"/>
        <w:spacing w:line="242" w:lineRule="auto"/>
        <w:rPr>
          <w:rFonts w:hint="eastAsia" w:ascii="宋体" w:hAnsi="宋体" w:eastAsia="宋体" w:cs="宋体"/>
          <w:highlight w:val="none"/>
        </w:rPr>
      </w:pPr>
    </w:p>
    <w:p w14:paraId="5E5A8C6B">
      <w:pPr>
        <w:pStyle w:val="4"/>
        <w:shd w:val="clear"/>
        <w:spacing w:line="243" w:lineRule="auto"/>
        <w:rPr>
          <w:rFonts w:hint="eastAsia" w:ascii="宋体" w:hAnsi="宋体" w:eastAsia="宋体" w:cs="宋体"/>
          <w:highlight w:val="none"/>
        </w:rPr>
      </w:pPr>
    </w:p>
    <w:p w14:paraId="4E96DA56">
      <w:pPr>
        <w:pStyle w:val="4"/>
        <w:shd w:val="clear"/>
        <w:spacing w:line="243" w:lineRule="auto"/>
        <w:rPr>
          <w:rFonts w:hint="eastAsia" w:ascii="宋体" w:hAnsi="宋体" w:eastAsia="宋体" w:cs="宋体"/>
          <w:highlight w:val="none"/>
        </w:rPr>
      </w:pPr>
    </w:p>
    <w:p w14:paraId="28F51842">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z w:val="24"/>
          <w:szCs w:val="24"/>
          <w:highlight w:val="none"/>
        </w:rPr>
        <w:t xml:space="preserve"> </w:t>
      </w:r>
    </w:p>
    <w:p w14:paraId="0C9832E3">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37E60D7D">
      <w:pPr>
        <w:pStyle w:val="4"/>
        <w:shd w:val="clear"/>
        <w:spacing w:line="252" w:lineRule="auto"/>
        <w:rPr>
          <w:rFonts w:hint="eastAsia" w:ascii="宋体" w:hAnsi="宋体" w:eastAsia="宋体" w:cs="宋体"/>
          <w:highlight w:val="none"/>
        </w:rPr>
      </w:pPr>
    </w:p>
    <w:p w14:paraId="54E48D92">
      <w:pPr>
        <w:pStyle w:val="4"/>
        <w:shd w:val="clear"/>
        <w:spacing w:line="253" w:lineRule="auto"/>
        <w:rPr>
          <w:rFonts w:hint="eastAsia" w:ascii="宋体" w:hAnsi="宋体" w:eastAsia="宋体" w:cs="宋体"/>
          <w:highlight w:val="none"/>
        </w:rPr>
      </w:pPr>
    </w:p>
    <w:p w14:paraId="6E8E511B">
      <w:pPr>
        <w:pStyle w:val="4"/>
        <w:shd w:val="clear"/>
        <w:spacing w:line="253" w:lineRule="auto"/>
        <w:rPr>
          <w:rFonts w:hint="eastAsia" w:ascii="宋体" w:hAnsi="宋体" w:eastAsia="宋体" w:cs="宋体"/>
          <w:highlight w:val="none"/>
        </w:rPr>
      </w:pPr>
    </w:p>
    <w:p w14:paraId="37EC3A17">
      <w:pPr>
        <w:pStyle w:val="4"/>
        <w:shd w:val="clear"/>
        <w:spacing w:line="253" w:lineRule="auto"/>
        <w:rPr>
          <w:rFonts w:hint="eastAsia" w:ascii="宋体" w:hAnsi="宋体" w:eastAsia="宋体" w:cs="宋体"/>
          <w:highlight w:val="none"/>
        </w:rPr>
      </w:pPr>
    </w:p>
    <w:p w14:paraId="5EDADFB6">
      <w:pPr>
        <w:shd w:val="clear"/>
        <w:spacing w:before="91" w:line="223" w:lineRule="auto"/>
        <w:ind w:left="3584"/>
        <w:rPr>
          <w:rFonts w:hint="eastAsia" w:ascii="宋体" w:hAnsi="宋体" w:eastAsia="宋体" w:cs="宋体"/>
          <w:sz w:val="28"/>
          <w:szCs w:val="28"/>
          <w:highlight w:val="none"/>
        </w:rPr>
      </w:pPr>
      <w:r>
        <w:rPr>
          <w:rFonts w:hint="eastAsia"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56E68455">
      <w:pPr>
        <w:shd w:val="clear"/>
        <w:spacing w:line="223" w:lineRule="auto"/>
        <w:rPr>
          <w:rFonts w:hint="eastAsia" w:ascii="宋体" w:hAnsi="宋体" w:eastAsia="宋体" w:cs="宋体"/>
          <w:sz w:val="28"/>
          <w:szCs w:val="28"/>
          <w:highlight w:val="none"/>
        </w:rPr>
        <w:sectPr>
          <w:footerReference r:id="rId3" w:type="default"/>
          <w:pgSz w:w="11906" w:h="16839"/>
          <w:pgMar w:top="1294" w:right="1417" w:bottom="1029" w:left="1416" w:header="1083" w:footer="815" w:gutter="0"/>
          <w:pgNumType w:fmt="decimal"/>
          <w:cols w:space="720" w:num="1"/>
        </w:sectPr>
      </w:pPr>
    </w:p>
    <w:p w14:paraId="70DDB15D">
      <w:pPr>
        <w:keepNext w:val="0"/>
        <w:keepLines w:val="0"/>
        <w:pageBreakBefore w:val="0"/>
        <w:widowControl w:val="0"/>
        <w:kinsoku/>
        <w:wordWrap/>
        <w:overflowPunct/>
        <w:topLinePunct w:val="0"/>
        <w:autoSpaceDE w:val="0"/>
        <w:autoSpaceDN w:val="0"/>
        <w:bidi w:val="0"/>
        <w:adjustRightInd w:val="0"/>
        <w:snapToGrid/>
        <w:spacing w:afterAutospacing="0" w:line="500" w:lineRule="exact"/>
        <w:jc w:val="center"/>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服务协议</w:t>
      </w:r>
    </w:p>
    <w:p w14:paraId="639D953D">
      <w:pPr>
        <w:pStyle w:val="4"/>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u w:val="single" w:color="auto"/>
        </w:rPr>
        <w:t xml:space="preserve"> </w:t>
      </w:r>
    </w:p>
    <w:p w14:paraId="18D46D51">
      <w:pPr>
        <w:pStyle w:val="4"/>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乙方：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cs="宋体"/>
          <w:spacing w:val="3"/>
          <w:sz w:val="21"/>
          <w:szCs w:val="21"/>
          <w:highlight w:val="none"/>
          <w:u w:val="single" w:color="auto"/>
          <w:lang w:val="en-US" w:eastAsia="zh-CN"/>
        </w:rPr>
        <w:t xml:space="preserve"> </w:t>
      </w:r>
    </w:p>
    <w:p w14:paraId="4CB26836">
      <w:pPr>
        <w:keepNext w:val="0"/>
        <w:keepLines w:val="0"/>
        <w:pageBreakBefore w:val="0"/>
        <w:widowControl/>
        <w:kinsoku/>
        <w:wordWrap w:val="0"/>
        <w:overflowPunct/>
        <w:topLinePunct/>
        <w:bidi w:val="0"/>
        <w:snapToGrid/>
        <w:spacing w:beforeAutospacing="0" w:afterAutospacing="0" w:line="500" w:lineRule="exact"/>
        <w:ind w:firstLine="396"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pacing w:val="-6"/>
          <w:sz w:val="21"/>
          <w:szCs w:val="21"/>
        </w:rPr>
        <w:t>根据《中华人民共和国民法典》《物业管理条例</w:t>
      </w:r>
      <w:r>
        <w:rPr>
          <w:rFonts w:hint="eastAsia" w:ascii="宋体" w:hAnsi="宋体" w:eastAsia="宋体" w:cs="宋体"/>
          <w:color w:val="auto"/>
          <w:spacing w:val="-6"/>
          <w:sz w:val="21"/>
          <w:szCs w:val="21"/>
          <w:lang w:eastAsia="zh-CN"/>
        </w:rPr>
        <w:t>》</w:t>
      </w:r>
      <w:r>
        <w:rPr>
          <w:rFonts w:hint="eastAsia" w:ascii="宋体" w:hAnsi="宋体" w:eastAsia="宋体" w:cs="宋体"/>
          <w:color w:val="auto"/>
          <w:spacing w:val="-6"/>
          <w:sz w:val="21"/>
          <w:szCs w:val="21"/>
        </w:rPr>
        <w:t>《中华人民共和国劳动</w:t>
      </w:r>
      <w:r>
        <w:rPr>
          <w:rFonts w:hint="eastAsia" w:ascii="宋体" w:hAnsi="宋体" w:eastAsia="宋体" w:cs="宋体"/>
          <w:color w:val="auto"/>
          <w:spacing w:val="-6"/>
          <w:sz w:val="21"/>
          <w:szCs w:val="21"/>
          <w:lang w:eastAsia="zh-CN"/>
        </w:rPr>
        <w:t>协议</w:t>
      </w:r>
      <w:r>
        <w:rPr>
          <w:rFonts w:hint="eastAsia" w:ascii="宋体" w:hAnsi="宋体" w:eastAsia="宋体" w:cs="宋体"/>
          <w:color w:val="auto"/>
          <w:spacing w:val="-6"/>
          <w:sz w:val="21"/>
          <w:szCs w:val="21"/>
        </w:rPr>
        <w:t>法》《中华人民共和国劳动法》以及</w:t>
      </w:r>
      <w:r>
        <w:rPr>
          <w:rFonts w:hint="eastAsia" w:ascii="宋体" w:hAnsi="宋体" w:eastAsia="宋体" w:cs="宋体"/>
          <w:color w:val="auto"/>
          <w:spacing w:val="-9"/>
          <w:sz w:val="21"/>
          <w:szCs w:val="21"/>
        </w:rPr>
        <w:t>国家法律、法规的有关规定，经甲乙双方共同协商，</w:t>
      </w:r>
      <w:r>
        <w:rPr>
          <w:rFonts w:hint="eastAsia" w:ascii="宋体" w:hAnsi="宋体" w:eastAsia="宋体" w:cs="宋体"/>
          <w:color w:val="auto"/>
          <w:sz w:val="21"/>
          <w:szCs w:val="21"/>
        </w:rPr>
        <w:t>经过甲、乙双方充分协商，就甲方</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事宜达成如下协议，以资双方共同遵守。</w:t>
      </w:r>
    </w:p>
    <w:p w14:paraId="1D123A11">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color w:val="auto"/>
          <w:sz w:val="21"/>
          <w:szCs w:val="21"/>
        </w:rPr>
      </w:pPr>
      <w:r>
        <w:rPr>
          <w:rFonts w:hint="eastAsia" w:ascii="宋体" w:hAnsi="宋体" w:eastAsia="宋体" w:cs="宋体"/>
          <w:b/>
          <w:bCs/>
          <w:sz w:val="21"/>
          <w:szCs w:val="21"/>
          <w:lang w:val="en-US" w:eastAsia="zh-CN"/>
        </w:rPr>
        <w:t>一、服务条件</w:t>
      </w:r>
    </w:p>
    <w:p w14:paraId="7E62D157">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（一）服务地点：</w:t>
      </w:r>
    </w:p>
    <w:p w14:paraId="0129F095">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（二）服务期：</w:t>
      </w:r>
      <w:r>
        <w:rPr>
          <w:rFonts w:hint="eastAsia" w:ascii="宋体" w:hAnsi="宋体" w:eastAsia="宋体" w:cs="宋体"/>
          <w:color w:val="auto"/>
          <w:sz w:val="21"/>
          <w:szCs w:val="21"/>
          <w:u w:val="single"/>
        </w:rPr>
        <w:t>自</w:t>
      </w:r>
      <w:r>
        <w:rPr>
          <w:rFonts w:hint="eastAsia" w:ascii="宋体" w:hAnsi="宋体" w:eastAsia="宋体" w:cs="宋体"/>
          <w:color w:val="auto"/>
          <w:sz w:val="21"/>
          <w:szCs w:val="21"/>
          <w:u w:val="single"/>
          <w:lang w:val="en-US" w:eastAsia="zh-CN"/>
        </w:rPr>
        <w:t xml:space="preserve">    年  月</w:t>
      </w:r>
      <w:r>
        <w:rPr>
          <w:rFonts w:hint="eastAsia" w:ascii="宋体" w:hAnsi="宋体" w:eastAsia="宋体" w:cs="宋体"/>
          <w:i/>
          <w:iCs/>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日</w:t>
      </w:r>
      <w:r>
        <w:rPr>
          <w:rFonts w:hint="eastAsia" w:ascii="宋体" w:hAnsi="宋体" w:eastAsia="宋体" w:cs="宋体"/>
          <w:color w:val="auto"/>
          <w:sz w:val="21"/>
          <w:szCs w:val="21"/>
          <w:u w:val="single"/>
        </w:rPr>
        <w:t>起至自</w:t>
      </w:r>
      <w:r>
        <w:rPr>
          <w:rFonts w:hint="eastAsia" w:ascii="宋体" w:hAnsi="宋体" w:eastAsia="宋体" w:cs="宋体"/>
          <w:color w:val="auto"/>
          <w:sz w:val="21"/>
          <w:szCs w:val="21"/>
          <w:u w:val="single"/>
          <w:lang w:val="en-US" w:eastAsia="zh-CN"/>
        </w:rPr>
        <w:t xml:space="preserve">    年  月  日</w:t>
      </w:r>
      <w:r>
        <w:rPr>
          <w:rFonts w:hint="eastAsia" w:ascii="宋体" w:hAnsi="宋体" w:eastAsia="宋体" w:cs="宋体"/>
          <w:color w:val="auto"/>
          <w:sz w:val="21"/>
          <w:szCs w:val="21"/>
          <w:u w:val="single"/>
        </w:rPr>
        <w:t>止，共计</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u w:val="single"/>
          <w:lang w:val="en-US" w:eastAsia="zh-CN"/>
        </w:rPr>
        <w:t>年。</w:t>
      </w:r>
    </w:p>
    <w:p w14:paraId="619C4CB4">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二、协议价款</w:t>
      </w:r>
    </w:p>
    <w:p w14:paraId="7F5B25B2">
      <w:pPr>
        <w:pStyle w:val="3"/>
        <w:keepNext w:val="0"/>
        <w:keepLines w:val="0"/>
        <w:pageBreakBefore w:val="0"/>
        <w:widowControl w:val="0"/>
        <w:kinsoku/>
        <w:wordWrap/>
        <w:overflowPunct/>
        <w:topLinePunct w:val="0"/>
        <w:bidi w:val="0"/>
        <w:snapToGrid/>
        <w:spacing w:before="0" w:after="0" w:afterAutospacing="0" w:line="500" w:lineRule="exact"/>
        <w:ind w:firstLine="396" w:firstLineChars="200"/>
        <w:textAlignment w:val="auto"/>
        <w:outlineLvl w:val="1"/>
        <w:rPr>
          <w:rFonts w:hint="eastAsia" w:ascii="宋体" w:hAnsi="宋体" w:eastAsia="宋体" w:cs="宋体"/>
          <w:b w:val="0"/>
          <w:bCs w:val="0"/>
          <w:color w:val="auto"/>
          <w:spacing w:val="-6"/>
          <w:sz w:val="21"/>
          <w:szCs w:val="21"/>
        </w:rPr>
      </w:pPr>
      <w:r>
        <w:rPr>
          <w:rFonts w:hint="eastAsia" w:ascii="宋体" w:hAnsi="宋体" w:eastAsia="宋体" w:cs="宋体"/>
          <w:b w:val="0"/>
          <w:bCs w:val="0"/>
          <w:color w:val="auto"/>
          <w:spacing w:val="-6"/>
          <w:sz w:val="21"/>
          <w:szCs w:val="21"/>
          <w:lang w:eastAsia="zh-CN"/>
        </w:rPr>
        <w:t>（</w:t>
      </w:r>
      <w:r>
        <w:rPr>
          <w:rFonts w:hint="eastAsia" w:ascii="宋体" w:hAnsi="宋体" w:eastAsia="宋体" w:cs="宋体"/>
          <w:b w:val="0"/>
          <w:bCs w:val="0"/>
          <w:color w:val="auto"/>
          <w:spacing w:val="-6"/>
          <w:sz w:val="21"/>
          <w:szCs w:val="21"/>
          <w:lang w:val="en-US" w:eastAsia="zh-CN"/>
        </w:rPr>
        <w:t>二</w:t>
      </w:r>
      <w:r>
        <w:rPr>
          <w:rFonts w:hint="eastAsia" w:ascii="宋体" w:hAnsi="宋体" w:eastAsia="宋体" w:cs="宋体"/>
          <w:b w:val="0"/>
          <w:bCs w:val="0"/>
          <w:color w:val="auto"/>
          <w:spacing w:val="-6"/>
          <w:sz w:val="21"/>
          <w:szCs w:val="21"/>
          <w:lang w:eastAsia="zh-CN"/>
        </w:rPr>
        <w:t>）</w:t>
      </w:r>
      <w:r>
        <w:rPr>
          <w:rFonts w:hint="eastAsia" w:ascii="宋体" w:hAnsi="宋体" w:eastAsia="宋体" w:cs="宋体"/>
          <w:b w:val="0"/>
          <w:bCs w:val="0"/>
          <w:color w:val="auto"/>
          <w:spacing w:val="-6"/>
          <w:sz w:val="21"/>
          <w:szCs w:val="21"/>
        </w:rPr>
        <w:t>合同形式：固定</w:t>
      </w:r>
      <w:r>
        <w:rPr>
          <w:rFonts w:hint="eastAsia" w:ascii="宋体" w:hAnsi="宋体" w:eastAsia="宋体" w:cs="宋体"/>
          <w:b w:val="0"/>
          <w:bCs w:val="0"/>
          <w:color w:val="auto"/>
          <w:spacing w:val="-6"/>
          <w:sz w:val="21"/>
          <w:szCs w:val="21"/>
          <w:lang w:val="en-US" w:eastAsia="zh-CN"/>
        </w:rPr>
        <w:t>总价</w:t>
      </w:r>
      <w:r>
        <w:rPr>
          <w:rFonts w:hint="eastAsia" w:ascii="宋体" w:hAnsi="宋体" w:eastAsia="宋体" w:cs="宋体"/>
          <w:b w:val="0"/>
          <w:bCs w:val="0"/>
          <w:color w:val="auto"/>
          <w:spacing w:val="-6"/>
          <w:sz w:val="21"/>
          <w:szCs w:val="21"/>
        </w:rPr>
        <w:t>合同</w:t>
      </w:r>
    </w:p>
    <w:p w14:paraId="1175694C">
      <w:pPr>
        <w:pStyle w:val="3"/>
        <w:keepNext w:val="0"/>
        <w:keepLines w:val="0"/>
        <w:pageBreakBefore w:val="0"/>
        <w:widowControl w:val="0"/>
        <w:kinsoku/>
        <w:wordWrap/>
        <w:overflowPunct/>
        <w:topLinePunct w:val="0"/>
        <w:bidi w:val="0"/>
        <w:snapToGrid/>
        <w:spacing w:before="0" w:after="0" w:afterAutospacing="0" w:line="500" w:lineRule="exact"/>
        <w:ind w:firstLine="396" w:firstLineChars="200"/>
        <w:textAlignment w:val="auto"/>
        <w:outlineLvl w:val="1"/>
        <w:rPr>
          <w:rFonts w:hint="eastAsia" w:ascii="宋体" w:hAnsi="宋体" w:eastAsia="宋体" w:cs="宋体"/>
          <w:b w:val="0"/>
          <w:bCs w:val="0"/>
          <w:color w:val="auto"/>
          <w:spacing w:val="-6"/>
          <w:sz w:val="21"/>
          <w:szCs w:val="21"/>
        </w:rPr>
      </w:pPr>
      <w:r>
        <w:rPr>
          <w:rFonts w:hint="eastAsia" w:ascii="宋体" w:hAnsi="宋体" w:eastAsia="宋体" w:cs="宋体"/>
          <w:b w:val="0"/>
          <w:bCs w:val="0"/>
          <w:color w:val="auto"/>
          <w:spacing w:val="-6"/>
          <w:sz w:val="21"/>
          <w:szCs w:val="21"/>
        </w:rPr>
        <w:t>（</w:t>
      </w:r>
      <w:r>
        <w:rPr>
          <w:rFonts w:hint="eastAsia" w:ascii="宋体" w:hAnsi="宋体" w:eastAsia="宋体" w:cs="宋体"/>
          <w:b w:val="0"/>
          <w:bCs w:val="0"/>
          <w:color w:val="auto"/>
          <w:spacing w:val="-6"/>
          <w:sz w:val="21"/>
          <w:szCs w:val="21"/>
          <w:lang w:val="en-US" w:eastAsia="zh-CN"/>
        </w:rPr>
        <w:t>二</w:t>
      </w:r>
      <w:r>
        <w:rPr>
          <w:rFonts w:hint="eastAsia" w:ascii="宋体" w:hAnsi="宋体" w:eastAsia="宋体" w:cs="宋体"/>
          <w:b w:val="0"/>
          <w:bCs w:val="0"/>
          <w:color w:val="auto"/>
          <w:spacing w:val="-6"/>
          <w:sz w:val="21"/>
          <w:szCs w:val="21"/>
        </w:rPr>
        <w:t>）</w:t>
      </w:r>
      <w:r>
        <w:rPr>
          <w:rFonts w:hint="eastAsia" w:ascii="宋体" w:hAnsi="宋体" w:eastAsia="宋体" w:cs="宋体"/>
          <w:b w:val="0"/>
          <w:bCs w:val="0"/>
          <w:color w:val="auto"/>
          <w:spacing w:val="-6"/>
          <w:sz w:val="21"/>
          <w:szCs w:val="21"/>
          <w:lang w:eastAsia="zh-CN"/>
        </w:rPr>
        <w:t>协议</w:t>
      </w:r>
      <w:r>
        <w:rPr>
          <w:rFonts w:hint="eastAsia" w:ascii="宋体" w:hAnsi="宋体" w:eastAsia="宋体" w:cs="宋体"/>
          <w:b w:val="0"/>
          <w:bCs w:val="0"/>
          <w:color w:val="auto"/>
          <w:spacing w:val="-6"/>
          <w:sz w:val="21"/>
          <w:szCs w:val="21"/>
        </w:rPr>
        <w:t>总价款为人民币</w:t>
      </w:r>
      <w:r>
        <w:rPr>
          <w:rFonts w:hint="eastAsia" w:ascii="宋体" w:hAnsi="宋体" w:eastAsia="宋体" w:cs="宋体"/>
          <w:b w:val="0"/>
          <w:bCs w:val="0"/>
          <w:color w:val="auto"/>
          <w:spacing w:val="-6"/>
          <w:sz w:val="21"/>
          <w:szCs w:val="21"/>
          <w:u w:val="none" w:color="auto"/>
        </w:rPr>
        <w:t>¥</w:t>
      </w:r>
      <w:r>
        <w:rPr>
          <w:rFonts w:hint="eastAsia" w:ascii="宋体" w:hAnsi="宋体" w:eastAsia="宋体" w:cs="宋体"/>
          <w:b w:val="0"/>
          <w:bCs w:val="0"/>
          <w:color w:val="auto"/>
          <w:spacing w:val="-6"/>
          <w:sz w:val="21"/>
          <w:szCs w:val="21"/>
          <w:u w:val="single"/>
          <w:lang w:val="en-US" w:eastAsia="zh-CN"/>
        </w:rPr>
        <w:t xml:space="preserve">         </w:t>
      </w:r>
      <w:r>
        <w:rPr>
          <w:rFonts w:hint="eastAsia" w:ascii="宋体" w:hAnsi="宋体" w:eastAsia="宋体" w:cs="宋体"/>
          <w:b w:val="0"/>
          <w:bCs w:val="0"/>
          <w:color w:val="auto"/>
          <w:spacing w:val="-6"/>
          <w:sz w:val="21"/>
          <w:szCs w:val="21"/>
        </w:rPr>
        <w:t>（大写</w:t>
      </w:r>
      <w:r>
        <w:rPr>
          <w:rFonts w:hint="eastAsia" w:ascii="宋体" w:hAnsi="宋体" w:eastAsia="宋体" w:cs="宋体"/>
          <w:b w:val="0"/>
          <w:bCs w:val="0"/>
          <w:color w:val="auto"/>
          <w:spacing w:val="-6"/>
          <w:sz w:val="21"/>
          <w:szCs w:val="21"/>
          <w:lang w:eastAsia="zh-CN"/>
        </w:rPr>
        <w:t>：</w:t>
      </w:r>
      <w:r>
        <w:rPr>
          <w:rFonts w:hint="eastAsia" w:ascii="宋体" w:hAnsi="宋体" w:eastAsia="宋体" w:cs="宋体"/>
          <w:b w:val="0"/>
          <w:bCs w:val="0"/>
          <w:color w:val="auto"/>
          <w:spacing w:val="-6"/>
          <w:sz w:val="21"/>
          <w:szCs w:val="21"/>
          <w:u w:val="single"/>
          <w:lang w:val="en-US" w:eastAsia="zh-CN"/>
        </w:rPr>
        <w:t xml:space="preserve">           </w:t>
      </w:r>
      <w:r>
        <w:rPr>
          <w:rFonts w:hint="eastAsia" w:ascii="宋体" w:hAnsi="宋体" w:eastAsia="宋体" w:cs="宋体"/>
          <w:b w:val="0"/>
          <w:bCs w:val="0"/>
          <w:color w:val="auto"/>
          <w:spacing w:val="-6"/>
          <w:sz w:val="21"/>
          <w:szCs w:val="21"/>
          <w:u w:val="none"/>
          <w:lang w:eastAsia="zh-CN"/>
        </w:rPr>
        <w:t>）</w:t>
      </w:r>
      <w:r>
        <w:rPr>
          <w:rFonts w:hint="eastAsia" w:ascii="宋体" w:hAnsi="宋体" w:eastAsia="宋体" w:cs="宋体"/>
          <w:b w:val="0"/>
          <w:bCs w:val="0"/>
          <w:color w:val="auto"/>
          <w:spacing w:val="-6"/>
          <w:sz w:val="21"/>
          <w:szCs w:val="21"/>
        </w:rPr>
        <w:t>。</w:t>
      </w:r>
    </w:p>
    <w:p w14:paraId="3ED37E9B">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协议</w:t>
      </w:r>
      <w:r>
        <w:rPr>
          <w:rFonts w:hint="eastAsia" w:ascii="宋体" w:hAnsi="宋体" w:eastAsia="宋体" w:cs="宋体"/>
          <w:color w:val="auto"/>
          <w:sz w:val="21"/>
          <w:szCs w:val="21"/>
        </w:rPr>
        <w:t>总价包括但不限于人工费（含工资、人工费、社保、降温费、高温津贴、取暖费、慰问、体检等所有福利待遇）、耗材工具费、管理费、不可预见费用、利润、税金等其他一切相关费用。</w:t>
      </w:r>
    </w:p>
    <w:p w14:paraId="21FD48E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协议</w:t>
      </w:r>
      <w:r>
        <w:rPr>
          <w:rFonts w:hint="eastAsia" w:ascii="宋体" w:hAnsi="宋体" w:eastAsia="宋体" w:cs="宋体"/>
          <w:color w:val="auto"/>
          <w:sz w:val="21"/>
          <w:szCs w:val="21"/>
          <w:highlight w:val="none"/>
        </w:rPr>
        <w:t>总价为包干价，</w:t>
      </w:r>
      <w:r>
        <w:rPr>
          <w:rFonts w:hint="eastAsia" w:ascii="宋体" w:hAnsi="宋体" w:eastAsia="宋体" w:cs="宋体"/>
          <w:color w:val="auto"/>
          <w:sz w:val="21"/>
          <w:szCs w:val="21"/>
          <w:highlight w:val="none"/>
          <w:lang w:eastAsia="zh-CN"/>
        </w:rPr>
        <w:t>协议</w:t>
      </w:r>
      <w:r>
        <w:rPr>
          <w:rFonts w:hint="eastAsia" w:ascii="宋体" w:hAnsi="宋体" w:eastAsia="宋体" w:cs="宋体"/>
          <w:color w:val="auto"/>
          <w:sz w:val="21"/>
          <w:szCs w:val="21"/>
          <w:highlight w:val="none"/>
        </w:rPr>
        <w:t>期内不受市场价格变化因素的影响。</w:t>
      </w:r>
    </w:p>
    <w:p w14:paraId="63C2DAA0">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三、付款方式</w:t>
      </w:r>
    </w:p>
    <w:p w14:paraId="6A3F399A">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b w:val="0"/>
          <w:color w:val="auto"/>
          <w:kern w:val="2"/>
          <w:sz w:val="21"/>
          <w:szCs w:val="21"/>
          <w:highlight w:val="none"/>
          <w:lang w:val="en-US" w:eastAsia="zh-CN" w:bidi="ar-SA"/>
        </w:rPr>
        <w:t>（一）服务费按季结算，服务费用按季度结算，每季度经园方考核合格过后支付该季度的全部服务费用</w:t>
      </w:r>
      <w:r>
        <w:rPr>
          <w:rFonts w:hint="eastAsia" w:ascii="宋体" w:hAnsi="宋体" w:eastAsia="宋体" w:cs="宋体"/>
          <w:color w:val="auto"/>
          <w:sz w:val="21"/>
          <w:szCs w:val="21"/>
          <w:highlight w:val="none"/>
        </w:rPr>
        <w:t>。</w:t>
      </w:r>
    </w:p>
    <w:p w14:paraId="371319A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（二）付款方式为转账支付。付款前，乙方应提供等额有效发票。甲方收到乙方正式发票后，10个工作日内支付费用。</w:t>
      </w:r>
    </w:p>
    <w:p w14:paraId="7DDE7144">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四、管理、服务人员配置标准</w:t>
      </w:r>
    </w:p>
    <w:p w14:paraId="7CAC6D01">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项目人员配备人数共【</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】人，其中：</w:t>
      </w:r>
    </w:p>
    <w:p w14:paraId="6FC851B2">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保安岗：【</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】人（需持保安员证）；</w:t>
      </w:r>
    </w:p>
    <w:p w14:paraId="5C1F1634">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保洁岗：【</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w:t>
      </w:r>
    </w:p>
    <w:p w14:paraId="44B849D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维修岗：【</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】人（需持电工证）。</w:t>
      </w:r>
    </w:p>
    <w:p w14:paraId="1F8514C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2" w:firstLineChars="200"/>
        <w:jc w:val="left"/>
        <w:textAlignment w:val="auto"/>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lang w:val="en-US" w:eastAsia="zh-CN"/>
        </w:rPr>
        <w:t xml:space="preserve">    </w:t>
      </w:r>
      <w:r>
        <w:rPr>
          <w:rFonts w:hint="eastAsia" w:ascii="宋体" w:hAnsi="宋体" w:eastAsia="宋体" w:cs="宋体"/>
          <w:b w:val="0"/>
          <w:bCs w:val="0"/>
          <w:sz w:val="21"/>
          <w:szCs w:val="21"/>
          <w:u w:val="none"/>
          <w:lang w:val="en-US" w:eastAsia="zh-CN"/>
        </w:rPr>
        <w:t>岗</w:t>
      </w:r>
      <w:r>
        <w:rPr>
          <w:rFonts w:hint="eastAsia" w:ascii="宋体" w:hAnsi="宋体" w:eastAsia="宋体" w:cs="宋体"/>
          <w:b/>
          <w:bCs/>
          <w:sz w:val="21"/>
          <w:szCs w:val="21"/>
          <w:u w:val="none"/>
          <w:lang w:val="en-US" w:eastAsia="zh-CN"/>
        </w:rPr>
        <w:t>：</w:t>
      </w:r>
      <w:r>
        <w:rPr>
          <w:rFonts w:hint="eastAsia" w:ascii="宋体" w:hAnsi="宋体" w:eastAsia="宋体" w:cs="宋体"/>
          <w:b w:val="0"/>
          <w:color w:val="auto"/>
          <w:kern w:val="2"/>
          <w:sz w:val="21"/>
          <w:szCs w:val="21"/>
          <w:highlight w:val="none"/>
          <w:lang w:val="en-US" w:eastAsia="zh-CN" w:bidi="ar-SA"/>
        </w:rPr>
        <w:t>【</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w:t>
      </w:r>
    </w:p>
    <w:p w14:paraId="5F488CD0">
      <w:pPr>
        <w:keepNext w:val="0"/>
        <w:keepLines w:val="0"/>
        <w:pageBreakBefore w:val="0"/>
        <w:widowControl w:val="0"/>
        <w:kinsoku/>
        <w:wordWrap/>
        <w:overflowPunct/>
        <w:topLinePunct w:val="0"/>
        <w:autoSpaceDE w:val="0"/>
        <w:autoSpaceDN w:val="0"/>
        <w:bidi w:val="0"/>
        <w:adjustRightInd w:val="0"/>
        <w:snapToGrid/>
        <w:spacing w:afterAutospacing="0" w:line="500" w:lineRule="exact"/>
        <w:jc w:val="left"/>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sz w:val="21"/>
          <w:szCs w:val="21"/>
          <w:lang w:val="en-US" w:eastAsia="zh-CN"/>
        </w:rPr>
        <w:t>五、服务内容</w:t>
      </w:r>
    </w:p>
    <w:p w14:paraId="0BD087F2">
      <w:pPr>
        <w:pStyle w:val="3"/>
        <w:keepNext w:val="0"/>
        <w:keepLines w:val="0"/>
        <w:pageBreakBefore w:val="0"/>
        <w:widowControl w:val="0"/>
        <w:kinsoku/>
        <w:wordWrap/>
        <w:overflowPunct/>
        <w:topLinePunct w:val="0"/>
        <w:bidi w:val="0"/>
        <w:snapToGrid/>
        <w:spacing w:before="0" w:after="0" w:afterAutospacing="0" w:line="500" w:lineRule="exact"/>
        <w:ind w:firstLine="422" w:firstLineChars="200"/>
        <w:textAlignment w:val="auto"/>
        <w:outlineLvl w:val="1"/>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（一）人员配置要求</w:t>
      </w:r>
    </w:p>
    <w:p w14:paraId="7A0E18A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left="0" w:leftChars="0"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1、保安岗：派驻园区的保安人员年龄≦50岁，均应持有保安证；派驻保安员需配置制式的保安服装、标识及必要的执勤装备；负责园所门禁管理、日常巡逻、安全监控、突发事件初步处理等；</w:t>
      </w:r>
    </w:p>
    <w:p w14:paraId="14060E91">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left="0" w:leftChars="0"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2、保洁岗：负责园区公共区域、教室、卫生间等日常清洁与消毒工作；</w:t>
      </w:r>
    </w:p>
    <w:p w14:paraId="391FACB5">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left="0" w:leftChars="0"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3、维修岗：负责院内设施设备日常维护、保修处理及小型维修，须具备电工证。</w:t>
      </w:r>
    </w:p>
    <w:p w14:paraId="756B1F8B">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2" w:firstLineChars="200"/>
        <w:textAlignment w:val="auto"/>
        <w:outlineLvl w:val="1"/>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（二）服务标准与管理要求</w:t>
      </w:r>
    </w:p>
    <w:p w14:paraId="666F072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1、供应商须为所有人员缴纳社会保险，并定期组织岗位培训与安全教育；</w:t>
      </w:r>
    </w:p>
    <w:p w14:paraId="325C4513">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2、供应商须建立完善的管理制度，包括考勤、考核、应急预案等；</w:t>
      </w:r>
    </w:p>
    <w:p w14:paraId="0E2FA1E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3、服务期间须遵守园所各项规章制度，服从园方统一管理与调度。</w:t>
      </w:r>
    </w:p>
    <w:p w14:paraId="096FE6D9">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2" w:firstLineChars="200"/>
        <w:textAlignment w:val="auto"/>
        <w:outlineLvl w:val="1"/>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（三）其他要求</w:t>
      </w:r>
    </w:p>
    <w:p w14:paraId="17181B0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1、设立专人对接机制，指定项目经理长期跟踪服务，保持通讯畅通，及时沟通协调；</w:t>
      </w:r>
    </w:p>
    <w:p w14:paraId="286D1BE0">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2、服务期如因人员变动或服务不达标，须在3个工作日内完成调整或更换；</w:t>
      </w:r>
    </w:p>
    <w:p w14:paraId="23FBBE54">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3、供应商须配合园方完成相关行政备案及人员无犯罪记录审查；</w:t>
      </w:r>
    </w:p>
    <w:p w14:paraId="0BB9CE60">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4、服务合同期内不得擅自转包或分包服务内容；</w:t>
      </w:r>
    </w:p>
    <w:p w14:paraId="2A4013D4">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5、具备完成园方临时性、紧急性工作任务的能力，并按要求及时响应落实。</w:t>
      </w:r>
    </w:p>
    <w:p w14:paraId="5B4342E7">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textAlignment w:val="auto"/>
        <w:outlineLvl w:val="1"/>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六、管理服务标准：</w:t>
      </w:r>
      <w:r>
        <w:rPr>
          <w:rFonts w:hint="eastAsia" w:ascii="宋体" w:hAnsi="宋体" w:eastAsia="宋体" w:cs="宋体"/>
          <w:b w:val="0"/>
          <w:bCs w:val="0"/>
          <w:color w:val="auto"/>
          <w:kern w:val="2"/>
          <w:sz w:val="21"/>
          <w:szCs w:val="21"/>
          <w:highlight w:val="none"/>
          <w:lang w:val="en-US" w:eastAsia="zh-CN" w:bidi="ar-SA"/>
        </w:rPr>
        <w:t>合格，满足甲方要求。</w:t>
      </w:r>
    </w:p>
    <w:p w14:paraId="42F19956">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七、双方的权利和义务</w:t>
      </w:r>
    </w:p>
    <w:p w14:paraId="6CE0DF35">
      <w:pPr>
        <w:pStyle w:val="7"/>
        <w:keepNext w:val="0"/>
        <w:keepLines w:val="0"/>
        <w:pageBreakBefore w:val="0"/>
        <w:widowControl w:val="0"/>
        <w:kinsoku/>
        <w:wordWrap/>
        <w:overflowPunct/>
        <w:topLinePunct w:val="0"/>
        <w:bidi w:val="0"/>
        <w:snapToGrid/>
        <w:spacing w:afterAutospacing="0" w:line="500" w:lineRule="exact"/>
        <w:ind w:left="0" w:leftChars="0" w:firstLine="211" w:firstLineChars="100"/>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（一）甲方的权利和义务</w:t>
      </w:r>
    </w:p>
    <w:p w14:paraId="533BCB8C">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1.根据协议的约定，确定和调整派遣人员，</w:t>
      </w:r>
      <w:r>
        <w:rPr>
          <w:rFonts w:hint="eastAsia" w:ascii="宋体" w:hAnsi="宋体" w:eastAsia="宋体" w:cs="宋体"/>
          <w:b w:val="0"/>
          <w:color w:val="auto"/>
          <w:kern w:val="2"/>
          <w:sz w:val="21"/>
          <w:szCs w:val="21"/>
          <w:highlight w:val="none"/>
          <w:lang w:val="en-US" w:eastAsia="zh-CN" w:bidi="ar-SA"/>
        </w:rPr>
        <w:t>依照协议约定向乙方支付服务费及其他本协议约定应当由甲方承担的费用</w:t>
      </w:r>
      <w:r>
        <w:rPr>
          <w:rFonts w:hint="eastAsia" w:ascii="宋体" w:hAnsi="宋体" w:eastAsia="宋体" w:cs="宋体"/>
          <w:b w:val="0"/>
          <w:bCs w:val="0"/>
          <w:color w:val="auto"/>
          <w:kern w:val="2"/>
          <w:sz w:val="21"/>
          <w:szCs w:val="21"/>
          <w:highlight w:val="none"/>
          <w:lang w:val="en-US" w:eastAsia="zh-CN" w:bidi="ar-SA"/>
        </w:rPr>
        <w:t>。甲方延长工作时间或加班须征得乙方人员的确认同意，因工作需要，甲方可依法安排人员延长工作时间，休息日或节假日加班，产生的相关费用由甲方承担。</w:t>
      </w:r>
    </w:p>
    <w:p w14:paraId="6BAEC1F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2.安排乙方派遣的服务人员在甲方的具体工作岗位，监督、检查、考核乙方派遣的服务人员完成工作的情况，并负责日常管理。</w:t>
      </w:r>
    </w:p>
    <w:p w14:paraId="5D758102">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3.甲方应为乙方派遣的管理、服务人员提供相应的办公条件及办公物品。所有用于甲方现场的工具、器械、耗材等，由甲方自行采购</w:t>
      </w:r>
    </w:p>
    <w:p w14:paraId="0E00416D">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乙方派遣人员发生工伤事故时，甲方应立即通知乙方，并协助乙方按《工伤保险条例》的规定办理申报和理赔事宜及善后的处理工作。甲方应向乙方提供工伤相关的证据资料，以便乙方向劳动及有关部门申报。工伤的医疗费需垫资的由甲方垫资处理。工伤事故处理过程中发生赔付以外的具有法律依据的相关合理费用（包括医疗、救护、交通等费用）由甲方承担。乙方派遣人员因工负伤属《工伤保险条例》规定的费用，除社保支出外，由甲方负责。超过工伤保险机构理赔范围依据国家和本省有关规定由企业承担部分由甲方承担。</w:t>
      </w:r>
    </w:p>
    <w:p w14:paraId="68C41CDE">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2" w:firstLineChars="200"/>
        <w:jc w:val="left"/>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（二）乙方的权利义务</w:t>
      </w:r>
    </w:p>
    <w:p w14:paraId="6075D23F">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1.乙方有权根据有关法律法规的规定及本协议约定，自行制定后勤服务保障相关制度。</w:t>
      </w:r>
    </w:p>
    <w:p w14:paraId="013E875F">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2.按照本协议提供服务，派遣符合条件的派遣人员到甲方工作，确保服务人员具备相应资质（如安保人员持保安证、维修人员持技能证书）。</w:t>
      </w:r>
    </w:p>
    <w:p w14:paraId="414AD1DC">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3.乙方应当与拟派遣的人员签订劳动或劳务合同，并负责合同的管理工作。甲方要求乙方更换人员，乙方应予接收并负责处理与劳动者之间的劳动/劳务关系。</w:t>
      </w:r>
    </w:p>
    <w:p w14:paraId="6060E0C3">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4.乙方人员发生工伤事故的，乙方接到甲方通知后，乙方按《工伤保险条例》的规定办理申报和理赔事宜。</w:t>
      </w:r>
    </w:p>
    <w:p w14:paraId="77D0CAE8">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5.人员在甲方工作期间，甲方必须保证人员依法享受法定节假日休息。</w:t>
      </w:r>
    </w:p>
    <w:p w14:paraId="43C8B68B">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6.人员因工作遭受事故伤害或患职业病，甲乙双方均有负责及时救治、保障人员依法享受各项工伤保险及相关待遇的义务。甲乙双方应按规定为人员申请工伤认定和劳动能力鉴定。</w:t>
      </w:r>
    </w:p>
    <w:p w14:paraId="1BE533C6">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5.对服务过程中知悉的甲方商业秘密、内部信息承担保密义务，保密期限为本协议终止后2年。</w:t>
      </w:r>
    </w:p>
    <w:p w14:paraId="3AF1D579">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八、质量保证</w:t>
      </w:r>
    </w:p>
    <w:p w14:paraId="11A8A146">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1.乙方保证所供后勤保障期内的服务标准按照协议执行。</w:t>
      </w:r>
    </w:p>
    <w:p w14:paraId="0AD62020">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2.人员出现下列情形之一的，在甲方提供合法合理的书面处理证明的前提下，甲方可要求乙方更换人员：</w:t>
      </w:r>
    </w:p>
    <w:p w14:paraId="19A02255">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（1）人员在试用期间被证明不符合甲方的录用条件的； </w:t>
      </w:r>
    </w:p>
    <w:p w14:paraId="67B1B4A4">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（2）人员严重违反甲方或乙方的规章制度的； </w:t>
      </w:r>
    </w:p>
    <w:p w14:paraId="77D875A8">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（3）人员严重失职，营私舞弊，给甲方造成重大损害的； </w:t>
      </w:r>
    </w:p>
    <w:p w14:paraId="2733E13A">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（4）人员同时与其他用人单位建立劳动关系，对完成甲方的工作任务造成严重影响，或者甲方提出，拒不改正的； </w:t>
      </w:r>
    </w:p>
    <w:p w14:paraId="0457E950">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（5）人员被查实在应聘时向甲方或乙方提供的个人资料是虚假的；</w:t>
      </w:r>
    </w:p>
    <w:p w14:paraId="7355A9A1">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（6）人员被依法追究刑事责任的；</w:t>
      </w:r>
    </w:p>
    <w:p w14:paraId="6EB4A7A8">
      <w:pPr>
        <w:pStyle w:val="7"/>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（7）人员因本人原因以书面形式向甲方或乙方递交《辞职报告》的；</w:t>
      </w:r>
    </w:p>
    <w:p w14:paraId="7DD13DD3">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九、违约责任</w:t>
      </w:r>
    </w:p>
    <w:p w14:paraId="6C7669C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（一）按《民法典》中的相关条款执行。</w:t>
      </w:r>
    </w:p>
    <w:p w14:paraId="04B69641">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（二）乙方提供的服务不符合本项目相关文件和本协议规定的，甲方有权拒绝，并且乙方须向甲方支付本协议总价款1%的违约金。</w:t>
      </w:r>
    </w:p>
    <w:p w14:paraId="1D8A23F6">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三）乙方未能按照本协议约定时间提供服务或完成约定的项目服务内容的，从逾期之日起每日按本协议总价款0.5%的数额向甲方支付违约金；逾期10日以上的，甲方有权终止协议，由此造成的甲方经济损失由乙方承担。如因不可抗力或其他非乙方原因导致的延误，乙方不承担违约责任。</w:t>
      </w:r>
    </w:p>
    <w:p w14:paraId="7914EC21">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（四）在本协议履行过程中，双方因违约或造成对方经济、社会效益等损失的应当赔偿。</w:t>
      </w:r>
    </w:p>
    <w:p w14:paraId="4E22B226">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十、保密条款</w:t>
      </w:r>
    </w:p>
    <w:p w14:paraId="52B33DFE">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一）乙方应遵守国家有关保密的法律法规和行业规定，并对甲方提供的资料负有保密义务。本保密义务自协议生效之日起至协议终止后五年内持续有效。未经甲方同意，保密人员不得将承接本项目各种信息和资料提供给其他单位和个人。如发生以上情况，甲方有权索赔。但是，若因法律强制要求披露信息，乙方可以在遵循法律法规的前提下披露相关信息，但需尽可能提前通知甲方。</w:t>
      </w:r>
    </w:p>
    <w:p w14:paraId="55A3BF6D">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（二）本条款为独立条款，本协议的无效、变更、解除和终止均不影响本条款的效力。</w:t>
      </w:r>
    </w:p>
    <w:p w14:paraId="43AB998C">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十一、争议解决</w:t>
      </w:r>
    </w:p>
    <w:p w14:paraId="2325075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本协议履行过程中发生的纠纷双方应协商解决。协商不成的，协议任何一方均有权向甲方所在地人民法院提起诉讼。</w:t>
      </w:r>
    </w:p>
    <w:p w14:paraId="60F3BF1D">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十二、协议变更</w:t>
      </w:r>
    </w:p>
    <w:p w14:paraId="03B32AB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在协议的执行期内，双方均不得随意变更或解除协议。如因项目需求情况发生变化，需要项目变更的，应双方协商后签订项目变更协议。</w:t>
      </w:r>
    </w:p>
    <w:p w14:paraId="7B6CE688">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十三、协议生效</w:t>
      </w:r>
    </w:p>
    <w:p w14:paraId="49F34D5E">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本协议一式</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none"/>
          <w:lang w:val="en-US" w:eastAsia="zh-CN" w:bidi="ar-SA"/>
        </w:rPr>
        <w:t>份</w:t>
      </w:r>
      <w:r>
        <w:rPr>
          <w:rFonts w:hint="eastAsia" w:ascii="宋体" w:hAnsi="宋体" w:eastAsia="宋体" w:cs="宋体"/>
          <w:b w:val="0"/>
          <w:color w:val="auto"/>
          <w:kern w:val="2"/>
          <w:sz w:val="21"/>
          <w:szCs w:val="21"/>
          <w:highlight w:val="none"/>
          <w:lang w:val="en-US" w:eastAsia="zh-CN" w:bidi="ar-SA"/>
        </w:rPr>
        <w:t>，甲方持</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none"/>
          <w:lang w:val="en-US" w:eastAsia="zh-CN" w:bidi="ar-SA"/>
        </w:rPr>
        <w:t>份</w:t>
      </w:r>
      <w:r>
        <w:rPr>
          <w:rFonts w:hint="eastAsia" w:ascii="宋体" w:hAnsi="宋体" w:eastAsia="宋体" w:cs="宋体"/>
          <w:b w:val="0"/>
          <w:color w:val="auto"/>
          <w:kern w:val="2"/>
          <w:sz w:val="21"/>
          <w:szCs w:val="21"/>
          <w:highlight w:val="none"/>
          <w:lang w:val="en-US" w:eastAsia="zh-CN" w:bidi="ar-SA"/>
        </w:rPr>
        <w:t>，乙方持</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none"/>
          <w:lang w:val="en-US" w:eastAsia="zh-CN" w:bidi="ar-SA"/>
        </w:rPr>
        <w:t>份</w:t>
      </w:r>
      <w:r>
        <w:rPr>
          <w:rFonts w:hint="eastAsia" w:ascii="宋体" w:hAnsi="宋体" w:eastAsia="宋体" w:cs="宋体"/>
          <w:b w:val="0"/>
          <w:color w:val="auto"/>
          <w:kern w:val="2"/>
          <w:sz w:val="21"/>
          <w:szCs w:val="21"/>
          <w:highlight w:val="none"/>
          <w:lang w:val="en-US" w:eastAsia="zh-CN" w:bidi="ar-SA"/>
        </w:rPr>
        <w:t>，本协议双方签字盖章后生效，协议执行完毕后，自动失效。</w:t>
      </w:r>
    </w:p>
    <w:p w14:paraId="7C5BE96A">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十四、其他事项</w:t>
      </w:r>
    </w:p>
    <w:p w14:paraId="6B1B242D">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协议未尽事宜，由双方协商确认后签订补充协议，与原协议具有同等法律效力。</w:t>
      </w:r>
    </w:p>
    <w:p w14:paraId="23A42008">
      <w:pPr>
        <w:keepNext w:val="0"/>
        <w:keepLines w:val="0"/>
        <w:pageBreakBefore w:val="0"/>
        <w:widowControl w:val="0"/>
        <w:kinsoku/>
        <w:wordWrap/>
        <w:overflowPunct/>
        <w:topLinePunct w:val="0"/>
        <w:autoSpaceDE w:val="0"/>
        <w:autoSpaceDN w:val="0"/>
        <w:bidi w:val="0"/>
        <w:adjustRightInd w:val="0"/>
        <w:snapToGrid/>
        <w:spacing w:afterAutospacing="0" w:line="5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以下无正文</w:t>
      </w:r>
    </w:p>
    <w:p w14:paraId="47CE1D3C">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p>
    <w:p w14:paraId="725740CA">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p>
    <w:p w14:paraId="5B58BA1F">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甲 方 ( 盖 章 ) :             乙 方 ( 盖 章 ) :                     </w:t>
      </w:r>
    </w:p>
    <w:p w14:paraId="2D3BC89D">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法定代表或委托代理人：        法定代表或委托代理人：</w:t>
      </w:r>
    </w:p>
    <w:p w14:paraId="0ED9AB83">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通信地址：                    通信地址：</w:t>
      </w:r>
    </w:p>
    <w:p w14:paraId="27F57CC5">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邮政编码：                    邮政编码：</w:t>
      </w:r>
    </w:p>
    <w:p w14:paraId="2598FB21">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电  话：                      电  话：</w:t>
      </w:r>
    </w:p>
    <w:p w14:paraId="263F380D">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开户行：                      开户行： </w:t>
      </w:r>
    </w:p>
    <w:p w14:paraId="3B0AB8E9">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账  号：                      账  号：              </w:t>
      </w:r>
    </w:p>
    <w:p w14:paraId="7059C26D">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签订日期：   年  月  日        签订日期：   年  月   日             </w:t>
      </w:r>
    </w:p>
    <w:p w14:paraId="28644B4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宋体" w:hAnsi="宋体" w:eastAsia="宋体" w:cs="宋体"/>
          <w:sz w:val="21"/>
          <w:szCs w:val="21"/>
        </w:rPr>
      </w:pPr>
    </w:p>
    <w:p w14:paraId="37D93C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2F1AB">
    <w:pPr>
      <w:tabs>
        <w:tab w:val="left" w:pos="4223"/>
      </w:tabs>
      <w:spacing w:line="209" w:lineRule="auto"/>
      <w:ind w:left="4183"/>
      <w:rPr>
        <w:rFonts w:hint="eastAsia" w:ascii="宋体" w:hAnsi="宋体" w:eastAsia="宋体" w:cs="宋体"/>
        <w:sz w:val="18"/>
        <w:szCs w:val="18"/>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301075"/>
    <w:rsid w:val="18301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2"/>
      <w:ind w:left="2102"/>
      <w:outlineLvl w:val="0"/>
    </w:pPr>
    <w:rPr>
      <w:b/>
      <w:bCs/>
      <w:sz w:val="31"/>
      <w:szCs w:val="31"/>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sz w:val="19"/>
      <w:szCs w:val="19"/>
    </w:rPr>
  </w:style>
  <w:style w:type="paragraph" w:styleId="7">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2026-07-31T09:03:00Z</dcterms:created>
  <dc:creator>ZBB</dc:creator>
  <cp:lastModifiedBy>ZBB</cp:lastModifiedBy>
  <dcterms:modified xsi:type="dcterms:W3CDTF">2026-07-31T09:03:53Z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F68A005383334057A05D3BA99370B3EC_11</vt:lpwstr>
  </property>
  <property fmtid="{D5CDD505-2E9C-101B-9397-08002B2CF9AE}" pid="4" name="KSOTemplateDocerSaveRecord">
    <vt:lpwstr>eyJoZGlkIjoiOTZlMjIwZDU1YzM1YzYzMzlmOTYzOGVmN2ViZjZjMjQiLCJ1c2VySWQiOiIyNjQ2NDU1NDQifQ==</vt:lpwstr>
  </property>
</Properties>
</file>