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版本号：TXHZ-2026060120260612001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留坝县托育中心建设项目监理采购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TXHZ-20260601</w:t>
      </w:r>
      <w:r>
        <w:br/>
      </w:r>
      <w:r>
        <w:br/>
      </w:r>
      <w:r>
        <w:br/>
      </w:r>
    </w:p>
    <w:p>
      <w:pPr>
        <w:pStyle w:val="null3"/>
        <w:jc w:val="center"/>
        <w:outlineLvl w:val="2"/>
      </w:pPr>
      <w:r>
        <w:rPr>
          <w:rFonts w:ascii="仿宋_GB2312" w:hAnsi="仿宋_GB2312" w:cs="仿宋_GB2312" w:eastAsia="仿宋_GB2312"/>
          <w:sz w:val="28"/>
          <w:b/>
        </w:rPr>
        <w:t>留坝县卫生健康局</w:t>
      </w:r>
    </w:p>
    <w:p>
      <w:pPr>
        <w:pStyle w:val="null3"/>
        <w:jc w:val="center"/>
        <w:outlineLvl w:val="2"/>
      </w:pPr>
      <w:r>
        <w:rPr>
          <w:rFonts w:ascii="仿宋_GB2312" w:hAnsi="仿宋_GB2312" w:cs="仿宋_GB2312" w:eastAsia="仿宋_GB2312"/>
          <w:sz w:val="28"/>
          <w:b/>
        </w:rPr>
        <w:t>铁兴建设管理集团有限公司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铁兴建设管理集团有限公司</w:t>
      </w:r>
      <w:r>
        <w:rPr>
          <w:rFonts w:ascii="仿宋_GB2312" w:hAnsi="仿宋_GB2312" w:cs="仿宋_GB2312" w:eastAsia="仿宋_GB2312"/>
        </w:rPr>
        <w:t>（以下简称“代理机构”）受</w:t>
      </w:r>
      <w:r>
        <w:rPr>
          <w:rFonts w:ascii="仿宋_GB2312" w:hAnsi="仿宋_GB2312" w:cs="仿宋_GB2312" w:eastAsia="仿宋_GB2312"/>
        </w:rPr>
        <w:t>留坝县卫生健康局</w:t>
      </w:r>
      <w:r>
        <w:rPr>
          <w:rFonts w:ascii="仿宋_GB2312" w:hAnsi="仿宋_GB2312" w:cs="仿宋_GB2312" w:eastAsia="仿宋_GB2312"/>
        </w:rPr>
        <w:t>委托，拟对</w:t>
      </w:r>
      <w:r>
        <w:rPr>
          <w:rFonts w:ascii="仿宋_GB2312" w:hAnsi="仿宋_GB2312" w:cs="仿宋_GB2312" w:eastAsia="仿宋_GB2312"/>
        </w:rPr>
        <w:t>留坝县托育中心建设项目监理采购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TXHZ-20260601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留坝县托育中心建设项目监理采购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址位于留坝县紫柏街道办事处南环路中段。新建框架结构托育中心1栋3400平方米，地上3层，地下1层，新增托位数100个，配套建设室外活动场所、水电气暖、信息智能化等。本项⽬⼯程施⼯及缺陷责任期范围内所有建设⼯程内容的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采购包1（留坝县托育中心建设项目监理采购）：属于专门面向中小企业采购。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 人证书等国家规定的相关证明，自然人参与的提供其身份证明；</w:t>
      </w:r>
    </w:p>
    <w:p>
      <w:pPr>
        <w:pStyle w:val="null3"/>
      </w:pPr>
      <w:r>
        <w:rPr>
          <w:rFonts w:ascii="仿宋_GB2312" w:hAnsi="仿宋_GB2312" w:cs="仿宋_GB2312" w:eastAsia="仿宋_GB2312"/>
        </w:rPr>
        <w:t>2、法定代表人证明或授权委托书：供应商应授权合法的人员参加投标，非法定代表人参加投标的，须提供法定代表人授权书(附法定代表人、被授权人身份证复印件);法定代表人直接参加投标的，须提供法定代表人身份证明(附法定代表人身份证复印件)；</w:t>
      </w:r>
    </w:p>
    <w:p>
      <w:pPr>
        <w:pStyle w:val="null3"/>
      </w:pPr>
      <w:r>
        <w:rPr>
          <w:rFonts w:ascii="仿宋_GB2312" w:hAnsi="仿宋_GB2312" w:cs="仿宋_GB2312" w:eastAsia="仿宋_GB2312"/>
        </w:rPr>
        <w:t>3、供应商资质：供应商须具备建设行政主管部门颁发的房屋建筑工程监理乙级及以上资质；</w:t>
      </w:r>
    </w:p>
    <w:p>
      <w:pPr>
        <w:pStyle w:val="null3"/>
      </w:pPr>
      <w:r>
        <w:rPr>
          <w:rFonts w:ascii="仿宋_GB2312" w:hAnsi="仿宋_GB2312" w:cs="仿宋_GB2312" w:eastAsia="仿宋_GB2312"/>
        </w:rPr>
        <w:t>4、拟派项目总监资质和专业要求：拟派项目总监理工程师具备房屋建筑工程注册监理工程师，且未担任其他在监工程项目；</w:t>
      </w:r>
    </w:p>
    <w:p>
      <w:pPr>
        <w:pStyle w:val="null3"/>
      </w:pPr>
      <w:r>
        <w:rPr>
          <w:rFonts w:ascii="仿宋_GB2312" w:hAnsi="仿宋_GB2312" w:cs="仿宋_GB2312" w:eastAsia="仿宋_GB2312"/>
        </w:rPr>
        <w:t>5、汉中市政府采购供应商资格承诺函：供应商须具有健全的财务会计制度、履行合同所需的设备和专业技术能力、依法缴纳税收和社会保 障资金，以及参加采购活动前3年内经营活动无重大违法活动记录，供应商须提供《汉中市政府采购 供应商资格承诺函》并签字盖章。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铁兴建设管理集团有限公司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汉中市汉台区汉中路街道办事处滨江西路玫瑰庄园1-5205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开户名称：铁兴建设管理集团有限公司汉中分公司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银行账号：2706012401201000009297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的通知（计价格〔2002〕1980号）及《国家发展改⾰委办公厅关于招标代理服务收费有关问题的通知》（发改办价格〔2003〕857号）⽂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留坝县卫生健康局</w:t>
      </w:r>
      <w:r>
        <w:rPr>
          <w:rFonts w:ascii="仿宋_GB2312" w:hAnsi="仿宋_GB2312" w:cs="仿宋_GB2312" w:eastAsia="仿宋_GB2312"/>
        </w:rPr>
        <w:t>和</w:t>
      </w:r>
      <w:r>
        <w:rPr>
          <w:rFonts w:ascii="仿宋_GB2312" w:hAnsi="仿宋_GB2312" w:cs="仿宋_GB2312" w:eastAsia="仿宋_GB2312"/>
        </w:rPr>
        <w:t>铁兴建设管理集团有限公司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铁兴建设管理集团有限公司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铁兴建设管理集团有限公司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按照磋商文件和合同等相关文件约定执行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联系电话：0916-888677</w:t>
      </w:r>
    </w:p>
    <w:p>
      <w:pPr>
        <w:pStyle w:val="null3"/>
      </w:pPr>
      <w:r>
        <w:rPr>
          <w:rFonts w:ascii="仿宋_GB2312" w:hAnsi="仿宋_GB2312" w:cs="仿宋_GB2312" w:eastAsia="仿宋_GB2312"/>
        </w:rPr>
        <w:t>地址：汉中市汉台区汉中路街道办事处滨江西路玫瑰庄园1-5205</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该项目建设地址位于留坝县紫柏街道办事处南环路中段。新建框架结构托育中心1栋3400平方米，地上3层，地下1层，新增托位数100个，配套建设室外活动场所、水电气暖、信息智能化等。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留坝县托育中心建设项目监理采购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标的名称：留坝县托育中心建设项目监理采购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一、服务内容：对</w:t>
            </w:r>
            <w:r>
              <w:rPr>
                <w:rFonts w:ascii="仿宋_GB2312" w:hAnsi="仿宋_GB2312" w:cs="仿宋_GB2312" w:eastAsia="仿宋_GB2312"/>
                <w:sz w:val="21"/>
              </w:rPr>
              <w:t>留坝县托育中心建设项目工</w:t>
            </w:r>
            <w:r>
              <w:rPr>
                <w:rFonts w:ascii="仿宋_GB2312" w:hAnsi="仿宋_GB2312" w:cs="仿宋_GB2312" w:eastAsia="仿宋_GB2312"/>
                <w:sz w:val="21"/>
              </w:rPr>
              <w:t>程施工阶段、竣工验收阶段及保修阶段全过程的工程监理服务，对项目实施过程进行监督、验收阶段监理及竣工验收资料移交的监理等相关工作。</w:t>
            </w:r>
          </w:p>
          <w:p>
            <w:pPr>
              <w:pStyle w:val="null3"/>
              <w:jc w:val="both"/>
            </w:pPr>
            <w:r>
              <w:rPr>
                <w:rFonts w:ascii="仿宋_GB2312" w:hAnsi="仿宋_GB2312" w:cs="仿宋_GB2312" w:eastAsia="仿宋_GB2312"/>
                <w:sz w:val="21"/>
              </w:rPr>
              <w:t>二、监理内容：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1）质量控制：必须严格依照国家有关规定，检查施工单位所施工的项目是否符合预定的质量要求，而且整个监理工作中应强调对工程质量的事前控制、事中监管和事后评估。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2）进度控制：在工程实施过程中，监理工程师严格按照采购文件、合同、施工进度计划的要求，对施工进度进行跟进，确保整体施工有序进行。确保工程开、竣工时间进度计划按时完成。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jc w:val="both"/>
            </w:pPr>
            <w:r>
              <w:rPr>
                <w:rFonts w:ascii="仿宋_GB2312" w:hAnsi="仿宋_GB2312" w:cs="仿宋_GB2312" w:eastAsia="仿宋_GB2312"/>
                <w:sz w:val="21"/>
              </w:rPr>
              <w:t>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4）所有程序必须符合国家相关监理规定和国家工程质量验收合格标准。</w:t>
            </w:r>
          </w:p>
          <w:p>
            <w:pPr>
              <w:pStyle w:val="null3"/>
              <w:jc w:val="both"/>
            </w:pPr>
            <w:r>
              <w:rPr>
                <w:rFonts w:ascii="仿宋_GB2312" w:hAnsi="仿宋_GB2312" w:cs="仿宋_GB2312" w:eastAsia="仿宋_GB2312"/>
                <w:sz w:val="21"/>
              </w:rPr>
              <w:t>三、技术标准：</w:t>
            </w:r>
          </w:p>
          <w:p>
            <w:pPr>
              <w:pStyle w:val="null3"/>
            </w:pP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拟派⼈员数⾥、专业配置、技术经验应完全满⾜项⽬的需要。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进度款，合同签订并生效进入服务期后，达到付款条件起15个工作日内，支付合同总金额的30.0%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进度款，主体建筑施工完成验收后，达到付款条件起15个工作日内，支付合同总金额的35.0%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进度款，采购人组织对监理服务项目完成验收并通过后，达到付款条件起15个工作日内，支付合同总金额的35.0%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按照磋商文件和合同等相关文件约定执行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成交供应商在领取成交通知书前，需向采购代理机构提交加盖公章的纸质版响应⽂件三套，成交供应商应保持投标⽂件纸质版内容与系统上传内容完全⼀致，否则将承担⼀切法律责任。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 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人员参加投标，非法定代表人参加投标的，须提供法定代表人授权书(附法定代表人、被授权人身份证复印件);法定代表人直接参加投标的，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供应商须具备建设行政主管部门颁发的房屋建筑工程监理乙级及以上资质；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拟派项目总监资质和专业要求</w:t>
            </w:r>
          </w:p>
        </w:tc>
        <w:tc>
          <w:tcPr>
            <w:tcW w:type="dxa" w:w="3322"/>
          </w:tcPr>
          <w:p>
            <w:pPr>
              <w:pStyle w:val="null3"/>
            </w:pPr>
            <w:r>
              <w:rPr>
                <w:rFonts w:ascii="仿宋_GB2312" w:hAnsi="仿宋_GB2312" w:cs="仿宋_GB2312" w:eastAsia="仿宋_GB2312"/>
              </w:rPr>
              <w:t>拟派项目总监理工程师具备房屋建筑工程注册监理工程师，且未担任其他在监工程项目；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 障资金，以及参加采购活动前3年内经营活动无重大违法活动记录，供应商须提供《汉中市政府采购 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标的清单 报价表 响应函 监狱企业的证明文件 近年类似业绩.docx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标的清单 报价表 响应函 监狱企业的证明文件 近年类似业绩.docx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w:t>
            </w:r>
          </w:p>
        </w:tc>
        <w:tc>
          <w:tcPr>
            <w:tcW w:type="dxa" w:w="2492"/>
          </w:tcPr>
          <w:p>
            <w:pPr>
              <w:pStyle w:val="null3"/>
            </w:pPr>
            <w:r>
              <w:rPr>
                <w:rFonts w:ascii="仿宋_GB2312" w:hAnsi="仿宋_GB2312" w:cs="仿宋_GB2312" w:eastAsia="仿宋_GB2312"/>
              </w:rPr>
              <w:t>供应商提供针对本项目监理方案，至少包含：1.针对本项目的整体理解；2.监理工作内容及方法；3.监理工作目标的实现方案。共 3 项内容，每项满分 4分。方案内容完整，完全符合项目实际需求，得满分，评审内容每缺⼀项内容扣4分。评审内容有瑕疵的，每出现⼀次扣1分，扣完为止。 备注：响应内容“瑕疵”是指：内容粗略、逻辑混乱、描述过于简单、与项⽬特点不匹配、逻辑漏洞、出现常识性错误、存在不适⽤项⽬实际情况的情形或只有标题没有实质性内容等。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供应商提供监理进度控制措施，至少包含：1.施工进度的审查方案；2.确保施工进度的保障措施；3.过程中各类可能影响施工进度的特殊情况及解决方案。共 3 项内容，每项满分 3 分。方案内容完整，完全符合项目实际需求，得满分，评审内容每缺⼀项内容扣3分。评审内容有瑕疵的，每出现⼀次扣1分，扣完为止。 备注：响应内容“瑕疵”是指：内容粗略、逻辑混乱、描述过于简单、与项⽬特点不匹配、逻辑漏洞、出现常识性错误、存在不适⽤项⽬实际情况的情形或只有标题没有实质性内容等。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供应商提供监理质量控制措施，至少包含：1.施工各阶段的质量控制方案；2.施工过程所形成的产品质量控制方案；3.施工过程中各类资料的质量控制方案。共 3 项内容，每项满分 3 分。方案内容完整，完全符合项目实际需求，得满分，评审内容每缺⼀项内容扣3分。评审内容有瑕疵的，每出现⼀次扣1分，扣完为止。 备注：响应内容“瑕疵”是指：内容粗略、逻辑混乱、描述过于简单、与项⽬特点不匹配、逻辑漏洞、出现常识性错误、存在不适⽤项⽬实际情况的情形或只有标题没有实质性内容等。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材料、设备进场管理及措施、合同、文档及资料管理方案</w:t>
            </w:r>
          </w:p>
        </w:tc>
        <w:tc>
          <w:tcPr>
            <w:tcW w:type="dxa" w:w="2492"/>
          </w:tcPr>
          <w:p>
            <w:pPr>
              <w:pStyle w:val="null3"/>
            </w:pPr>
            <w:r>
              <w:rPr>
                <w:rFonts w:ascii="仿宋_GB2312" w:hAnsi="仿宋_GB2312" w:cs="仿宋_GB2312" w:eastAsia="仿宋_GB2312"/>
              </w:rPr>
              <w:t>供应商提供针对本项目的材料、设备进场管理及措施、合同、文档及资料管理方案，至少包含：1.材料、设备进场管理及措施；2.合同、文档资料的移交和管理方案。共 2 项内容，每项满分 2.5 分。方案内容完整，完全符合项目实际需求，得满分，评审内容每缺⼀项内容扣2.5分。评审内容有瑕疵的，每出现⼀次扣0.5分，扣完为止。 备注：响应内容“瑕疵”是指：内容粗略、逻辑混乱、描述过于简单、与项⽬特点不匹配、逻辑漏洞、出现常识性错误、存在不适⽤项⽬实际情况的情形或只有标题没有实质性内容等。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重点部位及关键工序的控制方法</w:t>
            </w:r>
          </w:p>
        </w:tc>
        <w:tc>
          <w:tcPr>
            <w:tcW w:type="dxa" w:w="2492"/>
          </w:tcPr>
          <w:p>
            <w:pPr>
              <w:pStyle w:val="null3"/>
            </w:pPr>
            <w:r>
              <w:rPr>
                <w:rFonts w:ascii="仿宋_GB2312" w:hAnsi="仿宋_GB2312" w:cs="仿宋_GB2312" w:eastAsia="仿宋_GB2312"/>
              </w:rPr>
              <w:t>供应商提供针对本项目的重点部位及关键工序的控制方法，至少包含：1.对本项目重点部位及关键工序的理解；2.重点部位及关键工序的控制方法。共 2 项内容，每项满分 2.5 分。方案内容完整，完全符合项目实际需求，得满分，评审内容每缺⼀项内容扣2.5分。评审内容有瑕疵的，每出现⼀次扣0.5分，扣完为止。 备注：响应内容“瑕疵”是指：内容粗略、逻辑混乱、描述过于简单、与项⽬特点不匹配、逻辑漏洞、出现常识性错误、存在不适⽤项⽬实际情况的情形或只有标题没有实质性内容等。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以来完成的类似工程监理项⽬业绩证明材料（每提供⼀份得1分）最⾼得4分。（以成交（中标）通知书或合同签订时间为准，须提供成交（中标）通知书或合同复印件）。证明材料不齐全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近年类似业绩.docx</w:t>
            </w:r>
          </w:p>
        </w:tc>
      </w:tr>
      <w:tr>
        <w:tc>
          <w:tcPr>
            <w:tcW w:type="dxa" w:w="831"/>
            <w:vMerge/>
          </w:tcPr>
          <w:p/>
        </w:tc>
        <w:tc>
          <w:tcPr>
            <w:tcW w:type="dxa" w:w="1661"/>
          </w:tcPr>
          <w:p>
            <w:pPr>
              <w:pStyle w:val="null3"/>
            </w:pPr>
            <w:r>
              <w:rPr>
                <w:rFonts w:ascii="仿宋_GB2312" w:hAnsi="仿宋_GB2312" w:cs="仿宋_GB2312" w:eastAsia="仿宋_GB2312"/>
              </w:rPr>
              <w:t>交通服务保障</w:t>
            </w:r>
          </w:p>
        </w:tc>
        <w:tc>
          <w:tcPr>
            <w:tcW w:type="dxa" w:w="2492"/>
          </w:tcPr>
          <w:p>
            <w:pPr>
              <w:pStyle w:val="null3"/>
            </w:pPr>
            <w:r>
              <w:rPr>
                <w:rFonts w:ascii="仿宋_GB2312" w:hAnsi="仿宋_GB2312" w:cs="仿宋_GB2312" w:eastAsia="仿宋_GB2312"/>
              </w:rPr>
              <w:t>承诺或提供能满足本项目监理工作需要的交通车辆（自有或长期租赁均可），备注：提供车辆行驶证复印件或租赁合同复印件或书面承诺函。未提供不得分。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监理检测设备</w:t>
            </w:r>
          </w:p>
        </w:tc>
        <w:tc>
          <w:tcPr>
            <w:tcW w:type="dxa" w:w="2492"/>
          </w:tcPr>
          <w:p>
            <w:pPr>
              <w:pStyle w:val="null3"/>
            </w:pPr>
            <w:r>
              <w:rPr>
                <w:rFonts w:ascii="仿宋_GB2312" w:hAnsi="仿宋_GB2312" w:cs="仿宋_GB2312" w:eastAsia="仿宋_GB2312"/>
              </w:rPr>
              <w:t>承诺或提供以下设备包括但不限于：全站仪、经纬仪、水准仪、激光测距仪、混凝土强度检测仪、激光垂准仪等项目使用仪器。备注：提供设备购置发票复印件或加盖公章的书面承诺函。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人员驻场承诺</w:t>
            </w:r>
          </w:p>
        </w:tc>
        <w:tc>
          <w:tcPr>
            <w:tcW w:type="dxa" w:w="2492"/>
          </w:tcPr>
          <w:p>
            <w:pPr>
              <w:pStyle w:val="null3"/>
            </w:pPr>
            <w:r>
              <w:rPr>
                <w:rFonts w:ascii="仿宋_GB2312" w:hAnsi="仿宋_GB2312" w:cs="仿宋_GB2312" w:eastAsia="仿宋_GB2312"/>
              </w:rPr>
              <w:t>供应商提供书面承诺：1、总监理工程师每月驻场≥22天，2、专业监理工程师全周期驻场。备注：每提供一份法定代表人签字并加盖公章的书面承诺函得5分。缺项或者未提供不得分。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1.经初审合格的磋商响应⽂件，其磋商报价为有效磋商报价，对其价格进⾏价格评审。 2.满⾜磋商⽂件实质性要求且最终报价最低的供应商的价格为磋商基准价，其价格分为满分30分。 3.磋商报价得分=（磋商基准价/最终磋商报价）×30的公式计算得分。 4.磋商报价不完整的，不进⼊基准价的计算，本项得0分。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详见附件：近年类似业绩.docx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