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版本号：ZY-202602120260817001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2026年防火道路维护项目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ZY-2026021</w:t>
      </w:r>
      <w:r>
        <w:br/>
      </w:r>
      <w:r>
        <w:br/>
      </w:r>
      <w:r>
        <w:br/>
      </w:r>
    </w:p>
    <w:p>
      <w:pPr>
        <w:pStyle w:val="null3"/>
        <w:jc w:val="center"/>
        <w:outlineLvl w:val="2"/>
      </w:pPr>
      <w:r>
        <w:rPr>
          <w:rFonts w:ascii="仿宋_GB2312" w:hAnsi="仿宋_GB2312" w:cs="仿宋_GB2312" w:eastAsia="仿宋_GB2312"/>
          <w:sz w:val="28"/>
          <w:b/>
        </w:rPr>
        <w:t>西安市小王涧国有生态林场</w:t>
      </w:r>
    </w:p>
    <w:p>
      <w:pPr>
        <w:pStyle w:val="null3"/>
        <w:jc w:val="center"/>
        <w:outlineLvl w:val="2"/>
      </w:pPr>
      <w:r>
        <w:rPr>
          <w:rFonts w:ascii="仿宋_GB2312" w:hAnsi="仿宋_GB2312" w:cs="仿宋_GB2312" w:eastAsia="仿宋_GB2312"/>
          <w:sz w:val="28"/>
          <w:b/>
        </w:rPr>
        <w:t>正耀项目管理有限公司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正耀项目管理有限公司</w:t>
      </w:r>
      <w:r>
        <w:rPr>
          <w:rFonts w:ascii="仿宋_GB2312" w:hAnsi="仿宋_GB2312" w:cs="仿宋_GB2312" w:eastAsia="仿宋_GB2312"/>
        </w:rPr>
        <w:t>（以下简称“代理机构”）受</w:t>
      </w:r>
      <w:r>
        <w:rPr>
          <w:rFonts w:ascii="仿宋_GB2312" w:hAnsi="仿宋_GB2312" w:cs="仿宋_GB2312" w:eastAsia="仿宋_GB2312"/>
        </w:rPr>
        <w:t>西安市小王涧国有生态林场</w:t>
      </w:r>
      <w:r>
        <w:rPr>
          <w:rFonts w:ascii="仿宋_GB2312" w:hAnsi="仿宋_GB2312" w:cs="仿宋_GB2312" w:eastAsia="仿宋_GB2312"/>
        </w:rPr>
        <w:t>委托，拟对</w:t>
      </w:r>
      <w:r>
        <w:rPr>
          <w:rFonts w:ascii="仿宋_GB2312" w:hAnsi="仿宋_GB2312" w:cs="仿宋_GB2312" w:eastAsia="仿宋_GB2312"/>
        </w:rPr>
        <w:t>2026年防火道路维护项目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ZY-2026021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2026年防火道路维护项目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在西安市小王涧国有生态林场辖区实施林区防火道路维护工程，本次共维护林区巡护道路14条，总里程100公里。通过开展道路维护，保障防火道路通行条件，提升林区森林防火应急响应效率，保障扑火车辆、人员及应急物资快速通行，推动火情防控与应急处置工作高效开展，实现森林火灾“打早、打小、打了”的防控目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采购包1（2026年防火道路维护项目）：属于专门面向中小企业采购。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企业法人、事业法人、其他组织或自然人,企业法人应提供具有统一社会信用代码的营业执照,事业法人应提供事业单位法人证,其他组织应提供合法证明文件,自然人提供身份证明文件；</w:t>
      </w:r>
    </w:p>
    <w:p>
      <w:pPr>
        <w:pStyle w:val="null3"/>
      </w:pPr>
      <w:r>
        <w:rPr>
          <w:rFonts w:ascii="仿宋_GB2312" w:hAnsi="仿宋_GB2312" w:cs="仿宋_GB2312" w:eastAsia="仿宋_GB2312"/>
        </w:rPr>
        <w:t>2、合法的授权：法定代表人（其他组织、自然人）直接参加投标只须提供法定代表人（其他组织、自然人）身份证明书及身份证加盖公章，法定代表人授权他人参加的，须提供法定代表人授权委托书及被授权人身份证加盖公章；</w:t>
      </w:r>
    </w:p>
    <w:p>
      <w:pPr>
        <w:pStyle w:val="null3"/>
      </w:pPr>
      <w:r>
        <w:rPr>
          <w:rFonts w:ascii="仿宋_GB2312" w:hAnsi="仿宋_GB2312" w:cs="仿宋_GB2312" w:eastAsia="仿宋_GB2312"/>
        </w:rPr>
        <w:t>3、供应商资质：供应商须具备建设行政主管部门核发的公路工程施工总承包三级及以上资质或市政公用工程施工总承包三级及以上资质，具备有效的建筑施工企业安全生产许可证；</w:t>
      </w:r>
    </w:p>
    <w:p>
      <w:pPr>
        <w:pStyle w:val="null3"/>
      </w:pPr>
      <w:r>
        <w:rPr>
          <w:rFonts w:ascii="仿宋_GB2312" w:hAnsi="仿宋_GB2312" w:cs="仿宋_GB2312" w:eastAsia="仿宋_GB2312"/>
        </w:rPr>
        <w:t>4、拟派项目经理资质：拟派项目经理具备公路工程或市政公用工程专业二级及以上注册建造师证书、有效的B类安全生产考核合格证书，提供无在建项目承诺书；</w:t>
      </w:r>
    </w:p>
    <w:p>
      <w:pPr>
        <w:pStyle w:val="null3"/>
      </w:pPr>
      <w:r>
        <w:rPr>
          <w:rFonts w:ascii="仿宋_GB2312" w:hAnsi="仿宋_GB2312" w:cs="仿宋_GB2312" w:eastAsia="仿宋_GB2312"/>
        </w:rPr>
        <w:t>5、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国务院国资委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6、税收缴纳证明：提供截止至开标时间前一年内任意一个月的税收缴纳凭据;(增值税、企业所得税至少提供一种，依法免税的供应商应提供相关文件证明)；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7、社会保障资金缴纳证明：提供截止至开标时间前六个月内任意一个月的社保缴纳凭据或社保机构开具的社会保险参保缴纳情况证明;(依法不需要缴纳社会保障资金的供应商应提供相关证明)；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8、履约承诺：提供具有履行本合同所必需的设备和专业技术能力的说明及承诺;(提供书面说明及承诺，加盖供应商公章)；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9、书面声明：提供参加政府采购活动前三年内在经营活动中没有重大违法记录的书面声明。(提供书面声明，加盖供应商公章)；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10、信用截图：供应商未被“信用中国”网站（http://www.creditchina.gov.cn）列入重大税收违法案件当事人名单，未被“中国执行信息公开网”（http://zxgk.court.gov.cn）网站被列为失信被执行人，未“中国政府采购网”（http://www.ccgp.gov.cn）列为政府采购严重违法失信行为记录名单、未被禁止参加政府采购活动。供应商须在项目电子化交易系统中提交在信用中国网站、中国执行信息公开网、中国政府采购网的信用记录查询截图，并完成电子签章；</w:t>
      </w:r>
    </w:p>
    <w:p>
      <w:pPr>
        <w:pStyle w:val="null3"/>
      </w:pPr>
      <w:r>
        <w:rPr>
          <w:rFonts w:ascii="仿宋_GB2312" w:hAnsi="仿宋_GB2312" w:cs="仿宋_GB2312" w:eastAsia="仿宋_GB2312"/>
        </w:rPr>
        <w:t>11、声明函：本项目不接受联合体投标，不允许分包。供应商应提供《非联合体不分包投标声明》。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西安市小王涧国有生态林场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周至县马召镇107省道黑河桥东路北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西安市小王涧国有生态林场经办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029-87112328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正耀项目管理有限公司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西安市高新区锦业路绿地中央广场领海A座第1幢1单元24层12408号房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15877364916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代理服务费收费标准：以双方签订的合同为准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西安市小王涧国有生态林场</w:t>
      </w:r>
      <w:r>
        <w:rPr>
          <w:rFonts w:ascii="仿宋_GB2312" w:hAnsi="仿宋_GB2312" w:cs="仿宋_GB2312" w:eastAsia="仿宋_GB2312"/>
        </w:rPr>
        <w:t>和</w:t>
      </w:r>
      <w:r>
        <w:rPr>
          <w:rFonts w:ascii="仿宋_GB2312" w:hAnsi="仿宋_GB2312" w:cs="仿宋_GB2312" w:eastAsia="仿宋_GB2312"/>
        </w:rPr>
        <w:t>正耀项目管理有限公司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西安市小王涧国有生态林场</w:t>
      </w:r>
      <w:r>
        <w:rPr>
          <w:rFonts w:ascii="仿宋_GB2312" w:hAnsi="仿宋_GB2312" w:cs="仿宋_GB2312" w:eastAsia="仿宋_GB2312"/>
        </w:rPr>
        <w:t>负责解释。除上述磋商文件内容，其他内容由</w:t>
      </w:r>
      <w:r>
        <w:rPr>
          <w:rFonts w:ascii="仿宋_GB2312" w:hAnsi="仿宋_GB2312" w:cs="仿宋_GB2312" w:eastAsia="仿宋_GB2312"/>
        </w:rPr>
        <w:t>正耀项目管理有限公司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西安市小王涧国有生态林场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正耀项目管理有限公司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须承诺，本项目所使用自有知识产权成果完整无权属纠纷；若涉及第三方知识产权成果，供应商需事前取得第三方完整合法授权，承担全部知识产权许可、维权、侵权赔偿责任，保证采购人使用本项目成果不遭受任何知识产权侵权追责，相关知识产权归属、使用范围、侵权责任划分等内容在采购合同中另行细化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1.满足现行的国家标准或国家行政部门颁布的法律法规、规章制度以及现行的行业标准。 2.符合采购文件要求及合同约定，满足采购人需求。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正耀项目管理有限公司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正耀项目管理有限公司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正耀项目管理有限公司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联系电话：15877364916</w:t>
      </w:r>
    </w:p>
    <w:p>
      <w:pPr>
        <w:pStyle w:val="null3"/>
      </w:pPr>
      <w:r>
        <w:rPr>
          <w:rFonts w:ascii="仿宋_GB2312" w:hAnsi="仿宋_GB2312" w:cs="仿宋_GB2312" w:eastAsia="仿宋_GB2312"/>
        </w:rPr>
        <w:t>地址：西安市高新区锦业路绿地中央广场领海A座第1幢1单元24层12408号房</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498,942.50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防火道路维护</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标的名称：防火道路维护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项目概况</w:t>
            </w:r>
          </w:p>
          <w:p>
            <w:pPr>
              <w:pStyle w:val="null3"/>
              <w:ind w:firstLine="560"/>
              <w:jc w:val="both"/>
            </w:pPr>
            <w:r>
              <w:rPr>
                <w:rFonts w:ascii="仿宋_GB2312" w:hAnsi="仿宋_GB2312" w:cs="仿宋_GB2312" w:eastAsia="仿宋_GB2312"/>
                <w:sz w:val="28"/>
              </w:rPr>
              <w:t>本项目拟在西安市小王涧国有生态林场辖区实施林区防火道路维护工程，本次共维护林区巡护道路</w:t>
            </w:r>
            <w:r>
              <w:rPr>
                <w:rFonts w:ascii="仿宋_GB2312" w:hAnsi="仿宋_GB2312" w:cs="仿宋_GB2312" w:eastAsia="仿宋_GB2312"/>
                <w:sz w:val="28"/>
              </w:rPr>
              <w:t>14</w:t>
            </w:r>
            <w:r>
              <w:rPr>
                <w:rFonts w:ascii="仿宋_GB2312" w:hAnsi="仿宋_GB2312" w:cs="仿宋_GB2312" w:eastAsia="仿宋_GB2312"/>
                <w:sz w:val="28"/>
              </w:rPr>
              <w:t>条，</w:t>
            </w:r>
            <w:r>
              <w:rPr>
                <w:rFonts w:ascii="仿宋_GB2312" w:hAnsi="仿宋_GB2312" w:cs="仿宋_GB2312" w:eastAsia="仿宋_GB2312"/>
                <w:sz w:val="28"/>
              </w:rPr>
              <w:t>总里程</w:t>
            </w:r>
            <w:r>
              <w:rPr>
                <w:rFonts w:ascii="仿宋_GB2312" w:hAnsi="仿宋_GB2312" w:cs="仿宋_GB2312" w:eastAsia="仿宋_GB2312"/>
                <w:sz w:val="28"/>
              </w:rPr>
              <w:t>100公里</w:t>
            </w:r>
            <w:r>
              <w:rPr>
                <w:rFonts w:ascii="仿宋_GB2312" w:hAnsi="仿宋_GB2312" w:cs="仿宋_GB2312" w:eastAsia="仿宋_GB2312"/>
                <w:sz w:val="28"/>
              </w:rPr>
              <w:t>。通过开展道路</w:t>
            </w:r>
            <w:r>
              <w:rPr>
                <w:rFonts w:ascii="仿宋_GB2312" w:hAnsi="仿宋_GB2312" w:cs="仿宋_GB2312" w:eastAsia="仿宋_GB2312"/>
                <w:sz w:val="28"/>
              </w:rPr>
              <w:t>维护</w:t>
            </w:r>
            <w:r>
              <w:rPr>
                <w:rFonts w:ascii="仿宋_GB2312" w:hAnsi="仿宋_GB2312" w:cs="仿宋_GB2312" w:eastAsia="仿宋_GB2312"/>
                <w:sz w:val="28"/>
              </w:rPr>
              <w:t>，保障防火道路通行条件，提升林区森林防火应急响应效率，保障扑火车辆、人员及应急物资快速通行，推动火情防控与应急处置工作高效开展，实现森林火灾</w:t>
            </w:r>
            <w:r>
              <w:rPr>
                <w:rFonts w:ascii="仿宋_GB2312" w:hAnsi="仿宋_GB2312" w:cs="仿宋_GB2312" w:eastAsia="仿宋_GB2312"/>
                <w:sz w:val="28"/>
              </w:rPr>
              <w:t>“打早、打小、打了”的防控目标。</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（一）</w:t>
            </w:r>
            <w:r>
              <w:rPr>
                <w:rFonts w:ascii="仿宋_GB2312" w:hAnsi="仿宋_GB2312" w:cs="仿宋_GB2312" w:eastAsia="仿宋_GB2312"/>
                <w:sz w:val="28"/>
              </w:rPr>
              <w:t>项目内容：维护林区防火道路</w:t>
            </w:r>
            <w:r>
              <w:rPr>
                <w:rFonts w:ascii="仿宋_GB2312" w:hAnsi="仿宋_GB2312" w:cs="仿宋_GB2312" w:eastAsia="仿宋_GB2312"/>
                <w:sz w:val="28"/>
              </w:rPr>
              <w:t>14条，共100Km，维护防火道路分布于西安市小王涧国有生态林场的管护林区范围内，涉及陈河管护站4条20.9km、河东管护站2条9.7km、黄草坡管护站3条16.1km、双庙子管护站4条28.7km及王小路24.6km(其中108国道至双庙子12.1km、双庙子至玉皇庙村12.5km)。</w:t>
            </w:r>
          </w:p>
          <w:p>
            <w:pPr>
              <w:pStyle w:val="null3"/>
              <w:ind w:firstLine="560"/>
              <w:jc w:val="both"/>
            </w:pPr>
            <w:r>
              <w:rPr>
                <w:rFonts w:ascii="仿宋_GB2312" w:hAnsi="仿宋_GB2312" w:cs="仿宋_GB2312" w:eastAsia="仿宋_GB2312"/>
                <w:sz w:val="28"/>
              </w:rPr>
              <w:t>（二）</w:t>
            </w:r>
            <w:r>
              <w:rPr>
                <w:rFonts w:ascii="仿宋_GB2312" w:hAnsi="仿宋_GB2312" w:cs="仿宋_GB2312" w:eastAsia="仿宋_GB2312"/>
                <w:sz w:val="28"/>
              </w:rPr>
              <w:t>工程地点：西安市小王涧国有生态林场林区。</w:t>
            </w:r>
          </w:p>
          <w:p>
            <w:pPr>
              <w:pStyle w:val="null3"/>
              <w:ind w:firstLine="560"/>
              <w:jc w:val="both"/>
            </w:pPr>
            <w:r>
              <w:rPr>
                <w:rFonts w:ascii="仿宋_GB2312" w:hAnsi="仿宋_GB2312" w:cs="仿宋_GB2312" w:eastAsia="仿宋_GB2312"/>
                <w:sz w:val="28"/>
              </w:rPr>
              <w:t>（三）</w:t>
            </w:r>
            <w:r>
              <w:rPr>
                <w:rFonts w:ascii="仿宋_GB2312" w:hAnsi="仿宋_GB2312" w:cs="仿宋_GB2312" w:eastAsia="仿宋_GB2312"/>
                <w:sz w:val="28"/>
              </w:rPr>
              <w:t>计划工期：自进场之日起</w:t>
            </w:r>
            <w:r>
              <w:rPr>
                <w:rFonts w:ascii="仿宋_GB2312" w:hAnsi="仿宋_GB2312" w:cs="仿宋_GB2312" w:eastAsia="仿宋_GB2312"/>
                <w:sz w:val="28"/>
              </w:rPr>
              <w:t>5个月内竣工。</w:t>
            </w:r>
          </w:p>
          <w:p>
            <w:pPr>
              <w:pStyle w:val="null3"/>
              <w:jc w:val="both"/>
            </w:pPr>
            <w:r>
              <w:rPr>
                <w:rFonts w:ascii="仿宋_GB2312" w:hAnsi="仿宋_GB2312" w:cs="仿宋_GB2312" w:eastAsia="仿宋_GB2312"/>
                <w:sz w:val="28"/>
                <w:b/>
              </w:rPr>
              <w:t>三、施工</w:t>
            </w:r>
            <w:r>
              <w:rPr>
                <w:rFonts w:ascii="仿宋_GB2312" w:hAnsi="仿宋_GB2312" w:cs="仿宋_GB2312" w:eastAsia="仿宋_GB2312"/>
                <w:sz w:val="28"/>
                <w:b/>
              </w:rPr>
              <w:t>要求</w:t>
            </w:r>
          </w:p>
          <w:p>
            <w:pPr>
              <w:pStyle w:val="null3"/>
              <w:ind w:firstLine="560"/>
              <w:jc w:val="both"/>
            </w:pPr>
            <w:r>
              <w:rPr>
                <w:rFonts w:ascii="仿宋_GB2312" w:hAnsi="仿宋_GB2312" w:cs="仿宋_GB2312" w:eastAsia="仿宋_GB2312"/>
                <w:sz w:val="28"/>
              </w:rPr>
              <w:t>施工单位应严格按照现行相关技术规范及采购人要求开展道路维修施工，严把工程质量，落实林区安全生产、森林防火及文明施工相关要求，妥善做好现场安全防护</w:t>
            </w:r>
            <w:r>
              <w:rPr>
                <w:rFonts w:ascii="仿宋_GB2312" w:hAnsi="仿宋_GB2312" w:cs="仿宋_GB2312" w:eastAsia="仿宋_GB2312"/>
                <w:sz w:val="28"/>
              </w:rPr>
              <w:t>和生态保护</w:t>
            </w:r>
            <w:r>
              <w:rPr>
                <w:rFonts w:ascii="仿宋_GB2312" w:hAnsi="仿宋_GB2312" w:cs="仿宋_GB2312" w:eastAsia="仿宋_GB2312"/>
                <w:sz w:val="28"/>
              </w:rPr>
              <w:t>，按期完成施工任务，保障道路满足林区巡护、防火应急通行需求。</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商务要求</w:t>
            </w:r>
          </w:p>
          <w:p>
            <w:pPr>
              <w:pStyle w:val="null3"/>
              <w:ind w:firstLine="560"/>
              <w:jc w:val="left"/>
            </w:pPr>
            <w:r>
              <w:rPr>
                <w:rFonts w:ascii="仿宋_GB2312" w:hAnsi="仿宋_GB2312" w:cs="仿宋_GB2312" w:eastAsia="仿宋_GB2312"/>
                <w:sz w:val="28"/>
              </w:rPr>
              <w:t>（一）</w:t>
            </w:r>
            <w:r>
              <w:rPr>
                <w:rFonts w:ascii="仿宋_GB2312" w:hAnsi="仿宋_GB2312" w:cs="仿宋_GB2312" w:eastAsia="仿宋_GB2312"/>
                <w:sz w:val="28"/>
              </w:rPr>
              <w:t>工程</w:t>
            </w:r>
            <w:r>
              <w:rPr>
                <w:rFonts w:ascii="仿宋_GB2312" w:hAnsi="仿宋_GB2312" w:cs="仿宋_GB2312" w:eastAsia="仿宋_GB2312"/>
                <w:sz w:val="28"/>
              </w:rPr>
              <w:t>期限</w:t>
            </w:r>
          </w:p>
          <w:p>
            <w:pPr>
              <w:pStyle w:val="null3"/>
              <w:ind w:firstLine="560"/>
              <w:jc w:val="left"/>
            </w:pPr>
            <w:r>
              <w:rPr>
                <w:rFonts w:ascii="仿宋_GB2312" w:hAnsi="仿宋_GB2312" w:cs="仿宋_GB2312" w:eastAsia="仿宋_GB2312"/>
                <w:sz w:val="28"/>
              </w:rPr>
              <w:t>自合同签订之日起</w:t>
            </w:r>
            <w:r>
              <w:rPr>
                <w:rFonts w:ascii="仿宋_GB2312" w:hAnsi="仿宋_GB2312" w:cs="仿宋_GB2312" w:eastAsia="仿宋_GB2312"/>
                <w:sz w:val="28"/>
              </w:rPr>
              <w:t>5</w:t>
            </w:r>
            <w:r>
              <w:rPr>
                <w:rFonts w:ascii="仿宋_GB2312" w:hAnsi="仿宋_GB2312" w:cs="仿宋_GB2312" w:eastAsia="仿宋_GB2312"/>
                <w:sz w:val="28"/>
              </w:rPr>
              <w:t>个月</w:t>
            </w:r>
            <w:r>
              <w:rPr>
                <w:rFonts w:ascii="仿宋_GB2312" w:hAnsi="仿宋_GB2312" w:cs="仿宋_GB2312" w:eastAsia="仿宋_GB2312"/>
                <w:sz w:val="28"/>
              </w:rPr>
              <w:t>内</w:t>
            </w:r>
            <w:r>
              <w:rPr>
                <w:rFonts w:ascii="仿宋_GB2312" w:hAnsi="仿宋_GB2312" w:cs="仿宋_GB2312" w:eastAsia="仿宋_GB2312"/>
                <w:sz w:val="28"/>
              </w:rPr>
              <w:t>竣工</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（二）款项结算</w:t>
            </w:r>
          </w:p>
          <w:p>
            <w:pPr>
              <w:pStyle w:val="null3"/>
              <w:ind w:firstLine="560"/>
              <w:jc w:val="left"/>
            </w:pPr>
            <w:r>
              <w:rPr>
                <w:rFonts w:ascii="仿宋_GB2312" w:hAnsi="仿宋_GB2312" w:cs="仿宋_GB2312" w:eastAsia="仿宋_GB2312"/>
                <w:sz w:val="28"/>
              </w:rPr>
              <w:t>合同签订后</w:t>
            </w:r>
            <w:r>
              <w:rPr>
                <w:rFonts w:ascii="仿宋_GB2312" w:hAnsi="仿宋_GB2312" w:cs="仿宋_GB2312" w:eastAsia="仿宋_GB2312"/>
                <w:sz w:val="28"/>
              </w:rPr>
              <w:t>10个工作日内支付合同总价款</w:t>
            </w:r>
            <w:r>
              <w:rPr>
                <w:rFonts w:ascii="仿宋_GB2312" w:hAnsi="仿宋_GB2312" w:cs="仿宋_GB2312" w:eastAsia="仿宋_GB2312"/>
                <w:sz w:val="28"/>
              </w:rPr>
              <w:t>的</w:t>
            </w:r>
            <w:r>
              <w:rPr>
                <w:rFonts w:ascii="仿宋_GB2312" w:hAnsi="仿宋_GB2312" w:cs="仿宋_GB2312" w:eastAsia="仿宋_GB2312"/>
                <w:sz w:val="28"/>
              </w:rPr>
              <w:t>50</w:t>
            </w:r>
            <w:r>
              <w:rPr>
                <w:rFonts w:ascii="仿宋_GB2312" w:hAnsi="仿宋_GB2312" w:cs="仿宋_GB2312" w:eastAsia="仿宋_GB2312"/>
                <w:sz w:val="28"/>
              </w:rPr>
              <w:t>%;</w:t>
            </w:r>
            <w:r>
              <w:rPr>
                <w:rFonts w:ascii="仿宋_GB2312" w:hAnsi="仿宋_GB2312" w:cs="仿宋_GB2312" w:eastAsia="仿宋_GB2312"/>
                <w:sz w:val="28"/>
              </w:rPr>
              <w:t>工程验收合格后，</w:t>
            </w:r>
            <w:r>
              <w:rPr>
                <w:rFonts w:ascii="仿宋_GB2312" w:hAnsi="仿宋_GB2312" w:cs="仿宋_GB2312" w:eastAsia="仿宋_GB2312"/>
                <w:sz w:val="28"/>
              </w:rPr>
              <w:t>10个工作日内支付合同总价款的30%；结算审核完成后10个工作日内支付剩余款项</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其他</w:t>
            </w:r>
          </w:p>
          <w:p>
            <w:pPr>
              <w:pStyle w:val="null3"/>
              <w:spacing w:before="90"/>
              <w:ind w:firstLine="544"/>
              <w:jc w:val="both"/>
            </w:pPr>
            <w:r>
              <w:rPr>
                <w:rFonts w:ascii="仿宋_GB2312" w:hAnsi="仿宋_GB2312" w:cs="仿宋_GB2312" w:eastAsia="仿宋_GB2312"/>
                <w:sz w:val="28"/>
              </w:rPr>
              <w:t>质量验收标准或规范：满足</w:t>
            </w:r>
            <w:r>
              <w:rPr>
                <w:rFonts w:ascii="仿宋_GB2312" w:hAnsi="仿宋_GB2312" w:cs="仿宋_GB2312" w:eastAsia="仿宋_GB2312"/>
                <w:sz w:val="28"/>
              </w:rPr>
              <w:t>现行的国家标准或国家行政部门颁布的法律</w:t>
            </w:r>
            <w:r>
              <w:rPr>
                <w:rFonts w:ascii="仿宋_GB2312" w:hAnsi="仿宋_GB2312" w:cs="仿宋_GB2312" w:eastAsia="仿宋_GB2312"/>
                <w:sz w:val="28"/>
              </w:rPr>
              <w:t>法规、规章制度</w:t>
            </w:r>
            <w:r>
              <w:rPr>
                <w:rFonts w:ascii="仿宋_GB2312" w:hAnsi="仿宋_GB2312" w:cs="仿宋_GB2312" w:eastAsia="仿宋_GB2312"/>
                <w:sz w:val="28"/>
              </w:rPr>
              <w:t>以及现行的</w:t>
            </w:r>
            <w:r>
              <w:rPr>
                <w:rFonts w:ascii="仿宋_GB2312" w:hAnsi="仿宋_GB2312" w:cs="仿宋_GB2312" w:eastAsia="仿宋_GB2312"/>
                <w:sz w:val="28"/>
              </w:rPr>
              <w:t>行业标准。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1.必须达到国家及行业现行技术规范标准，符合国家及行业验收合格标准。 2.符合采购文件要求及合同约定，满足采购人需求。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满足磋商文件及采购人需求，符合相关行业规范标准。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 2、成交供应商在领取中标通知书前，须向采购代理机构提交纸质版响应文件（一正一副）电子版U盘1个，且提供的响应文件必须与在陕西省政府采购综合管理平台的项目电子化交易系统中递交的电子响应文件内容一致，纸质版响应文件必须装订成册签字盖章。 3、成交供应商可在中标结果公示后的2个工作日内，前往代理公司领取加盖采购人及代理公司公章的纸质版中标通知书。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企业法人、事业法人、其他组织或自然人,企业法人应提供具有统一社会信用代码的营业执照,事业法人应提供事业单位法人证,其他组织应提供合法证明文件,自然人提供身份证明文件；</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合法的授权</w:t>
            </w:r>
          </w:p>
        </w:tc>
        <w:tc>
          <w:tcPr>
            <w:tcW w:type="dxa" w:w="3322"/>
          </w:tcPr>
          <w:p>
            <w:pPr>
              <w:pStyle w:val="null3"/>
            </w:pPr>
            <w:r>
              <w:rPr>
                <w:rFonts w:ascii="仿宋_GB2312" w:hAnsi="仿宋_GB2312" w:cs="仿宋_GB2312" w:eastAsia="仿宋_GB2312"/>
              </w:rPr>
              <w:t>法定代表人（其他组织、自然人）直接参加投标只须提供法定代表人（其他组织、自然人）身份证明书及身份证加盖公章，法定代表人授权他人参加的，须提供法定代表人授权委托书及被授权人身份证加盖公章；</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供应商须具备建设行政主管部门核发的公路工程施工总承包三级及以上资质或市政公用工程施工总承包三级及以上资质，具备有效的建筑施工企业安全生产许可证；</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拟派项目经理具备公路工程或市政公用工程专业二级及以上注册建造师证书、有效的B类安全生产考核合格证书，提供无在建项目承诺书；</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国务院国资委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未被“信用中国”网站（http://www.creditchina.gov.cn）列入重大税收违法案件当事人名单，未被“中国执行信息公开网”（http://zxgk.court.gov.cn）网站被列为失信被执行人，未“中国政府采购网”（http://www.ccgp.gov.cn）列为政府采购严重违法失信行为记录名单、未被禁止参加政府采购活动。供应商须在项目电子化交易系统中提交在信用中国网站、中国执行信息公开网、中国政府采购网的信用记录查询截图，并完成电子签章；</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1供应商资格证明文件.docx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不满足下列情形之一的，应在符合性审查时按照无效投标处理： (1)响应文件的签署、盖章及格式：满足采购文件中响应文件的签署、盖章及格式要求； (2)响应有效期：响应有效期符合采购文件要求； (3)供应商名称与营业执照一致； (4)投标报价：①投标报价符合唯一性要求：②投标报价表填写符合要求；③计量单位、报价货币均符合采购文件要求；④未超出采购预算或采购文件规定的最高限价。 (5)响应文件内容：响应文件内容齐全、无遗漏； (6)工期：应满足采购文件中要求；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3技术响应方案.docx 1供应商资格证明文件.docx 标的清单 响应函 2技术、服务及其他商务要求应答表.docx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（一）施工总体方案（12分）：内容包括但不限于①施工准备；②施工进度安排；③施工方法；④重点难点工程分析及解决措施； ⑤影响正常施工外在因素分析⑥对应预案等。 评审标准：各项内容全面详细、阐述条理清晰详尽、符合本项目采购需求、能有效保障本项目实施得12分；每缺一项扣2分，每一项内容存在缺陷，扣1-1.5分，扣完为止。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（二）确保工程质量的技术组织措施（10分）内容包括但不限于①质量管理工作流程；②工程质量保障方案；③工程质量控制体系； ④材料和构配件的质量控制等；⑤施工检测及工序交验方案等。 评审标准：各项内容全面详细、阐述条理清晰详尽、符合本项目采购需求、能有效保障本项目实施得10分；每缺一项扣2分，每一项内容存在缺陷，扣1-1.5分，扣完为止。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（三）确保安全生产技术组织措施（8分）：内容包括但不限于①安全生产管理制度；②配置安全组织机构；③安全隐患排查、整改制度；④应急救援机制等。 评审标准：各项内容全面详细、阐述条理清晰详尽、符合本项目采购需求、能有效保障本项目实施得8分；每缺一项扣2分，每一项内容存在缺陷，扣1-1.5分，扣完为止。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（四）确保文明施工及环境保护组织措施（8分）内容包括但不限于①文明及环境保护管理制度； ②防尘降噪、治污减霾措施； ③节能减排措施； ④文明及环境保护施工监督检查机制等。 评审标准：各项内容全面详细、阐述条理清晰详尽、符合本项目采购需求、能有效保障本项目实施得8分；每缺一项扣2分，每一项内容存在缺陷，扣1-1.5分，扣完为止。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（五）施工组织和项目管理机构（8分）内容包括但不限于①项目管理机构图;②岗位安排及职责（配备技术人员、施工员、安全员、资料员、材料员、质量员等）；③管理制度；④相应的协调措施。 评审标准：各项内容全面详细、阐述条理清晰详尽、符合本项目采购需求、能有效保障本项目实施得8分；每缺一项扣2分，每一项内容存在缺陷，扣1-1.5分，扣完为止。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（六）施工机械配置和材料投入计划（满分8分）内容包括但不限于①施工机械配置计划； ②施工材料投入计划； ③施工机械的维护保养和材料的贮存； ④施工机械、材料的监督和检查等。 评审标准：各项内容全面详细、阐述条理清晰详尽、符合本项目采购需求、能有效保障本项目实施得8分；每缺一项扣2分，每一项内容存在缺陷，扣1-1.5分，扣完为止。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施工部署与工期进度计划</w:t>
            </w:r>
          </w:p>
        </w:tc>
        <w:tc>
          <w:tcPr>
            <w:tcW w:type="dxa" w:w="2492"/>
          </w:tcPr>
          <w:p>
            <w:pPr>
              <w:pStyle w:val="null3"/>
            </w:pPr>
            <w:r>
              <w:rPr>
                <w:rFonts w:ascii="仿宋_GB2312" w:hAnsi="仿宋_GB2312" w:cs="仿宋_GB2312" w:eastAsia="仿宋_GB2312"/>
              </w:rPr>
              <w:t>（七）施工部署与工期进度计划（满分10分）内容包括但不限于①施工总平面布置；②进度安排计划； ③工期目标控制和保证措施； ④材料供应措施；⑤成品、半成品保护监管措施等。 评审标准：各项内容全面详细、阐述条理清晰详尽、符合本项目采购需求、能有效保障本项目实施得10分；每缺一项扣2分，每一项内容存在缺陷，扣1-1.5分，扣完为止。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提供（2023年02月至今） 类似项目业绩，每提供一个类似项目业绩计2分，满分6分（以施工合同为准，时间以合同内时间为准 ，提供复印件加盖供应商公章）。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1.满足磋商文件要求且磋商报价最低为评标基准价，30分； 2.其余的磋商报价给分按照下列公式计算：磋商报价得分=（评标基准价/磋商报价）×价格权值×100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详见附件：1供应商资格证明文件.docx</w:t>
      </w:r>
    </w:p>
    <w:p>
      <w:pPr>
        <w:pStyle w:val="null3"/>
        <w:ind w:firstLine="960"/>
      </w:pPr>
      <w:r>
        <w:rPr>
          <w:rFonts w:ascii="仿宋_GB2312" w:hAnsi="仿宋_GB2312" w:cs="仿宋_GB2312" w:eastAsia="仿宋_GB2312"/>
        </w:rPr>
        <w:t>详见附件：2技术、服务及其他商务要求应答表.docx</w:t>
      </w:r>
    </w:p>
    <w:p>
      <w:pPr>
        <w:pStyle w:val="null3"/>
        <w:ind w:firstLine="960"/>
      </w:pPr>
      <w:r>
        <w:rPr>
          <w:rFonts w:ascii="仿宋_GB2312" w:hAnsi="仿宋_GB2312" w:cs="仿宋_GB2312" w:eastAsia="仿宋_GB2312"/>
        </w:rPr>
        <w:t>详见附件：3技术响应方案.docx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详见附件：4合同文本.docx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