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版本号：JZDCG-2026-02720260610002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购买锅炉系统第三方运维公司服务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JZDCG-2026-027</w:t>
      </w:r>
      <w:r>
        <w:br/>
      </w:r>
      <w:r>
        <w:br/>
      </w:r>
      <w:r>
        <w:br/>
      </w:r>
    </w:p>
    <w:p>
      <w:pPr>
        <w:pStyle w:val="null3"/>
        <w:jc w:val="center"/>
        <w:outlineLvl w:val="2"/>
      </w:pPr>
      <w:r>
        <w:rPr>
          <w:rFonts w:ascii="仿宋_GB2312" w:hAnsi="仿宋_GB2312" w:cs="仿宋_GB2312" w:eastAsia="仿宋_GB2312"/>
          <w:sz w:val="28"/>
          <w:b/>
        </w:rPr>
        <w:t>蒲城县医院</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蒲城县医院</w:t>
      </w:r>
      <w:r>
        <w:rPr>
          <w:rFonts w:ascii="仿宋_GB2312" w:hAnsi="仿宋_GB2312" w:cs="仿宋_GB2312" w:eastAsia="仿宋_GB2312"/>
        </w:rPr>
        <w:t>委托，拟对</w:t>
      </w:r>
      <w:r>
        <w:rPr>
          <w:rFonts w:ascii="仿宋_GB2312" w:hAnsi="仿宋_GB2312" w:cs="仿宋_GB2312" w:eastAsia="仿宋_GB2312"/>
        </w:rPr>
        <w:t>购买锅炉系统第三方运维公司服务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购买锅炉系统第三方运维公司服务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针对蒲城县医院2台4T的蒸汽锅炉进行日常运行、维护、安全管理。第三方运维公司要严格遵守《特种设备安全法》《锅炉安全技术监察规程》等法规标准，确保锅炉系统每日24小时安全、稳定、高效运行，满足医院供暖、供应室、洗衣房及净化机组等科室的蒸汽消毒需求，延长设备的使用寿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采购包1（购买锅炉系统第三方运维公司服务）：属于专门面向中小企业采购。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3、税收缴纳证明：自2025年12月01日以来已缴存的至少一个月的纳税证明或完税证明，纳税证明或完税证明上应有代收机构或税务机关的公章或业务专用章。依法免税的投标人应提供相关文件证明；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失信主体，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6、无重大违法记录：参加政府采购活动前三年内在经营活动中没有重大违法记录的声明函；</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8、本项目不接受联合体磋商：提供非联合体声明。</w:t>
      </w:r>
    </w:p>
    <w:p>
      <w:pPr>
        <w:pStyle w:val="null3"/>
      </w:pPr>
      <w:r>
        <w:rPr>
          <w:rFonts w:ascii="仿宋_GB2312" w:hAnsi="仿宋_GB2312" w:cs="仿宋_GB2312" w:eastAsia="仿宋_GB2312"/>
        </w:rPr>
        <w:t>9、资质要求：提供合格有效的《特种设备生产许可证》（许可子项目：锅炉安装（含修理、改造）B级及以上）。</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蒲城县延安街14号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0913-7205811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毕云、王军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不足6000元按6000元收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蒲城县医院</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联系人：毕云、王军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地址：陕西省西安市高新区科技五路三号橡树星座B座902室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主要针对蒲城县医院2台4T的蒸汽锅炉进行日常运行、维护、安全管理。第三方运维公司要严格遵守《特种设备安全法》《锅炉安全技术监察规程》等法规标准，确保锅炉系统每日24小时安全、稳定、高效运行，满足医院供暖、供应室、洗衣房及净化机组等科室的蒸汽消毒需求，延长设备的使用寿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528,000.00</w:t>
      </w:r>
    </w:p>
    <w:p>
      <w:pPr>
        <w:pStyle w:val="null3"/>
      </w:pPr>
      <w:r>
        <w:rPr>
          <w:rFonts w:ascii="仿宋_GB2312" w:hAnsi="仿宋_GB2312" w:cs="仿宋_GB2312" w:eastAsia="仿宋_GB2312"/>
        </w:rPr>
        <w:t>采购包最高限价（元）: 528,000.00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购买锅炉系统第三方运维公司服务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标的名称：购买锅炉系统第三方运维公司服务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项目主要针对蒲城县医院2台4T的蒸汽锅炉进行日常运行、维护、安全管理。第三方运维公司要严格遵守《特种设备安全法》《锅炉安全技术监察规程》等法规标准，确保锅炉系统每日24小时安全、稳定、高效运行，满足医院供暖、供应室、洗衣房及净化机组等科室的蒸汽消毒需求，延长设备的使用寿命。</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1）日常24小时巡查内容</w:t>
            </w:r>
          </w:p>
          <w:tbl>
            <w:tblPr>
              <w:tblInd w:type="dxa" w:w="15"/>
              <w:tblBorders>
                <w:top w:val="none" w:color="000000" w:sz="4"/>
                <w:left w:val="none" w:color="000000" w:sz="4"/>
                <w:bottom w:val="none" w:color="000000" w:sz="4"/>
                <w:right w:val="none" w:color="000000" w:sz="4"/>
                <w:insideH w:val="none"/>
                <w:insideV w:val="none"/>
              </w:tblBorders>
            </w:tblPr>
            <w:tblGrid>
              <w:gridCol w:w="268"/>
              <w:gridCol w:w="322"/>
              <w:gridCol w:w="1006"/>
              <w:gridCol w:w="389"/>
              <w:gridCol w:w="553"/>
            </w:tblGrid>
            <w:tr>
              <w:tc>
                <w:tcPr>
                  <w:tcW w:type="dxa" w:w="268"/>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巡查区域</w:t>
                  </w:r>
                  <w:r>
                    <w:rPr>
                      <w:rFonts w:ascii="仿宋_GB2312" w:hAnsi="仿宋_GB2312" w:cs="仿宋_GB2312" w:eastAsia="仿宋_GB2312"/>
                      <w:sz w:val="18"/>
                    </w:rPr>
                    <w:t>/系统</w:t>
                  </w:r>
                </w:p>
              </w:tc>
              <w:tc>
                <w:tcPr>
                  <w:tcW w:type="dxa" w:w="32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巡查项目</w:t>
                  </w:r>
                </w:p>
              </w:tc>
              <w:tc>
                <w:tcPr>
                  <w:tcW w:type="dxa" w:w="1006"/>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检查标准</w:t>
                  </w:r>
                  <w:r>
                    <w:rPr>
                      <w:rFonts w:ascii="仿宋_GB2312" w:hAnsi="仿宋_GB2312" w:cs="仿宋_GB2312" w:eastAsia="仿宋_GB2312"/>
                      <w:sz w:val="18"/>
                    </w:rPr>
                    <w:t>/要求</w:t>
                  </w:r>
                </w:p>
              </w:tc>
              <w:tc>
                <w:tcPr>
                  <w:tcW w:type="dxa" w:w="389"/>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记录要求</w:t>
                  </w:r>
                </w:p>
              </w:tc>
              <w:tc>
                <w:tcPr>
                  <w:tcW w:type="dxa" w:w="553"/>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异常处理要求</w:t>
                  </w:r>
                </w:p>
              </w:tc>
            </w:tr>
            <w:tr>
              <w:tc>
                <w:tcPr>
                  <w:tcW w:type="dxa" w:w="268"/>
                  <w:vMerge w:val="restart"/>
                  <w:tcBorders>
                    <w:top w:val="none" w:color="000000" w:sz="4"/>
                    <w:left w:val="single" w:color="000000" w:sz="4"/>
                    <w:bottom w:val="non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锅炉机房</w:t>
                  </w: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锅炉本体运行状态</w:t>
                  </w:r>
                </w:p>
              </w:tc>
              <w:tc>
                <w:tcPr>
                  <w:tcW w:type="dxa" w:w="10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蒸汽锅炉：蒸汽压力、温度在额定范围，水位在正常水位线</w:t>
                  </w:r>
                  <w:r>
                    <w:rPr>
                      <w:rFonts w:ascii="仿宋_GB2312" w:hAnsi="仿宋_GB2312" w:cs="仿宋_GB2312" w:eastAsia="仿宋_GB2312"/>
                      <w:sz w:val="18"/>
                    </w:rPr>
                    <w:t>±50mm内；压力符合设定值；炉体无异常振动、异响、泄漏（蒸汽、热水、燃气）。</w:t>
                  </w:r>
                </w:p>
              </w:tc>
              <w:tc>
                <w:tcPr>
                  <w:tcW w:type="dxa" w:w="38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每小时记录</w:t>
                  </w:r>
                  <w:r>
                    <w:rPr>
                      <w:rFonts w:ascii="仿宋_GB2312" w:hAnsi="仿宋_GB2312" w:cs="仿宋_GB2312" w:eastAsia="仿宋_GB2312"/>
                      <w:sz w:val="18"/>
                    </w:rPr>
                    <w:t>1次关键运行参数（压力、温度、水位）</w:t>
                  </w:r>
                </w:p>
              </w:tc>
              <w:tc>
                <w:tcPr>
                  <w:tcW w:type="dxa" w:w="55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立即停炉（若出现超压、缺水等紧急情况），启动应急预案，记录异常现象并上报院方。</w:t>
                  </w:r>
                </w:p>
              </w:tc>
            </w:tr>
            <w:tr>
              <w:tc>
                <w:tcPr>
                  <w:tcW w:type="dxa" w:w="268"/>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燃烧器运行状态</w:t>
                  </w:r>
                </w:p>
              </w:tc>
              <w:tc>
                <w:tcPr>
                  <w:tcW w:type="dxa" w:w="10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点火正常，火焰呈淡蓝色且稳定，无脱火、回火、熄火现象；燃气压力稳定在额定范围（</w:t>
                  </w:r>
                  <w:r>
                    <w:rPr>
                      <w:rFonts w:ascii="仿宋_GB2312" w:hAnsi="仿宋_GB2312" w:cs="仿宋_GB2312" w:eastAsia="仿宋_GB2312"/>
                      <w:sz w:val="18"/>
                    </w:rPr>
                    <w:t>0.02-0.03MPa）；风压、油压（若有）符合设备要求。</w:t>
                  </w:r>
                </w:p>
              </w:tc>
              <w:tc>
                <w:tcPr>
                  <w:tcW w:type="dxa" w:w="38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每</w:t>
                  </w:r>
                  <w:r>
                    <w:rPr>
                      <w:rFonts w:ascii="仿宋_GB2312" w:hAnsi="仿宋_GB2312" w:cs="仿宋_GB2312" w:eastAsia="仿宋_GB2312"/>
                      <w:sz w:val="18"/>
                    </w:rPr>
                    <w:t>2小时记录1次燃烧器运行参数</w:t>
                  </w:r>
                </w:p>
              </w:tc>
              <w:tc>
                <w:tcPr>
                  <w:tcW w:type="dxa" w:w="55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立即关闭燃气阀门（若出现熄火、回火），排查原因并修复，修复前禁止重新点火。</w:t>
                  </w:r>
                </w:p>
              </w:tc>
            </w:tr>
            <w:tr>
              <w:tc>
                <w:tcPr>
                  <w:tcW w:type="dxa" w:w="268"/>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给水泵</w:t>
                  </w:r>
                  <w:r>
                    <w:rPr>
                      <w:rFonts w:ascii="仿宋_GB2312" w:hAnsi="仿宋_GB2312" w:cs="仿宋_GB2312" w:eastAsia="仿宋_GB2312"/>
                      <w:sz w:val="18"/>
                    </w:rPr>
                    <w:t>/循环泵/补水泵</w:t>
                  </w:r>
                </w:p>
              </w:tc>
              <w:tc>
                <w:tcPr>
                  <w:tcW w:type="dxa" w:w="10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运行平稳，无异常噪音、振动、过热（轴承温度</w:t>
                  </w:r>
                  <w:r>
                    <w:rPr>
                      <w:rFonts w:ascii="仿宋_GB2312" w:hAnsi="仿宋_GB2312" w:cs="仿宋_GB2312" w:eastAsia="仿宋_GB2312"/>
                      <w:sz w:val="18"/>
                    </w:rPr>
                    <w:t>≤75℃）；进出口压力正常，无泄漏；电机电流、电压在额定范围。</w:t>
                  </w:r>
                </w:p>
              </w:tc>
              <w:tc>
                <w:tcPr>
                  <w:tcW w:type="dxa" w:w="38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每</w:t>
                  </w:r>
                  <w:r>
                    <w:rPr>
                      <w:rFonts w:ascii="仿宋_GB2312" w:hAnsi="仿宋_GB2312" w:cs="仿宋_GB2312" w:eastAsia="仿宋_GB2312"/>
                      <w:sz w:val="18"/>
                    </w:rPr>
                    <w:t>2小时记录1次运行状态、压力、电流</w:t>
                  </w:r>
                </w:p>
              </w:tc>
              <w:tc>
                <w:tcPr>
                  <w:tcW w:type="dxa" w:w="55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记录异常，及时停机报修，若为关键泵组，立即切换至备用泵。</w:t>
                  </w:r>
                </w:p>
              </w:tc>
            </w:tr>
            <w:tr>
              <w:tc>
                <w:tcPr>
                  <w:tcW w:type="dxa" w:w="268"/>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水处理设备（软水器）</w:t>
                  </w:r>
                </w:p>
              </w:tc>
              <w:tc>
                <w:tcPr>
                  <w:tcW w:type="dxa" w:w="10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软水器出水硬度</w:t>
                  </w:r>
                  <w:r>
                    <w:rPr>
                      <w:rFonts w:ascii="仿宋_GB2312" w:hAnsi="仿宋_GB2312" w:cs="仿宋_GB2312" w:eastAsia="仿宋_GB2312"/>
                      <w:sz w:val="18"/>
                    </w:rPr>
                    <w:t>≤0.03mmol/L；锅炉水质质量达标；设备运行程序正常，再生系统无故障。</w:t>
                  </w:r>
                </w:p>
              </w:tc>
              <w:tc>
                <w:tcPr>
                  <w:tcW w:type="dxa" w:w="38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每日记录</w:t>
                  </w:r>
                  <w:r>
                    <w:rPr>
                      <w:rFonts w:ascii="仿宋_GB2312" w:hAnsi="仿宋_GB2312" w:cs="仿宋_GB2312" w:eastAsia="仿宋_GB2312"/>
                      <w:sz w:val="18"/>
                    </w:rPr>
                    <w:t>2次水质检测数据（硬度）</w:t>
                  </w:r>
                </w:p>
              </w:tc>
              <w:tc>
                <w:tcPr>
                  <w:tcW w:type="dxa" w:w="55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立即停机检修水处理设备，若水质超标，暂停锅炉补水并更换备用软水，待水质达标后恢复补水。</w:t>
                  </w:r>
                </w:p>
              </w:tc>
            </w:tr>
            <w:tr>
              <w:tc>
                <w:tcPr>
                  <w:tcW w:type="dxa" w:w="268"/>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安全附件（安全阀、压力表、水位计）</w:t>
                  </w:r>
                </w:p>
              </w:tc>
              <w:tc>
                <w:tcPr>
                  <w:tcW w:type="dxa" w:w="10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安全阀铅封完好，无泄漏；压力表指针灵活，读数准确（与标准表比对误差</w:t>
                  </w:r>
                  <w:r>
                    <w:rPr>
                      <w:rFonts w:ascii="仿宋_GB2312" w:hAnsi="仿宋_GB2312" w:cs="仿宋_GB2312" w:eastAsia="仿宋_GB2312"/>
                      <w:sz w:val="18"/>
                    </w:rPr>
                    <w:t>≤0.05MPa）；水位计清晰，水位显示准确，无结垢、泄漏。</w:t>
                  </w:r>
                </w:p>
              </w:tc>
              <w:tc>
                <w:tcPr>
                  <w:tcW w:type="dxa" w:w="38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每小时检查</w:t>
                  </w:r>
                  <w:r>
                    <w:rPr>
                      <w:rFonts w:ascii="仿宋_GB2312" w:hAnsi="仿宋_GB2312" w:cs="仿宋_GB2312" w:eastAsia="仿宋_GB2312"/>
                      <w:sz w:val="18"/>
                    </w:rPr>
                    <w:t>1次安全附件状态</w:t>
                  </w:r>
                </w:p>
              </w:tc>
              <w:tc>
                <w:tcPr>
                  <w:tcW w:type="dxa" w:w="55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立即停用故障安全附件，更换备用件并联系校验单位，未修复前锅炉不得运行。</w:t>
                  </w:r>
                </w:p>
              </w:tc>
            </w:tr>
            <w:tr>
              <w:tc>
                <w:tcPr>
                  <w:tcW w:type="dxa" w:w="268"/>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燃气管道及阀门</w:t>
                  </w:r>
                </w:p>
              </w:tc>
              <w:tc>
                <w:tcPr>
                  <w:tcW w:type="dxa" w:w="10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燃气管道无泄漏（用肥皂水检测接口）；阀门开关灵活，无卡滞、泄漏；燃气报警仪正常工作（定期测试报警功能）。</w:t>
                  </w:r>
                </w:p>
              </w:tc>
              <w:tc>
                <w:tcPr>
                  <w:tcW w:type="dxa" w:w="38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每</w:t>
                  </w:r>
                  <w:r>
                    <w:rPr>
                      <w:rFonts w:ascii="仿宋_GB2312" w:hAnsi="仿宋_GB2312" w:cs="仿宋_GB2312" w:eastAsia="仿宋_GB2312"/>
                      <w:sz w:val="18"/>
                    </w:rPr>
                    <w:t>2小时检查1次燃气管道及阀门，每日测试1次燃气报警仪</w:t>
                  </w:r>
                </w:p>
              </w:tc>
              <w:tc>
                <w:tcPr>
                  <w:tcW w:type="dxa" w:w="55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立即关闭燃气总阀（若发现泄漏），通风换气后排查泄漏点并修复，修复后需进行气密性测试。</w:t>
                  </w:r>
                </w:p>
              </w:tc>
            </w:tr>
            <w:tr>
              <w:tc>
                <w:tcPr>
                  <w:tcW w:type="dxa" w:w="26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机房环境</w:t>
                  </w: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机房温度、通风</w:t>
                  </w:r>
                </w:p>
              </w:tc>
              <w:tc>
                <w:tcPr>
                  <w:tcW w:type="dxa" w:w="10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机房温度</w:t>
                  </w:r>
                  <w:r>
                    <w:rPr>
                      <w:rFonts w:ascii="仿宋_GB2312" w:hAnsi="仿宋_GB2312" w:cs="仿宋_GB2312" w:eastAsia="仿宋_GB2312"/>
                      <w:sz w:val="18"/>
                    </w:rPr>
                    <w:t>≤40℃，通风良好；无易燃易爆物品堆放；消防器材完备且有效期内。</w:t>
                  </w:r>
                </w:p>
              </w:tc>
              <w:tc>
                <w:tcPr>
                  <w:tcW w:type="dxa" w:w="38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每日记录</w:t>
                  </w:r>
                  <w:r>
                    <w:rPr>
                      <w:rFonts w:ascii="仿宋_GB2312" w:hAnsi="仿宋_GB2312" w:cs="仿宋_GB2312" w:eastAsia="仿宋_GB2312"/>
                      <w:sz w:val="18"/>
                    </w:rPr>
                    <w:t>2次机房温度</w:t>
                  </w:r>
                </w:p>
              </w:tc>
              <w:tc>
                <w:tcPr>
                  <w:tcW w:type="dxa" w:w="55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开启机房通风设备（若温度过高），清理易燃物品，更换过期消防器材。</w:t>
                  </w:r>
                </w:p>
              </w:tc>
            </w:tr>
          </w:tbl>
          <w:p>
            <w:pPr>
              <w:pStyle w:val="null3"/>
              <w:jc w:val="both"/>
            </w:pPr>
            <w:r>
              <w:rPr>
                <w:rFonts w:ascii="仿宋_GB2312" w:hAnsi="仿宋_GB2312" w:cs="仿宋_GB2312" w:eastAsia="仿宋_GB2312"/>
              </w:rPr>
              <w:t>2）月度维保内容及标准</w:t>
            </w:r>
          </w:p>
          <w:tbl>
            <w:tblPr>
              <w:tblInd w:type="dxa" w:w="15"/>
              <w:tblBorders>
                <w:top w:val="none" w:color="000000" w:sz="4"/>
                <w:left w:val="none" w:color="000000" w:sz="4"/>
                <w:bottom w:val="none" w:color="000000" w:sz="4"/>
                <w:right w:val="none" w:color="000000" w:sz="4"/>
                <w:insideH w:val="none"/>
                <w:insideV w:val="none"/>
              </w:tblBorders>
            </w:tblPr>
            <w:tblGrid>
              <w:gridCol w:w="272"/>
              <w:gridCol w:w="322"/>
              <w:gridCol w:w="544"/>
              <w:gridCol w:w="503"/>
              <w:gridCol w:w="427"/>
              <w:gridCol w:w="469"/>
            </w:tblGrid>
            <w:tr>
              <w:tc>
                <w:tcPr>
                  <w:tcW w:type="dxa" w:w="27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维保区域</w:t>
                  </w:r>
                  <w:r>
                    <w:rPr>
                      <w:rFonts w:ascii="仿宋_GB2312" w:hAnsi="仿宋_GB2312" w:cs="仿宋_GB2312" w:eastAsia="仿宋_GB2312"/>
                      <w:sz w:val="18"/>
                    </w:rPr>
                    <w:t>/系统</w:t>
                  </w:r>
                </w:p>
              </w:tc>
              <w:tc>
                <w:tcPr>
                  <w:tcW w:type="dxa" w:w="32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维保项目</w:t>
                  </w:r>
                </w:p>
              </w:tc>
              <w:tc>
                <w:tcPr>
                  <w:tcW w:type="dxa" w:w="54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具体内容</w:t>
                  </w:r>
                </w:p>
              </w:tc>
              <w:tc>
                <w:tcPr>
                  <w:tcW w:type="dxa" w:w="503"/>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标准</w:t>
                  </w:r>
                  <w:r>
                    <w:rPr>
                      <w:rFonts w:ascii="仿宋_GB2312" w:hAnsi="仿宋_GB2312" w:cs="仿宋_GB2312" w:eastAsia="仿宋_GB2312"/>
                      <w:sz w:val="18"/>
                    </w:rPr>
                    <w:t>/要求</w:t>
                  </w:r>
                </w:p>
              </w:tc>
              <w:tc>
                <w:tcPr>
                  <w:tcW w:type="dxa" w:w="427"/>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记录要求</w:t>
                  </w:r>
                </w:p>
              </w:tc>
              <w:tc>
                <w:tcPr>
                  <w:tcW w:type="dxa" w:w="469"/>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异常处理要求</w:t>
                  </w:r>
                </w:p>
              </w:tc>
            </w:tr>
            <w:tr>
              <w:tc>
                <w:tcPr>
                  <w:tcW w:type="dxa" w:w="27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锅炉</w:t>
                  </w:r>
                </w:p>
                <w:p>
                  <w:pPr>
                    <w:pStyle w:val="null3"/>
                    <w:jc w:val="center"/>
                  </w:pPr>
                  <w:r>
                    <w:rPr>
                      <w:rFonts w:ascii="仿宋_GB2312" w:hAnsi="仿宋_GB2312" w:cs="仿宋_GB2312" w:eastAsia="仿宋_GB2312"/>
                      <w:sz w:val="18"/>
                    </w:rPr>
                    <w:t>本体</w:t>
                  </w: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本体清洁与检查</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清理锅炉本体外表面灰尘、油污；2. 检查炉胆、炉管外观，查看有无腐蚀、鼓包、裂纹；3. 检查人孔、手孔密封情况，有无泄漏；供暖系统每日巡查并做好记录。</w:t>
                  </w:r>
                </w:p>
              </w:tc>
              <w:tc>
                <w:tcPr>
                  <w:tcW w:type="dxa" w:w="5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本体表面无明显积尘、油污；2. 炉胆、炉管无可见腐蚀、鼓包、裂纹；3. 人孔、手孔密封良好，无蒸汽/热水泄漏</w:t>
                  </w:r>
                </w:p>
              </w:tc>
              <w:tc>
                <w:tcPr>
                  <w:tcW w:type="dxa" w:w="42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填写《锅炉月度维保记录表》，详细记录外观检查结果、密封情况</w:t>
                  </w:r>
                </w:p>
              </w:tc>
              <w:tc>
                <w:tcPr>
                  <w:tcW w:type="dxa" w:w="46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1.若发现轻微腐蚀，需记录位置、面积，下次维保重点复查；2.若存在密封泄漏，立即更换密封垫片并重新紧固；3.若发现鼓包、裂纹，立即停炉，联系专业机构检测，严禁继续使用</w:t>
                  </w:r>
                </w:p>
              </w:tc>
            </w:tr>
            <w:tr>
              <w:tc>
                <w:tcPr>
                  <w:tcW w:type="dxa" w:w="27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燃烧系统</w:t>
                  </w: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燃烧器维护</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拆卸燃烧器火焰探测器（光电管/紫外线探头），用酒精清洁探头表面；2. 检查燃烧器喷嘴、点火电极，清理积碳；3. 检查燃气阀组密封性，用肥皂水测试接口</w:t>
                  </w:r>
                </w:p>
              </w:tc>
              <w:tc>
                <w:tcPr>
                  <w:tcW w:type="dxa" w:w="5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火焰探测器清洁后，信号检测正常（设备显示无故障）；2. 喷嘴、电极无积碳，点火火花强劲、稳定；3. 燃气阀组接口无气泡（无泄漏）</w:t>
                  </w:r>
                </w:p>
              </w:tc>
              <w:tc>
                <w:tcPr>
                  <w:tcW w:type="dxa" w:w="42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记录燃烧器清洁过程、检测数据（如点火电压）、密封测试结果</w:t>
                  </w:r>
                </w:p>
              </w:tc>
              <w:tc>
                <w:tcPr>
                  <w:tcW w:type="dxa" w:w="46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若火焰探测器信号异常，更换探头；2. 若喷嘴积碳严重无法清理，更换喷嘴；3. 若燃气阀组泄漏，关闭燃气总阀，更换密封件并重新测试，合格后方可启用</w:t>
                  </w:r>
                </w:p>
              </w:tc>
            </w:tr>
            <w:tr>
              <w:tc>
                <w:tcPr>
                  <w:tcW w:type="dxa" w:w="27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水循环</w:t>
                  </w:r>
                  <w:r>
                    <w:rPr>
                      <w:rFonts w:ascii="仿宋_GB2312" w:hAnsi="仿宋_GB2312" w:cs="仿宋_GB2312" w:eastAsia="仿宋_GB2312"/>
                      <w:sz w:val="18"/>
                    </w:rPr>
                    <w:t>/水汽系统</w:t>
                  </w: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水泵维护</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1.检查给水泵/循环泵/补水泵轴承温度，添加润滑脂（若不足）；2.检查泵体密封填料，查看有无渗漏；3.测试水泵启停功能及运行电流</w:t>
                  </w:r>
                </w:p>
              </w:tc>
              <w:tc>
                <w:tcPr>
                  <w:tcW w:type="dxa" w:w="5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轴承温度≤75℃，润滑脂充足且无变质；2. 密封填料渗漏量≤10滴/分钟；3.水泵启停正常，运行电流在额定范围±5%内</w:t>
                  </w:r>
                </w:p>
              </w:tc>
              <w:tc>
                <w:tcPr>
                  <w:tcW w:type="dxa" w:w="42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记录水泵轴承温度、润滑脂添加量、密封渗漏情况、运行电流</w:t>
                  </w:r>
                </w:p>
              </w:tc>
              <w:tc>
                <w:tcPr>
                  <w:tcW w:type="dxa" w:w="46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1.若轴承温度过高，检查润滑脂是否变质，必要时更换轴承；2.若密封渗漏超标，调整填料压盖或更换填料；3.若电流异常，检查电机绕组绝缘，必要时联系电机维修单位</w:t>
                  </w:r>
                </w:p>
              </w:tc>
            </w:tr>
            <w:tr>
              <w:tc>
                <w:tcPr>
                  <w:tcW w:type="dxa" w:w="27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安全附件</w:t>
                  </w: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安全阀</w:t>
                  </w:r>
                  <w:r>
                    <w:rPr>
                      <w:rFonts w:ascii="仿宋_GB2312" w:hAnsi="仿宋_GB2312" w:cs="仿宋_GB2312" w:eastAsia="仿宋_GB2312"/>
                      <w:sz w:val="18"/>
                    </w:rPr>
                    <w:t>/压力表检查</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1.检查安全阀铅封完整性，手动试验安全阀起跳灵活性（蒸汽锅炉缓慢开启手动排气阀，热水锅炉按规程测试）；2.检查压力表指针灵活性，与标准压力表比对误差</w:t>
                  </w:r>
                </w:p>
              </w:tc>
              <w:tc>
                <w:tcPr>
                  <w:tcW w:type="dxa" w:w="5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1.安全阀铅封完好，手动试验时起跳、回座正常；2.压力表误差≤1.6级精度允许范围（如量程0-2.5MPa，误差≤0.04MPa）</w:t>
                  </w:r>
                </w:p>
              </w:tc>
              <w:tc>
                <w:tcPr>
                  <w:tcW w:type="dxa" w:w="42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记录安全阀铅封状态、手动试验结果，压力表比对数据、误差值</w:t>
                  </w:r>
                </w:p>
              </w:tc>
              <w:tc>
                <w:tcPr>
                  <w:tcW w:type="dxa" w:w="46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1.若安全阀铅封破损或起跳异常，立即停用，联系具备资质单位重新校验；2.若压力表误差超标，更换压力表并送检定机构检定</w:t>
                  </w:r>
                </w:p>
              </w:tc>
            </w:tr>
            <w:tr>
              <w:tc>
                <w:tcPr>
                  <w:tcW w:type="dxa" w:w="27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水处理系统</w:t>
                  </w:r>
                </w:p>
              </w:tc>
              <w:tc>
                <w:tcPr>
                  <w:tcW w:type="dxa" w:w="3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软水器</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1.检查软水器树脂状态，查看有无污染、老化；2.手动触发软水器再生流程，测试再生阀组运行；3.锅炉水质达标。</w:t>
                  </w:r>
                </w:p>
              </w:tc>
              <w:tc>
                <w:tcPr>
                  <w:tcW w:type="dxa" w:w="5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1.树脂无明显发黑、结块（污染）；2.软水器再生流程正常，再生后出水硬度≤0.03mmol/L。</w:t>
                  </w:r>
                </w:p>
              </w:tc>
              <w:tc>
                <w:tcPr>
                  <w:tcW w:type="dxa" w:w="42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记录树脂外观、软水器再生时间、出水硬度数据。</w:t>
                  </w:r>
                </w:p>
              </w:tc>
              <w:tc>
                <w:tcPr>
                  <w:tcW w:type="dxa" w:w="46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1.若树脂污染，进行树脂再生处理；若老化严重，更换树脂；2.若软水器再生故障，排查控制阀或管路，修复后重新测试出水硬度。</w:t>
                  </w:r>
                </w:p>
              </w:tc>
            </w:tr>
          </w:tbl>
          <w:p>
            <w:pPr>
              <w:pStyle w:val="null3"/>
              <w:jc w:val="both"/>
            </w:pPr>
            <w:r>
              <w:rPr>
                <w:rFonts w:ascii="仿宋_GB2312" w:hAnsi="仿宋_GB2312" w:cs="仿宋_GB2312" w:eastAsia="仿宋_GB2312"/>
              </w:rPr>
              <w:t>3）季度维保内容及标准</w:t>
            </w:r>
          </w:p>
          <w:tbl>
            <w:tblPr>
              <w:tblInd w:type="dxa" w:w="15"/>
              <w:tblBorders>
                <w:top w:val="none" w:color="000000" w:sz="4"/>
                <w:left w:val="none" w:color="000000" w:sz="4"/>
                <w:bottom w:val="none" w:color="000000" w:sz="4"/>
                <w:right w:val="none" w:color="000000" w:sz="4"/>
                <w:insideH w:val="none"/>
                <w:insideV w:val="none"/>
              </w:tblBorders>
            </w:tblPr>
            <w:tblGrid>
              <w:gridCol w:w="268"/>
              <w:gridCol w:w="331"/>
              <w:gridCol w:w="545"/>
              <w:gridCol w:w="508"/>
              <w:gridCol w:w="428"/>
              <w:gridCol w:w="461"/>
            </w:tblGrid>
            <w:tr>
              <w:tc>
                <w:tcPr>
                  <w:tcW w:type="dxa" w:w="268"/>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维保区域</w:t>
                  </w:r>
                  <w:r>
                    <w:rPr>
                      <w:rFonts w:ascii="仿宋_GB2312" w:hAnsi="仿宋_GB2312" w:cs="仿宋_GB2312" w:eastAsia="仿宋_GB2312"/>
                      <w:sz w:val="18"/>
                    </w:rPr>
                    <w:t>/系统</w:t>
                  </w:r>
                </w:p>
              </w:tc>
              <w:tc>
                <w:tcPr>
                  <w:tcW w:type="dxa" w:w="331"/>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维保项目</w:t>
                  </w:r>
                </w:p>
              </w:tc>
              <w:tc>
                <w:tcPr>
                  <w:tcW w:type="dxa" w:w="545"/>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具体内容</w:t>
                  </w:r>
                </w:p>
              </w:tc>
              <w:tc>
                <w:tcPr>
                  <w:tcW w:type="dxa" w:w="508"/>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标准</w:t>
                  </w:r>
                  <w:r>
                    <w:rPr>
                      <w:rFonts w:ascii="仿宋_GB2312" w:hAnsi="仿宋_GB2312" w:cs="仿宋_GB2312" w:eastAsia="仿宋_GB2312"/>
                      <w:sz w:val="18"/>
                    </w:rPr>
                    <w:t>/要求</w:t>
                  </w:r>
                </w:p>
              </w:tc>
              <w:tc>
                <w:tcPr>
                  <w:tcW w:type="dxa" w:w="428"/>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记录要求</w:t>
                  </w:r>
                </w:p>
              </w:tc>
              <w:tc>
                <w:tcPr>
                  <w:tcW w:type="dxa" w:w="461"/>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异常处理要求</w:t>
                  </w:r>
                </w:p>
              </w:tc>
            </w:tr>
            <w:tr>
              <w:tc>
                <w:tcPr>
                  <w:tcW w:type="dxa" w:w="26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锅炉本体</w:t>
                  </w:r>
                </w:p>
              </w:tc>
              <w:tc>
                <w:tcPr>
                  <w:tcW w:type="dxa" w:w="33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烟管</w:t>
                  </w:r>
                  <w:r>
                    <w:rPr>
                      <w:rFonts w:ascii="仿宋_GB2312" w:hAnsi="仿宋_GB2312" w:cs="仿宋_GB2312" w:eastAsia="仿宋_GB2312"/>
                      <w:sz w:val="18"/>
                    </w:rPr>
                    <w:t>/烟道清理</w:t>
                  </w:r>
                </w:p>
              </w:tc>
              <w:tc>
                <w:tcPr>
                  <w:tcW w:type="dxa" w:w="54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1.拆卸烟道挡板，清理烟道内积灰；2.用压缩空气（0.4-0.6MPa）吹扫锅炉烟管内积灰；3. 检查烟道腐蚀情况</w:t>
                  </w:r>
                </w:p>
              </w:tc>
              <w:tc>
                <w:tcPr>
                  <w:tcW w:type="dxa" w:w="5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1.烟道、烟管内无明显积灰（吹扫后无块状积灰掉落）；2.烟道内壁无严重腐蚀（无穿孔、大面积锈层）</w:t>
                  </w:r>
                </w:p>
              </w:tc>
              <w:tc>
                <w:tcPr>
                  <w:tcW w:type="dxa" w:w="42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填写《锅炉季度维保记录表》，记录烟道清理情况、烟管通畅度、烟道腐蚀检查结果</w:t>
                  </w:r>
                </w:p>
              </w:tc>
              <w:tc>
                <w:tcPr>
                  <w:tcW w:type="dxa" w:w="46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1.若烟管积灰难以吹扫，使用专用清灰工具清理，确保烟管通畅；2. 若烟道腐蚀严重，评估是否影响结构安全，必要时更换烟道段</w:t>
                  </w:r>
                </w:p>
              </w:tc>
            </w:tr>
            <w:tr>
              <w:tc>
                <w:tcPr>
                  <w:tcW w:type="dxa" w:w="26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燃烧系统</w:t>
                  </w:r>
                </w:p>
              </w:tc>
              <w:tc>
                <w:tcPr>
                  <w:tcW w:type="dxa" w:w="33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燃气管道与过滤器维护</w:t>
                  </w:r>
                </w:p>
              </w:tc>
              <w:tc>
                <w:tcPr>
                  <w:tcW w:type="dxa" w:w="54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1.拆卸燃气过滤器，清理滤芯内杂质；2.检查燃气管道支架，查看有无松动、变形；3.测试燃气紧急切断阀动作可靠性（触发紧急按钮，检查阀门是否关闭）</w:t>
                  </w:r>
                </w:p>
              </w:tc>
              <w:tc>
                <w:tcPr>
                  <w:tcW w:type="dxa" w:w="5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1.滤芯清洁无杂质，燃气流通顺畅；2.管道支架牢固，无松动、变形；3.紧急切断阀触发后10秒内完全关闭</w:t>
                  </w:r>
                </w:p>
              </w:tc>
              <w:tc>
                <w:tcPr>
                  <w:tcW w:type="dxa" w:w="42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记录滤芯清洁情况、管道支架检查结果、紧急切断阀动作时间</w:t>
                  </w:r>
                </w:p>
              </w:tc>
              <w:tc>
                <w:tcPr>
                  <w:tcW w:type="dxa" w:w="46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rFonts w:ascii="仿宋_GB2312" w:hAnsi="仿宋_GB2312" w:cs="仿宋_GB2312" w:eastAsia="仿宋_GB2312"/>
                      <w:sz w:val="18"/>
                    </w:rPr>
                    <w:t>1.若滤芯破损，更换同型号滤芯；2.若支架松动，重新紧固；若变形，更换支架；3.若紧急切断阀动作迟缓或无法关闭，立即停用燃烧系统，维修或更换阀门</w:t>
                  </w:r>
                </w:p>
              </w:tc>
            </w:tr>
            <w:tr>
              <w:tc>
                <w:tcPr>
                  <w:tcW w:type="dxa" w:w="26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电气控制系统</w:t>
                  </w:r>
                </w:p>
              </w:tc>
              <w:tc>
                <w:tcPr>
                  <w:tcW w:type="dxa" w:w="33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控制箱与线路检查</w:t>
                  </w:r>
                </w:p>
              </w:tc>
              <w:tc>
                <w:tcPr>
                  <w:tcW w:type="dxa" w:w="54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1.打开控制箱，清理内部灰尘；2.检查接触器、继电器触点，查看有无烧蚀；3. 检查线路接头，有无松动、氧化；4. 测试控制系统报警功能（如超压、缺水报警）</w:t>
                  </w:r>
                </w:p>
              </w:tc>
              <w:tc>
                <w:tcPr>
                  <w:tcW w:type="dxa" w:w="5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1.控制箱内无明显积尘；2. 触点无明显烧蚀（若有轻微烧蚀，用细砂纸打磨）；3.线路接头牢固、无氧化；4.报警功能正常（触发报警后，声光报警启动，锅炉停机）</w:t>
                  </w:r>
                </w:p>
              </w:tc>
              <w:tc>
                <w:tcPr>
                  <w:tcW w:type="dxa" w:w="42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记录控制箱清洁情况、触点状态、线路检查结果、报警测试情况</w:t>
                  </w:r>
                </w:p>
              </w:tc>
              <w:tc>
                <w:tcPr>
                  <w:tcW w:type="dxa" w:w="46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1.若触点烧蚀严重，更换接触器/继电器；2.若线路接头氧化，清理氧化层并重新紧固；3.若报警功能失效，排查传感器、线路或控制器，修复后重新测试</w:t>
                  </w:r>
                </w:p>
              </w:tc>
            </w:tr>
            <w:tr>
              <w:tc>
                <w:tcPr>
                  <w:tcW w:type="dxa" w:w="26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水循环</w:t>
                  </w:r>
                  <w:r>
                    <w:rPr>
                      <w:rFonts w:ascii="仿宋_GB2312" w:hAnsi="仿宋_GB2312" w:cs="仿宋_GB2312" w:eastAsia="仿宋_GB2312"/>
                      <w:sz w:val="18"/>
                    </w:rPr>
                    <w:t>/水汽系统</w:t>
                  </w:r>
                </w:p>
              </w:tc>
              <w:tc>
                <w:tcPr>
                  <w:tcW w:type="dxa" w:w="33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阀门维护</w:t>
                  </w:r>
                </w:p>
              </w:tc>
              <w:tc>
                <w:tcPr>
                  <w:tcW w:type="dxa" w:w="54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检查锅炉进出口阀门、排污阀开关灵活性；2. 对阀门丝杆涂抹防锈油脂；3. 测试排污阀密封性（关闭后无渗漏）</w:t>
                  </w:r>
                </w:p>
              </w:tc>
              <w:tc>
                <w:tcPr>
                  <w:tcW w:type="dxa" w:w="5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阀门开关无卡滞，操作顺畅；2. 丝杆无锈蚀，防锈油脂均匀；3. 排污阀关闭后，阀后管道无渗漏</w:t>
                  </w:r>
                </w:p>
              </w:tc>
              <w:tc>
                <w:tcPr>
                  <w:tcW w:type="dxa" w:w="42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记录阀门开关状态、丝杆防锈处理情况、排污阀密封测试结果</w:t>
                  </w:r>
                </w:p>
              </w:tc>
              <w:tc>
                <w:tcPr>
                  <w:tcW w:type="dxa" w:w="46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若阀门开关卡滞，拆解阀门清理阀芯杂质；若无法修复，更换阀门；2. 若排污阀渗漏，研磨阀芯或更换密封件，确保密封良好</w:t>
                  </w:r>
                </w:p>
              </w:tc>
            </w:tr>
          </w:tbl>
          <w:p>
            <w:pPr>
              <w:pStyle w:val="null3"/>
              <w:jc w:val="both"/>
            </w:pPr>
            <w:r>
              <w:rPr>
                <w:rFonts w:ascii="仿宋_GB2312" w:hAnsi="仿宋_GB2312" w:cs="仿宋_GB2312" w:eastAsia="仿宋_GB2312"/>
              </w:rPr>
              <w:t>4）半年维保内容和标准</w:t>
            </w:r>
          </w:p>
          <w:tbl>
            <w:tblPr>
              <w:tblInd w:type="dxa" w:w="15"/>
              <w:tblBorders>
                <w:top w:val="none" w:color="000000" w:sz="4"/>
                <w:left w:val="none" w:color="000000" w:sz="4"/>
                <w:bottom w:val="none" w:color="000000" w:sz="4"/>
                <w:right w:val="none" w:color="000000" w:sz="4"/>
                <w:insideH w:val="none"/>
                <w:insideV w:val="none"/>
              </w:tblBorders>
            </w:tblPr>
            <w:tblGrid>
              <w:gridCol w:w="263"/>
              <w:gridCol w:w="334"/>
              <w:gridCol w:w="544"/>
              <w:gridCol w:w="506"/>
              <w:gridCol w:w="422"/>
              <w:gridCol w:w="464"/>
            </w:tblGrid>
            <w:tr>
              <w:tc>
                <w:tcPr>
                  <w:tcW w:type="dxa" w:w="263"/>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维保区域</w:t>
                  </w:r>
                  <w:r>
                    <w:rPr>
                      <w:rFonts w:ascii="仿宋_GB2312" w:hAnsi="仿宋_GB2312" w:cs="仿宋_GB2312" w:eastAsia="仿宋_GB2312"/>
                      <w:sz w:val="18"/>
                    </w:rPr>
                    <w:t>/系统</w:t>
                  </w:r>
                </w:p>
              </w:tc>
              <w:tc>
                <w:tcPr>
                  <w:tcW w:type="dxa" w:w="33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维保项目</w:t>
                  </w:r>
                </w:p>
              </w:tc>
              <w:tc>
                <w:tcPr>
                  <w:tcW w:type="dxa" w:w="54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具体内容</w:t>
                  </w:r>
                </w:p>
              </w:tc>
              <w:tc>
                <w:tcPr>
                  <w:tcW w:type="dxa" w:w="506"/>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标准</w:t>
                  </w:r>
                  <w:r>
                    <w:rPr>
                      <w:rFonts w:ascii="仿宋_GB2312" w:hAnsi="仿宋_GB2312" w:cs="仿宋_GB2312" w:eastAsia="仿宋_GB2312"/>
                      <w:sz w:val="18"/>
                    </w:rPr>
                    <w:t>/要求</w:t>
                  </w:r>
                </w:p>
              </w:tc>
              <w:tc>
                <w:tcPr>
                  <w:tcW w:type="dxa" w:w="42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记录要求</w:t>
                  </w:r>
                </w:p>
              </w:tc>
              <w:tc>
                <w:tcPr>
                  <w:tcW w:type="dxa" w:w="46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异常处理要求</w:t>
                  </w:r>
                </w:p>
              </w:tc>
            </w:tr>
            <w:tr>
              <w:tc>
                <w:tcPr>
                  <w:tcW w:type="dxa" w:w="26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锅炉本体</w:t>
                  </w:r>
                </w:p>
              </w:tc>
              <w:tc>
                <w:tcPr>
                  <w:tcW w:type="dxa" w:w="33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本体壁厚检测</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委托具备资质人员，使用超声波测厚仪，在炉胆、炉管关键部位（如受热面、焊缝附近）检测壁厚；2. 检查锅炉基础，查看有无沉降、开裂</w:t>
                  </w:r>
                </w:p>
              </w:tc>
              <w:tc>
                <w:tcPr>
                  <w:tcW w:type="dxa" w:w="5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壁厚检测值不低于设计壁厚的80%（无超标腐蚀）；2. 基础无明显沉降（地面无裂缝，锅炉无倾斜）</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填写《锅炉半年维保记录表》，附超声波测厚报告（含检测位置、壁厚数据），记录基础检查结果</w:t>
                  </w:r>
                </w:p>
              </w:tc>
              <w:tc>
                <w:tcPr>
                  <w:tcW w:type="dxa" w:w="4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若壁厚检测值低于标准，评估剩余使用寿命，制定维修或更换计划；2. 若基础沉降，联系土建单位评估，采取加固措施，期间限制锅炉负荷</w:t>
                  </w:r>
                </w:p>
              </w:tc>
            </w:tr>
            <w:tr>
              <w:tc>
                <w:tcPr>
                  <w:tcW w:type="dxa" w:w="26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燃烧系统</w:t>
                  </w:r>
                </w:p>
              </w:tc>
              <w:tc>
                <w:tcPr>
                  <w:tcW w:type="dxa" w:w="33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燃烧器性能调试</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启动燃烧器，用烟气分析仪检测排烟成分（O₂、CO含量）；2. 根据检测结果，调整燃烧器风门、燃气阀开度，优化空燃比；3. 测试燃烧器在不同负荷下的稳定性</w:t>
                  </w:r>
                </w:p>
              </w:tc>
              <w:tc>
                <w:tcPr>
                  <w:tcW w:type="dxa" w:w="5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排烟O₂含量控制在3%-6%（燃气锅炉），CO含量≤100ppm；2. 不同负荷下燃烧稳定，无脱火、回火现象</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记录烟气分析数据、空燃比调整参数、不同负荷下燃烧状态</w:t>
                  </w:r>
                </w:p>
              </w:tc>
              <w:tc>
                <w:tcPr>
                  <w:tcW w:type="dxa" w:w="4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若排烟成分超标，反复调整空燃比，直至达标；2. 若调整后仍无法达标，检查燃烧器喷嘴、风机风量，必要时更换燃烧器部件</w:t>
                  </w:r>
                </w:p>
              </w:tc>
            </w:tr>
            <w:tr>
              <w:tc>
                <w:tcPr>
                  <w:tcW w:type="dxa" w:w="26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水处理系统</w:t>
                  </w:r>
                </w:p>
              </w:tc>
              <w:tc>
                <w:tcPr>
                  <w:tcW w:type="dxa" w:w="33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软水器树脂再生</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对软水器进行树脂反洗、再生、置换全过程测试，检测再生后出水硬度，清理杂质。</w:t>
                  </w:r>
                </w:p>
              </w:tc>
              <w:tc>
                <w:tcPr>
                  <w:tcW w:type="dxa" w:w="5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软水器再生后出水硬度≤0.03mmol/L；2. 排气阀开启正常，无堵塞</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记录软水器再生各步骤时间、出水硬度数据，填料清理情况、排气阀测试结果</w:t>
                  </w:r>
                </w:p>
              </w:tc>
              <w:tc>
                <w:tcPr>
                  <w:tcW w:type="dxa" w:w="4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若软水器再生后硬度仍超标，检查再生剂用量、树脂状态，必要时增加再生剂用量或更换树脂；</w:t>
                  </w:r>
                </w:p>
              </w:tc>
            </w:tr>
            <w:tr>
              <w:tc>
                <w:tcPr>
                  <w:tcW w:type="dxa" w:w="26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安全附件</w:t>
                  </w:r>
                </w:p>
              </w:tc>
              <w:tc>
                <w:tcPr>
                  <w:tcW w:type="dxa" w:w="33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安全阀送检与压力表检定及压力管道检查</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拆除安全阀，送具备资质的检验机构进行整定校验；2. 拆除压力表，送检定机构进行计量；压力管道每日巡查记录；年度检验和定期检验。</w:t>
                  </w:r>
                </w:p>
              </w:tc>
              <w:tc>
                <w:tcPr>
                  <w:tcW w:type="dxa" w:w="50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安全阀校验合格，取得校验报告，铅封完好；2. 压力表检定合格，粘贴检定合格标签，在检定有效期内</w:t>
                  </w:r>
                </w:p>
              </w:tc>
              <w:tc>
                <w:tcPr>
                  <w:tcW w:type="dxa" w:w="4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记录安全阀送检时间、校验结果（整定压力）、返校时间，压力表检定时间、检定结果、有效期</w:t>
                  </w:r>
                </w:p>
              </w:tc>
              <w:tc>
                <w:tcPr>
                  <w:tcW w:type="dxa" w:w="4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 若安全阀校验不合格，更换同型号、同规格安全阀并重新校验；2. 若压力表检定不合格，更换压力表并送检，合格后方可安装使用</w:t>
                  </w:r>
                </w:p>
              </w:tc>
            </w:tr>
          </w:tbl>
          <w:p>
            <w:pPr>
              <w:pStyle w:val="null3"/>
              <w:jc w:val="center"/>
            </w:pPr>
            <w:r>
              <w:rPr>
                <w:rFonts w:ascii="仿宋_GB2312" w:hAnsi="仿宋_GB2312" w:cs="仿宋_GB2312" w:eastAsia="仿宋_GB2312"/>
              </w:rPr>
              <w:t>5）年度维保内容和标准</w:t>
            </w:r>
          </w:p>
          <w:tbl>
            <w:tblPr>
              <w:tblInd w:type="dxa" w:w="15"/>
              <w:tblBorders>
                <w:top w:val="none" w:color="000000" w:sz="4"/>
                <w:left w:val="none" w:color="000000" w:sz="4"/>
                <w:bottom w:val="none" w:color="000000" w:sz="4"/>
                <w:right w:val="none" w:color="000000" w:sz="4"/>
                <w:insideH w:val="none"/>
                <w:insideV w:val="none"/>
              </w:tblBorders>
            </w:tblPr>
            <w:tblGrid>
              <w:gridCol w:w="267"/>
              <w:gridCol w:w="330"/>
              <w:gridCol w:w="544"/>
              <w:gridCol w:w="502"/>
              <w:gridCol w:w="431"/>
              <w:gridCol w:w="464"/>
            </w:tblGrid>
            <w:tr>
              <w:tc>
                <w:tcPr>
                  <w:tcW w:type="dxa" w:w="267"/>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维保区域</w:t>
                  </w:r>
                  <w:r>
                    <w:rPr>
                      <w:rFonts w:ascii="仿宋_GB2312" w:hAnsi="仿宋_GB2312" w:cs="仿宋_GB2312" w:eastAsia="仿宋_GB2312"/>
                      <w:sz w:val="18"/>
                    </w:rPr>
                    <w:t>/系统</w:t>
                  </w:r>
                </w:p>
              </w:tc>
              <w:tc>
                <w:tcPr>
                  <w:tcW w:type="dxa" w:w="330"/>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维保项目</w:t>
                  </w:r>
                </w:p>
              </w:tc>
              <w:tc>
                <w:tcPr>
                  <w:tcW w:type="dxa" w:w="54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具体内容</w:t>
                  </w:r>
                </w:p>
              </w:tc>
              <w:tc>
                <w:tcPr>
                  <w:tcW w:type="dxa" w:w="50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标准</w:t>
                  </w:r>
                  <w:r>
                    <w:rPr>
                      <w:rFonts w:ascii="仿宋_GB2312" w:hAnsi="仿宋_GB2312" w:cs="仿宋_GB2312" w:eastAsia="仿宋_GB2312"/>
                      <w:sz w:val="18"/>
                    </w:rPr>
                    <w:t>/要求</w:t>
                  </w:r>
                </w:p>
              </w:tc>
              <w:tc>
                <w:tcPr>
                  <w:tcW w:type="dxa" w:w="431"/>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记录要求</w:t>
                  </w:r>
                </w:p>
              </w:tc>
              <w:tc>
                <w:tcPr>
                  <w:tcW w:type="dxa" w:w="46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异常处理要求</w:t>
                  </w:r>
                </w:p>
              </w:tc>
            </w:tr>
            <w:tr>
              <w:tc>
                <w:tcPr>
                  <w:tcW w:type="dxa" w:w="267"/>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锅炉整体</w:t>
                  </w:r>
                </w:p>
              </w:tc>
              <w:tc>
                <w:tcPr>
                  <w:tcW w:type="dxa" w:w="33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年度全面检测</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配合特种设备检验检测机构完成锅炉年度定期检验（含水压试验、内外部检验）；2.检查锅炉本体与附属设备连接管路阀门等，有无腐蚀、变形；锅炉内部有无水垢3.评估锅炉整体运行状况，制定下一年度维保重点</w:t>
                  </w:r>
                </w:p>
              </w:tc>
              <w:tc>
                <w:tcPr>
                  <w:tcW w:type="dxa" w:w="50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1.取得《锅炉定期检验报告》，结论为“合格”；2.连接管路无腐蚀、变形，支架牢固；3.形成年度维保评估报告，明确下一年度重点维保项</w:t>
                  </w:r>
                </w:p>
              </w:tc>
              <w:tc>
                <w:tcPr>
                  <w:tcW w:type="dxa" w:w="43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填写《锅炉年度维保记录表》，附《锅炉定期检验报告》复印件，记录管路检查结果、年度评估结论</w:t>
                  </w:r>
                </w:p>
              </w:tc>
              <w:tc>
                <w:tcPr>
                  <w:tcW w:type="dxa" w:w="4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1.若定期检验发现问题（如轻度腐蚀），按检验机构要求制定整改计划，限期完成；2.若检验结论为“不合格”，立即停炉，落实整改后重新检验，合格后方可启用</w:t>
                  </w:r>
                </w:p>
              </w:tc>
            </w:tr>
            <w:tr>
              <w:tc>
                <w:tcPr>
                  <w:tcW w:type="dxa" w:w="267"/>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燃烧系统</w:t>
                  </w:r>
                </w:p>
              </w:tc>
              <w:tc>
                <w:tcPr>
                  <w:tcW w:type="dxa" w:w="33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燃烧器全面拆解维护</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1.完全拆解燃烧器，清理燃烧室、风机叶轮积尘；2.检查燃烧器电机绝缘电阻（用兆欧表测试，≥0.5MΩ）；3.更换燃烧器易损件（如密封垫、滤芯）</w:t>
                  </w:r>
                </w:p>
              </w:tc>
              <w:tc>
                <w:tcPr>
                  <w:tcW w:type="dxa" w:w="50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1.燃烧室、风机叶轮无积尘，电机绝缘电阻达标；2.易损件更换后，燃烧器组装完整，无部件遗漏；3. 启动燃烧器，运行平稳，无异常噪音</w:t>
                  </w:r>
                </w:p>
              </w:tc>
              <w:tc>
                <w:tcPr>
                  <w:tcW w:type="dxa" w:w="43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记录燃烧器拆解步骤、电机绝缘电阻值、易损件更换型号及数量、组装后运行状态</w:t>
                  </w:r>
                </w:p>
              </w:tc>
              <w:tc>
                <w:tcPr>
                  <w:tcW w:type="dxa" w:w="4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1.若机绝缘电阻不达标，干燥电机绕组；若仍不达标，更换燃烧器电机；2.若拆解后发现部件损坏（如风机叶轮裂纹），更换损坏部件后再组装</w:t>
                  </w:r>
                </w:p>
              </w:tc>
            </w:tr>
            <w:tr>
              <w:tc>
                <w:tcPr>
                  <w:tcW w:type="dxa" w:w="267"/>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电气控制系统</w:t>
                  </w:r>
                </w:p>
              </w:tc>
              <w:tc>
                <w:tcPr>
                  <w:tcW w:type="dxa" w:w="33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控制器与传感器校准</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1.校准锅炉温度传感器、压力传感器（与标准仪表比对）；2.检查PLC控制器程序，测试逻辑控制功能（如启停连锁、报警连锁）；3.备份控制器参数，更新控制软件（若有新版本）</w:t>
                  </w:r>
                </w:p>
              </w:tc>
              <w:tc>
                <w:tcPr>
                  <w:tcW w:type="dxa" w:w="50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1.传感器校准后，误差≤±0.5℃（温度）、±0.02MPa（压力）；2.逻辑控制功能正常（如超压时自动停炉、缺水时禁止点火）；3.参数备份完成，软件更新后无故障</w:t>
                  </w:r>
                </w:p>
              </w:tc>
              <w:tc>
                <w:tcPr>
                  <w:tcW w:type="dxa" w:w="43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记录传感器校准数据（原误差、校准后误差）、逻辑测试结果、参数备份情况、软件版本</w:t>
                  </w:r>
                </w:p>
              </w:tc>
              <w:tc>
                <w:tcPr>
                  <w:tcW w:type="dxa" w:w="4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1.若传感器校准后误差仍超标，更换传感器；2.若PLC逻辑故障，排查程序或硬件，联系控制器厂家技术支持修复</w:t>
                  </w:r>
                </w:p>
              </w:tc>
            </w:tr>
            <w:tr>
              <w:tc>
                <w:tcPr>
                  <w:tcW w:type="dxa" w:w="267"/>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机房配套设施</w:t>
                  </w:r>
                </w:p>
              </w:tc>
              <w:tc>
                <w:tcPr>
                  <w:tcW w:type="dxa" w:w="33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消防与通风系统检查</w:t>
                  </w:r>
                </w:p>
              </w:tc>
              <w:tc>
                <w:tcPr>
                  <w:tcW w:type="dxa" w:w="54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1.检查机房内灭火器压力、有效期，更换过期或压力不足的灭火器；2.测试机房通风系统（排风扇、新风阀）运行状态；3.检查燃气报警系统，用标准气样测试报警灵敏度</w:t>
                  </w:r>
                </w:p>
              </w:tc>
              <w:tc>
                <w:tcPr>
                  <w:tcW w:type="dxa" w:w="50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1.灭火器全部在有效期内，压力正常；2.通风系统运行正常，风量满足机房散热需求；3. 燃气报警系统在燃气浓度达到爆炸下限20%时触发报警</w:t>
                  </w:r>
                </w:p>
              </w:tc>
              <w:tc>
                <w:tcPr>
                  <w:tcW w:type="dxa" w:w="43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记录灭火器检查结果（数量、有效期）、通风系统运行参数、燃气报警测试浓度及响应时间</w:t>
                  </w:r>
                </w:p>
              </w:tc>
              <w:tc>
                <w:tcPr>
                  <w:tcW w:type="dxa" w:w="46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18"/>
                    </w:rPr>
                    <w:t>1.若灭火器过期或压力不足，立即更换；2.若通风系统故障，维修或更换风机/阀门，确保机房通风；3.若燃气报警系统灵敏度不达标，校准传感器或更换报警器</w:t>
                  </w:r>
                </w:p>
              </w:tc>
            </w:tr>
          </w:tbl>
          <w:p>
            <w:pPr>
              <w:pStyle w:val="null3"/>
            </w:pPr>
            <w:r>
              <w:rPr>
                <w:rFonts w:ascii="仿宋_GB2312" w:hAnsi="仿宋_GB2312" w:cs="仿宋_GB2312" w:eastAsia="仿宋_GB2312"/>
              </w:rPr>
              <w:t>6）所有日常巡查记录表、维保记录表，必须有医院相关科室人员签字确认；每季度整理、编制运维总结报告，交至医院相关科室留档、保存。</w:t>
            </w:r>
          </w:p>
          <w:p>
            <w:pPr>
              <w:pStyle w:val="null3"/>
            </w:pPr>
            <w:r>
              <w:rPr>
                <w:rFonts w:ascii="仿宋_GB2312" w:hAnsi="仿宋_GB2312" w:cs="仿宋_GB2312" w:eastAsia="仿宋_GB2312"/>
              </w:rPr>
              <w:t>7）对1000元以内的耗件进行免费维修更换；超出1000元的，须经采购人审批同意后，方可进行购买、更换。</w:t>
            </w:r>
          </w:p>
          <w:p>
            <w:pPr>
              <w:pStyle w:val="null3"/>
            </w:pPr>
            <w:r>
              <w:rPr>
                <w:rFonts w:ascii="仿宋_GB2312" w:hAnsi="仿宋_GB2312" w:cs="仿宋_GB2312" w:eastAsia="仿宋_GB2312"/>
              </w:rPr>
              <w:t>8）人员配置及要求</w:t>
            </w:r>
          </w:p>
          <w:p>
            <w:pPr>
              <w:pStyle w:val="null3"/>
            </w:pPr>
            <w:r>
              <w:rPr>
                <w:rFonts w:ascii="仿宋_GB2312" w:hAnsi="仿宋_GB2312" w:cs="仿宋_GB2312" w:eastAsia="仿宋_GB2312"/>
              </w:rPr>
              <w:t>（1）提供8名人员：年龄不超60周岁，具有工业锅炉司炉证书（G1）的驻场司炉工6名，电工1名，水工1名。</w:t>
            </w:r>
          </w:p>
          <w:p>
            <w:pPr>
              <w:pStyle w:val="null3"/>
            </w:pPr>
            <w:r>
              <w:rPr>
                <w:rFonts w:ascii="仿宋_GB2312" w:hAnsi="仿宋_GB2312" w:cs="仿宋_GB2312" w:eastAsia="仿宋_GB2312"/>
              </w:rPr>
              <w:t>（2）人员能力：能熟练进行锅炉点火、升压、运行调节、排污、停炉等全流程操作；识读仪器、仪表数据；能判断并处理轻微故障（如压力异常、水位波动）等。</w:t>
            </w:r>
          </w:p>
          <w:p>
            <w:pPr>
              <w:pStyle w:val="null3"/>
            </w:pPr>
            <w:r>
              <w:rPr>
                <w:rFonts w:ascii="仿宋_GB2312" w:hAnsi="仿宋_GB2312" w:cs="仿宋_GB2312" w:eastAsia="仿宋_GB2312"/>
              </w:rPr>
              <w:t>（3）在保证服务质量及锅炉正常运行的前提下，医院可根据实际需求要求供应商减少或增加人员。</w:t>
            </w:r>
          </w:p>
          <w:p>
            <w:pPr>
              <w:pStyle w:val="null3"/>
            </w:pPr>
            <w:r>
              <w:rPr>
                <w:rFonts w:ascii="仿宋_GB2312" w:hAnsi="仿宋_GB2312" w:cs="仿宋_GB2312" w:eastAsia="仿宋_GB2312"/>
              </w:rPr>
              <w:t>9）安全管理</w:t>
            </w:r>
          </w:p>
          <w:p>
            <w:pPr>
              <w:pStyle w:val="null3"/>
            </w:pPr>
            <w:r>
              <w:rPr>
                <w:rFonts w:ascii="仿宋_GB2312" w:hAnsi="仿宋_GB2312" w:cs="仿宋_GB2312" w:eastAsia="仿宋_GB2312"/>
              </w:rPr>
              <w:t>（1）所有人员严格遵守安全规程，必须接受安全操作培训，熟悉消防、应急处置流程（如安全阀失效、缺水/满水事故处理）。</w:t>
            </w:r>
          </w:p>
          <w:p>
            <w:pPr>
              <w:pStyle w:val="null3"/>
            </w:pPr>
            <w:r>
              <w:rPr>
                <w:rFonts w:ascii="仿宋_GB2312" w:hAnsi="仿宋_GB2312" w:cs="仿宋_GB2312" w:eastAsia="仿宋_GB2312"/>
              </w:rPr>
              <w:t>（2）操作人员需持有相关资质证书如工业锅炉司炉证书、电工证等，穿戴防护鞋、安全手套、防护镜、安全帽等个人防护装备。</w:t>
            </w:r>
          </w:p>
          <w:p>
            <w:pPr>
              <w:pStyle w:val="null3"/>
            </w:pPr>
            <w:r>
              <w:rPr>
                <w:rFonts w:ascii="仿宋_GB2312" w:hAnsi="仿宋_GB2312" w:cs="仿宋_GB2312" w:eastAsia="仿宋_GB2312"/>
              </w:rPr>
              <w:t>（3）锅炉房的一切安全设施，非操作人员严禁乱拉乱用。锅炉房外设置警戒区域，悬挂明显的警示标志，防止无关人员进入。</w:t>
            </w:r>
          </w:p>
          <w:p>
            <w:pPr>
              <w:pStyle w:val="null3"/>
            </w:pPr>
            <w:r>
              <w:rPr>
                <w:rFonts w:ascii="仿宋_GB2312" w:hAnsi="仿宋_GB2312" w:cs="仿宋_GB2312" w:eastAsia="仿宋_GB2312"/>
              </w:rPr>
              <w:t>（4）每月至少组织 一次考核培训，并留有记录，锅炉应急预案，并每年至少两次演练。</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在项目实施过程中，应根据项目具体情况以及采购人的要求，增减相应的专业技术人员。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服务质量（标准）：符合相关行业标准及采购人要求。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(1)实施单位自查：完成自查工作，出具自查报告；对存在的问题及时进行补充完善。 (2)检查验收：采购方组织有关专家和技术人员，按照项目要求和实施方案进行验收。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进度款，次月10日之前，根据上月员工出勤及考核情况核算服务费用，经科室相关负责人审批确认后，按照实际费用提供全额发票，定额支付，达到付款条件起10个工作日内，支付合同总金额的8.37%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未被列入“信用中国”网站（www.creditchina.gov.cn）失信被执行人和重大税收违法失信主体，不得为“中国政府采购网”（www.ccgp.gov.cn）政府采购严重违法失信行为记录名单中禁止参加政府采购活动的投标人；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提供合格有效的《特种设备生产许可证》（许可子项目：锅炉安装（含修理、改造）B级及以上）。</w:t>
            </w:r>
          </w:p>
        </w:tc>
        <w:tc>
          <w:tcPr>
            <w:tcW w:type="dxa" w:w="1661"/>
          </w:tcPr>
          <w:p>
            <w:pPr>
              <w:pStyle w:val="null3"/>
            </w:pPr>
            <w:r>
              <w:rPr>
                <w:rFonts w:ascii="仿宋_GB2312" w:hAnsi="仿宋_GB2312" w:cs="仿宋_GB2312" w:eastAsia="仿宋_GB2312"/>
              </w:rPr>
              <w:t>特殊资格审查证明材料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中小企业声明函 一般资格审查证明材料 服务方案 标的清单 报价表 供应商类似项目业绩一览表 响应函 特殊资格审查证明材料 服务内容及服务要求响应偏离表 商务及其他要求响应偏离表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响应文件封面 中小企业声明函 一般资格审查证明材料 服务方案 标的清单 报价表 供应商类似项目业绩一览表 响应函 特殊资格审查证明材料 服务内容及服务要求响应偏离表 商务及其他要求响应偏离表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一般资格审查证明材料 服务方案 供应商类似项目业绩一览表 特殊资格审查证明材料 服务内容及服务要求响应偏离表 商务及其他要求响应偏离表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一般资格审查证明材料 服务方案 供应商类似项目业绩一览表 特殊资格审查证明材料 服务内容及服务要求响应偏离表 商务及其他要求响应偏离表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日常巡查方案</w:t>
            </w:r>
          </w:p>
        </w:tc>
        <w:tc>
          <w:tcPr>
            <w:tcW w:type="dxa" w:w="2492"/>
          </w:tcPr>
          <w:p>
            <w:pPr>
              <w:pStyle w:val="null3"/>
            </w:pPr>
            <w:r>
              <w:rPr>
                <w:rFonts w:ascii="仿宋_GB2312" w:hAnsi="仿宋_GB2312" w:cs="仿宋_GB2312" w:eastAsia="仿宋_GB2312"/>
              </w:rPr>
              <w:t>1、评审内容：包含但不限于：①日常巡查具体内容； ②预防性检查；③日常运行质量控制措施等方面进行评审。2、评审标准： （1）评审内容每项满分为4分，共12分；（2）评审内容每缺失一项扣4分，每项内容有下列任意一项瑕疵的扣0.4分（单项评审内容相同瑕疵不重复扣分），扣完为止；瑕疵是指：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月度维保方案</w:t>
            </w:r>
          </w:p>
        </w:tc>
        <w:tc>
          <w:tcPr>
            <w:tcW w:type="dxa" w:w="2492"/>
          </w:tcPr>
          <w:p>
            <w:pPr>
              <w:pStyle w:val="null3"/>
            </w:pPr>
            <w:r>
              <w:rPr>
                <w:rFonts w:ascii="仿宋_GB2312" w:hAnsi="仿宋_GB2312" w:cs="仿宋_GB2312" w:eastAsia="仿宋_GB2312"/>
              </w:rPr>
              <w:t>1、评审内容：包含但不限于：①月度维保具体内容描述； ②月度维保质量控制措施等方面进行评审。2、评审标准： （1）评审内容每项满分为4分，共8分；（2）评审内容每缺失一项扣4分，每项内容有下列任意一项瑕疵的扣0.4分（单项评审内容相同瑕疵不重复扣分），扣完为止；瑕疵是指：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季度维保方案</w:t>
            </w:r>
          </w:p>
        </w:tc>
        <w:tc>
          <w:tcPr>
            <w:tcW w:type="dxa" w:w="2492"/>
          </w:tcPr>
          <w:p>
            <w:pPr>
              <w:pStyle w:val="null3"/>
            </w:pPr>
            <w:r>
              <w:rPr>
                <w:rFonts w:ascii="仿宋_GB2312" w:hAnsi="仿宋_GB2312" w:cs="仿宋_GB2312" w:eastAsia="仿宋_GB2312"/>
              </w:rPr>
              <w:t>1、评审内容：包含但不限于：①季度维保具体内容描述； ②季度维保质量控制措施等方面进行评审。2、评审标准： （1）评审内容每项满分为4分，共8分；（2）评审内容每缺失一项扣4分，每项内容有下列任意一项瑕疵的扣0.4分（单项评审内容相同瑕疵不重复扣分），扣完为止；瑕疵是指：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半年维保方案</w:t>
            </w:r>
          </w:p>
        </w:tc>
        <w:tc>
          <w:tcPr>
            <w:tcW w:type="dxa" w:w="2492"/>
          </w:tcPr>
          <w:p>
            <w:pPr>
              <w:pStyle w:val="null3"/>
            </w:pPr>
            <w:r>
              <w:rPr>
                <w:rFonts w:ascii="仿宋_GB2312" w:hAnsi="仿宋_GB2312" w:cs="仿宋_GB2312" w:eastAsia="仿宋_GB2312"/>
              </w:rPr>
              <w:t>1、评审内容：包含但不限于：①半年维保具体内容描述； ②半年维保质量控制措施等方面进行评审。2、评审标准： （1）评审内容每项满分为4分，共8分；（2）评审内容每缺失一项扣4分，每项内容有下列任意一项瑕疵的扣0.4分（单项评审内容相同瑕疵不重复扣分），扣完为止；瑕疵是指：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年度维保方案</w:t>
            </w:r>
          </w:p>
        </w:tc>
        <w:tc>
          <w:tcPr>
            <w:tcW w:type="dxa" w:w="2492"/>
          </w:tcPr>
          <w:p>
            <w:pPr>
              <w:pStyle w:val="null3"/>
            </w:pPr>
            <w:r>
              <w:rPr>
                <w:rFonts w:ascii="仿宋_GB2312" w:hAnsi="仿宋_GB2312" w:cs="仿宋_GB2312" w:eastAsia="仿宋_GB2312"/>
              </w:rPr>
              <w:t>1、评审内容：包含但不限于：①年度维保具体内容描述； ②年度维保质量控制措施等方面进行评审。2、评审标准： （1）评审内容每项满分为4分，共8分；（2）评审内容每缺失一项扣4分，每项内容有下列任意一项瑕疵的扣0.4分（单项评审内容相同瑕疵不重复扣分），扣完为止；瑕疵是指：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1、评审内容：包含但不限于：①人员组成、岗位职责等；②人员培训管理；③人员日常管理等方面进行评审。2、评审标准： （1）评审内容每项满分为4分，共12分；（2）评审内容每缺失一项扣4分，每项内容有下列任意一项瑕疵的扣0.4分（单项评审内容相同瑕疵不重复扣分），扣完为止；瑕疵是指：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备品配件等耗材及维保工具</w:t>
            </w:r>
          </w:p>
        </w:tc>
        <w:tc>
          <w:tcPr>
            <w:tcW w:type="dxa" w:w="2492"/>
          </w:tcPr>
          <w:p>
            <w:pPr>
              <w:pStyle w:val="null3"/>
            </w:pPr>
            <w:r>
              <w:rPr>
                <w:rFonts w:ascii="仿宋_GB2312" w:hAnsi="仿宋_GB2312" w:cs="仿宋_GB2312" w:eastAsia="仿宋_GB2312"/>
              </w:rPr>
              <w:t>1、评审内容：包含但不限于： ①备品配件等耗材：针对维保过程中涉及的相应备品、配件供应有保障，有充足的库存（提供证明材料，包括备件库存、供货商协议等），承诺货源渠道正规； ②维保工具：针对维保过程中涉及的维保工具、检测设备等进行评审，提供清单和设备工具照片等内容进行评审。2、评审标准： （1）评审内容每项满分为5分，共10分；（2）评审内容每缺失一项扣5分，每项内容有下列任意一项瑕疵的扣0.5分（单项评审内容相同瑕疵不重复扣分），扣完为止；瑕疵是指：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1、评审内容：包含但不限于：①安全管控措施； ②个人防护安全保障措施等方面进行评审。2、评审标准： （1）评审内容每项满分为5分，共10分；（2）评审内容每缺失一项扣5分，每项内容有下列任意一项瑕疵的扣0.5分（单项评审内容相同瑕疵不重复扣分），扣完为止；瑕疵是指：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信息留档</w:t>
            </w:r>
          </w:p>
        </w:tc>
        <w:tc>
          <w:tcPr>
            <w:tcW w:type="dxa" w:w="2492"/>
          </w:tcPr>
          <w:p>
            <w:pPr>
              <w:pStyle w:val="null3"/>
            </w:pPr>
            <w:r>
              <w:rPr>
                <w:rFonts w:ascii="仿宋_GB2312" w:hAnsi="仿宋_GB2312" w:cs="仿宋_GB2312" w:eastAsia="仿宋_GB2312"/>
              </w:rPr>
              <w:t>1、评审内容：包含但不限于留档制度等方面进行评审。2、评审标准： （1）评审内容每项满分为4分，共4分；（2）评审内容每缺失一项扣4分，每项内容有下列任意一项瑕疵的扣0.4分（单项评审内容相同瑕疵不重复扣分），扣完为止；瑕疵是指：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1、评审内容：包含但不限于其它优惠服务承诺等方面进行评审。2、评审标准： （1）评审内容每项满分为4分，共4分；（2）评审内容每缺失一项扣4分，每项内容有下列任意一项瑕疵的扣0.4分（单项评审内容相同瑕疵不重复扣分），扣完为止；瑕疵是指：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提供2023年1月1日起至今完成项目类似业绩，每有1项得2分，最高得6分； 注：业绩以签订时间为准，须提供合同复印件，并加盖公章，未提供或不清晰导致无法识别的不予认可。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满足磋商文件要求且最终报价最低的供应商的价格为磋商基准价得10分，其他各供应商的最终报价得分按下列公式计算：（磋商基准价/最终磋商报价）×10％×100。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详见附件：特殊资格审查证明材料</w:t>
      </w:r>
    </w:p>
    <w:p>
      <w:pPr>
        <w:pStyle w:val="null3"/>
        <w:ind w:firstLine="960"/>
      </w:pPr>
      <w:r>
        <w:rPr>
          <w:rFonts w:ascii="仿宋_GB2312" w:hAnsi="仿宋_GB2312" w:cs="仿宋_GB2312" w:eastAsia="仿宋_GB2312"/>
        </w:rPr>
        <w:t>详见附件：服务内容及服务要求响应偏离表</w:t>
      </w:r>
    </w:p>
    <w:p>
      <w:pPr>
        <w:pStyle w:val="null3"/>
        <w:ind w:firstLine="960"/>
      </w:pPr>
      <w:r>
        <w:rPr>
          <w:rFonts w:ascii="仿宋_GB2312" w:hAnsi="仿宋_GB2312" w:cs="仿宋_GB2312" w:eastAsia="仿宋_GB2312"/>
        </w:rPr>
        <w:t>详见附件：商务及其他要求响应偏离表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