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版本号：JZZB-【2026】-6120260819002</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（货物类）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业务用骨灰盒、业务用鲜花花材、公墓墓地用石材采购项目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JZZB-【2026】-61</w:t>
      </w:r>
      <w:r>
        <w:br/>
      </w:r>
      <w:r>
        <w:br/>
      </w:r>
      <w:r>
        <w:br/>
      </w:r>
    </w:p>
    <w:p>
      <w:pPr>
        <w:pStyle w:val="null3"/>
        <w:jc w:val="center"/>
        <w:outlineLvl w:val="2"/>
      </w:pPr>
      <w:r>
        <w:rPr>
          <w:rFonts w:ascii="仿宋_GB2312" w:hAnsi="仿宋_GB2312" w:cs="仿宋_GB2312" w:eastAsia="仿宋_GB2312"/>
          <w:sz w:val="28"/>
          <w:b/>
        </w:rPr>
        <w:t>西安市奉正塬殡仪馆</w:t>
      </w:r>
    </w:p>
    <w:p>
      <w:pPr>
        <w:pStyle w:val="null3"/>
        <w:jc w:val="center"/>
        <w:outlineLvl w:val="2"/>
      </w:pPr>
      <w:r>
        <w:rPr>
          <w:rFonts w:ascii="仿宋_GB2312" w:hAnsi="仿宋_GB2312" w:cs="仿宋_GB2312" w:eastAsia="仿宋_GB2312"/>
          <w:sz w:val="28"/>
          <w:b/>
        </w:rPr>
        <w:t>陕西金泽盛业项目管理有限公司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2026年08月13日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陕西金泽盛业项目管理有限公司</w:t>
      </w:r>
      <w:r>
        <w:rPr>
          <w:rFonts w:ascii="仿宋_GB2312" w:hAnsi="仿宋_GB2312" w:cs="仿宋_GB2312" w:eastAsia="仿宋_GB2312"/>
        </w:rPr>
        <w:t>（以下简称“代理机构”）受</w:t>
      </w:r>
      <w:r>
        <w:rPr>
          <w:rFonts w:ascii="仿宋_GB2312" w:hAnsi="仿宋_GB2312" w:cs="仿宋_GB2312" w:eastAsia="仿宋_GB2312"/>
        </w:rPr>
        <w:t>西安市奉正塬殡仪馆</w:t>
      </w:r>
      <w:r>
        <w:rPr>
          <w:rFonts w:ascii="仿宋_GB2312" w:hAnsi="仿宋_GB2312" w:cs="仿宋_GB2312" w:eastAsia="仿宋_GB2312"/>
        </w:rPr>
        <w:t>委托，拟对</w:t>
      </w:r>
      <w:r>
        <w:rPr>
          <w:rFonts w:ascii="仿宋_GB2312" w:hAnsi="仿宋_GB2312" w:cs="仿宋_GB2312" w:eastAsia="仿宋_GB2312"/>
        </w:rPr>
        <w:t>业务用骨灰盒、业务用鲜花花材、公墓墓地用石材采购项目</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JZZB-【2026】-61</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业务用骨灰盒、业务用鲜花花材、公墓墓地用石材采购项目</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业务用骨灰盒、业务用鲜花花材、公墓墓地用石材采购项目，具体内容详见招标文件。</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1.落实政府采购促进中小企业发展的相关政策</w:t>
      </w:r>
    </w:p>
    <w:p>
      <w:pPr>
        <w:pStyle w:val="null3"/>
      </w:pPr>
      <w:r>
        <w:rPr>
          <w:rFonts w:ascii="仿宋_GB2312" w:hAnsi="仿宋_GB2312" w:cs="仿宋_GB2312" w:eastAsia="仿宋_GB2312"/>
        </w:rPr>
        <w:t>采购包1（业务用骨灰盒（1包））：属于专门面向中小企业采购。</w:t>
      </w:r>
    </w:p>
    <w:p>
      <w:pPr>
        <w:pStyle w:val="null3"/>
      </w:pPr>
      <w:r>
        <w:rPr>
          <w:rFonts w:ascii="仿宋_GB2312" w:hAnsi="仿宋_GB2312" w:cs="仿宋_GB2312" w:eastAsia="仿宋_GB2312"/>
        </w:rPr>
        <w:t>采购包2（业务用骨灰盒（2包））：属于专门面向中小企业采购。</w:t>
      </w:r>
    </w:p>
    <w:p>
      <w:pPr>
        <w:pStyle w:val="null3"/>
      </w:pPr>
      <w:r>
        <w:rPr>
          <w:rFonts w:ascii="仿宋_GB2312" w:hAnsi="仿宋_GB2312" w:cs="仿宋_GB2312" w:eastAsia="仿宋_GB2312"/>
        </w:rPr>
        <w:t>采购包3（业务用鲜花）：属于专门面向中小企业采购。</w:t>
      </w:r>
    </w:p>
    <w:p>
      <w:pPr>
        <w:pStyle w:val="null3"/>
      </w:pPr>
      <w:r>
        <w:rPr>
          <w:rFonts w:ascii="仿宋_GB2312" w:hAnsi="仿宋_GB2312" w:cs="仿宋_GB2312" w:eastAsia="仿宋_GB2312"/>
        </w:rPr>
        <w:t>采购包4（公墓墓地用石材采购（1包））：属于专门面向中小企业采购。</w:t>
      </w:r>
    </w:p>
    <w:p>
      <w:pPr>
        <w:pStyle w:val="null3"/>
      </w:pPr>
      <w:r>
        <w:rPr>
          <w:rFonts w:ascii="仿宋_GB2312" w:hAnsi="仿宋_GB2312" w:cs="仿宋_GB2312" w:eastAsia="仿宋_GB2312"/>
        </w:rPr>
        <w:t>采购包5（公墓墓地用石材采购（2包））：属于专门面向中小企业采购。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1、有效的主体资格证明：供应商为合法注册的法人、其他组织或自然人，提供营业执照等证明文件。</w:t>
      </w:r>
    </w:p>
    <w:p>
      <w:pPr>
        <w:pStyle w:val="null3"/>
      </w:pPr>
      <w:r>
        <w:rPr>
          <w:rFonts w:ascii="仿宋_GB2312" w:hAnsi="仿宋_GB2312" w:cs="仿宋_GB2312" w:eastAsia="仿宋_GB2312"/>
        </w:rPr>
        <w:t>2、财务状况报告：供应商提供2025年度经审计的财务报告或投标截止时间前三个月内其基本开户银行出具的资信证明及账户开户许可证明材料或财政部门认可的政府采购专业担保机构开具的投标担保函。</w:t>
      </w:r>
    </w:p>
    <w:p>
      <w:pPr>
        <w:pStyle w:val="null3"/>
      </w:pPr>
      <w:r>
        <w:rPr>
          <w:rFonts w:ascii="仿宋_GB2312" w:hAnsi="仿宋_GB2312" w:cs="仿宋_GB2312" w:eastAsia="仿宋_GB2312"/>
        </w:rPr>
        <w:t>3、税收缴纳证明：提供投标文件递交截止日前6个月内已缴存的至少一个月的纳税证明或完税证明。依法免税的供应商应提供相关文件证明。</w:t>
      </w:r>
    </w:p>
    <w:p>
      <w:pPr>
        <w:pStyle w:val="null3"/>
      </w:pPr>
      <w:r>
        <w:rPr>
          <w:rFonts w:ascii="仿宋_GB2312" w:hAnsi="仿宋_GB2312" w:cs="仿宋_GB2312" w:eastAsia="仿宋_GB2312"/>
        </w:rPr>
        <w:t>4、社会保障资金缴纳证明：提供投标文件递交截止日前6个月内已缴存的至少一个月的社会保障资金缴存单据或社保机构开具的社会保险参保缴费情况证明，依法不需要缴纳社会保障资金的单位应提供相关证明材料。</w:t>
      </w:r>
    </w:p>
    <w:p>
      <w:pPr>
        <w:pStyle w:val="null3"/>
      </w:pPr>
      <w:r>
        <w:rPr>
          <w:rFonts w:ascii="仿宋_GB2312" w:hAnsi="仿宋_GB2312" w:cs="仿宋_GB2312" w:eastAsia="仿宋_GB2312"/>
        </w:rPr>
        <w:t>5、专业技术能力的声明：提供具有履行本合同所必需的设备和专业技术能力的声明或承诺。</w:t>
      </w:r>
    </w:p>
    <w:p>
      <w:pPr>
        <w:pStyle w:val="null3"/>
      </w:pPr>
      <w:r>
        <w:rPr>
          <w:rFonts w:ascii="仿宋_GB2312" w:hAnsi="仿宋_GB2312" w:cs="仿宋_GB2312" w:eastAsia="仿宋_GB2312"/>
        </w:rPr>
        <w:t>6、没有重大违法记录的书面声明：提供参加政府采购活动前三年内在经营活动中没有重大违法记录的书面声明。</w:t>
      </w:r>
    </w:p>
    <w:p>
      <w:pPr>
        <w:pStyle w:val="null3"/>
      </w:pPr>
      <w:r>
        <w:rPr>
          <w:rFonts w:ascii="仿宋_GB2312" w:hAnsi="仿宋_GB2312" w:cs="仿宋_GB2312" w:eastAsia="仿宋_GB2312"/>
        </w:rPr>
        <w:t>7、供应商信用：不得为“信用中国”网站(http://www.creditchina.gov.cn)列入“失信被执行人、重大税收违法失信主体”的供应商；不得为中国政府采购网(http://www.ccgp.gov.cn)“政府采购严重违法失信行为记录名单”中的供应商。（以代理机构开标当天查询结果为准）</w:t>
      </w:r>
    </w:p>
    <w:p>
      <w:pPr>
        <w:pStyle w:val="null3"/>
      </w:pPr>
      <w:r>
        <w:rPr>
          <w:rFonts w:ascii="仿宋_GB2312" w:hAnsi="仿宋_GB2312" w:cs="仿宋_GB2312" w:eastAsia="仿宋_GB2312"/>
        </w:rPr>
        <w:t>8、法定代表人授权委托书：法定代表人参加投标的，须提供本人身份证复印件（附在投标文件中）；法定代表人授权他人参加投标的，须提供法定代表人授权委托书。法定代表人授权委托书须附委托代理人为本单位人员的有效证明材料。</w:t>
      </w:r>
    </w:p>
    <w:p>
      <w:pPr>
        <w:pStyle w:val="null3"/>
      </w:pPr>
      <w:r>
        <w:rPr>
          <w:rFonts w:ascii="仿宋_GB2312" w:hAnsi="仿宋_GB2312" w:cs="仿宋_GB2312" w:eastAsia="仿宋_GB2312"/>
        </w:rPr>
        <w:t>9、供应商性质：本采购包专门面向中小企业采购。</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1、有效的主体资格证明：供应商为合法注册的法人、其他组织或自然人，提供营业执照等证明文件。</w:t>
      </w:r>
    </w:p>
    <w:p>
      <w:pPr>
        <w:pStyle w:val="null3"/>
      </w:pPr>
      <w:r>
        <w:rPr>
          <w:rFonts w:ascii="仿宋_GB2312" w:hAnsi="仿宋_GB2312" w:cs="仿宋_GB2312" w:eastAsia="仿宋_GB2312"/>
        </w:rPr>
        <w:t>2、财务状况报告：供应商提供2025年度经审计的财务报告或投标截止时间前三个月内其基本开户银行出具的资信证明及账户开户许可证明材料或财政部门认可的政府采购专业担保机构开具的投标担保函。</w:t>
      </w:r>
    </w:p>
    <w:p>
      <w:pPr>
        <w:pStyle w:val="null3"/>
      </w:pPr>
      <w:r>
        <w:rPr>
          <w:rFonts w:ascii="仿宋_GB2312" w:hAnsi="仿宋_GB2312" w:cs="仿宋_GB2312" w:eastAsia="仿宋_GB2312"/>
        </w:rPr>
        <w:t>3、税收缴纳证明：提供投标文件递交截止日前6个月内已缴存的至少一个月的纳税证明或完税证明。依法免税的供应商应提供相关文件证明。</w:t>
      </w:r>
    </w:p>
    <w:p>
      <w:pPr>
        <w:pStyle w:val="null3"/>
      </w:pPr>
      <w:r>
        <w:rPr>
          <w:rFonts w:ascii="仿宋_GB2312" w:hAnsi="仿宋_GB2312" w:cs="仿宋_GB2312" w:eastAsia="仿宋_GB2312"/>
        </w:rPr>
        <w:t>4、社会保障资金缴纳证明：提供投标文件递交截止日前6个月内已缴存的至少一个月的社会保障资金缴存单据或社保机构开具的社会保险参保缴费情况证明，依法不需要缴纳社会保障资金的单位应提供相关证明材料。</w:t>
      </w:r>
    </w:p>
    <w:p>
      <w:pPr>
        <w:pStyle w:val="null3"/>
      </w:pPr>
      <w:r>
        <w:rPr>
          <w:rFonts w:ascii="仿宋_GB2312" w:hAnsi="仿宋_GB2312" w:cs="仿宋_GB2312" w:eastAsia="仿宋_GB2312"/>
        </w:rPr>
        <w:t>5、专业技术能力的声明：提供具有履行本合同所必需的设备和专业技术能力的声明或承诺。</w:t>
      </w:r>
    </w:p>
    <w:p>
      <w:pPr>
        <w:pStyle w:val="null3"/>
      </w:pPr>
      <w:r>
        <w:rPr>
          <w:rFonts w:ascii="仿宋_GB2312" w:hAnsi="仿宋_GB2312" w:cs="仿宋_GB2312" w:eastAsia="仿宋_GB2312"/>
        </w:rPr>
        <w:t>6、没有重大违法记录的书面声明：提供参加政府采购活动前三年内在经营活动中没有重大违法记录的书面声明。</w:t>
      </w:r>
    </w:p>
    <w:p>
      <w:pPr>
        <w:pStyle w:val="null3"/>
      </w:pPr>
      <w:r>
        <w:rPr>
          <w:rFonts w:ascii="仿宋_GB2312" w:hAnsi="仿宋_GB2312" w:cs="仿宋_GB2312" w:eastAsia="仿宋_GB2312"/>
        </w:rPr>
        <w:t>7、供应商信用：不得为“信用中国”网站(http://www.creditchina.gov.cn)列入“失信被执行人、重大税收违法失信主体”的供应商；不得为中国政府采购网(http://www.ccgp.gov.cn)“政府采购严重违法失信行为记录名单”中的供应商。（以代理机构开标当天查询结果为准）</w:t>
      </w:r>
    </w:p>
    <w:p>
      <w:pPr>
        <w:pStyle w:val="null3"/>
      </w:pPr>
      <w:r>
        <w:rPr>
          <w:rFonts w:ascii="仿宋_GB2312" w:hAnsi="仿宋_GB2312" w:cs="仿宋_GB2312" w:eastAsia="仿宋_GB2312"/>
        </w:rPr>
        <w:t>8、法定代表人授权委托书：法定代表人参加投标的，须提供本人身份证复印件（附在投标文件中）；法定代表人授权他人参加投标的，须提供法定代表人授权委托书。法定代表人授权委托书须附委托代理人为本单位人员的有效证明材料。</w:t>
      </w:r>
    </w:p>
    <w:p>
      <w:pPr>
        <w:pStyle w:val="null3"/>
      </w:pPr>
      <w:r>
        <w:rPr>
          <w:rFonts w:ascii="仿宋_GB2312" w:hAnsi="仿宋_GB2312" w:cs="仿宋_GB2312" w:eastAsia="仿宋_GB2312"/>
        </w:rPr>
        <w:t>9、供应商性质：本采购包专门面向中小企业采购。</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1、有效的主体资格证明：供应商为合法注册的法人、其他组织或自然人，提供营业执照等证明文件。</w:t>
      </w:r>
    </w:p>
    <w:p>
      <w:pPr>
        <w:pStyle w:val="null3"/>
      </w:pPr>
      <w:r>
        <w:rPr>
          <w:rFonts w:ascii="仿宋_GB2312" w:hAnsi="仿宋_GB2312" w:cs="仿宋_GB2312" w:eastAsia="仿宋_GB2312"/>
        </w:rPr>
        <w:t>2、财务状况报告：供应商提供2025年度经审计的财务报告或投标截止时间前三个月内其基本开户银行出具的资信证明及账户开户许可证明材料或财政部门认可的政府采购专业担保机构开具的投标担保函。</w:t>
      </w:r>
    </w:p>
    <w:p>
      <w:pPr>
        <w:pStyle w:val="null3"/>
      </w:pPr>
      <w:r>
        <w:rPr>
          <w:rFonts w:ascii="仿宋_GB2312" w:hAnsi="仿宋_GB2312" w:cs="仿宋_GB2312" w:eastAsia="仿宋_GB2312"/>
        </w:rPr>
        <w:t>3、税收缴纳证明：提供投标文件递交截止日前6个月内已缴存的至少一个月的纳税证明或完税证明。依法免税的供应商应提供相关文件证明。</w:t>
      </w:r>
    </w:p>
    <w:p>
      <w:pPr>
        <w:pStyle w:val="null3"/>
      </w:pPr>
      <w:r>
        <w:rPr>
          <w:rFonts w:ascii="仿宋_GB2312" w:hAnsi="仿宋_GB2312" w:cs="仿宋_GB2312" w:eastAsia="仿宋_GB2312"/>
        </w:rPr>
        <w:t>4、社会保障资金缴纳证明：提供投标文件递交截止日前6个月内已缴存的至少一个月的社会保障资金缴存单据或社保机构开具的社会保险参保缴费情况证明，依法不需要缴纳社会保障资金的单位应提供相关证明材料。</w:t>
      </w:r>
    </w:p>
    <w:p>
      <w:pPr>
        <w:pStyle w:val="null3"/>
      </w:pPr>
      <w:r>
        <w:rPr>
          <w:rFonts w:ascii="仿宋_GB2312" w:hAnsi="仿宋_GB2312" w:cs="仿宋_GB2312" w:eastAsia="仿宋_GB2312"/>
        </w:rPr>
        <w:t>5、专业技术能力的声明：提供具有履行本合同所必需的设备和专业技术能力的声明或承诺。</w:t>
      </w:r>
    </w:p>
    <w:p>
      <w:pPr>
        <w:pStyle w:val="null3"/>
      </w:pPr>
      <w:r>
        <w:rPr>
          <w:rFonts w:ascii="仿宋_GB2312" w:hAnsi="仿宋_GB2312" w:cs="仿宋_GB2312" w:eastAsia="仿宋_GB2312"/>
        </w:rPr>
        <w:t>6、没有重大违法记录的书面声明：提供参加政府采购活动前三年内在经营活动中没有重大违法记录的书面声明。</w:t>
      </w:r>
    </w:p>
    <w:p>
      <w:pPr>
        <w:pStyle w:val="null3"/>
      </w:pPr>
      <w:r>
        <w:rPr>
          <w:rFonts w:ascii="仿宋_GB2312" w:hAnsi="仿宋_GB2312" w:cs="仿宋_GB2312" w:eastAsia="仿宋_GB2312"/>
        </w:rPr>
        <w:t>7、供应商信用：不得为“信用中国”网站(http://www.creditchina.gov.cn)列入“失信被执行人、重大税收违法失信主体”的供应商；不得为中国政府采购网(http://www.ccgp.gov.cn)“政府采购严重违法失信行为记录名单”中的供应商。（以代理机构开标当天查询结果为准）</w:t>
      </w:r>
    </w:p>
    <w:p>
      <w:pPr>
        <w:pStyle w:val="null3"/>
      </w:pPr>
      <w:r>
        <w:rPr>
          <w:rFonts w:ascii="仿宋_GB2312" w:hAnsi="仿宋_GB2312" w:cs="仿宋_GB2312" w:eastAsia="仿宋_GB2312"/>
        </w:rPr>
        <w:t>8、法定代表人授权委托书：法定代表人参加投标的，须提供本人身份证复印件（附在投标文件中）；法定代表人授权他人参加投标的，须提供法定代表人授权委托书。法定代表人授权委托书须附委托代理人为本单位人员的有效证明材料。</w:t>
      </w:r>
    </w:p>
    <w:p>
      <w:pPr>
        <w:pStyle w:val="null3"/>
      </w:pPr>
      <w:r>
        <w:rPr>
          <w:rFonts w:ascii="仿宋_GB2312" w:hAnsi="仿宋_GB2312" w:cs="仿宋_GB2312" w:eastAsia="仿宋_GB2312"/>
        </w:rPr>
        <w:t>9、供应商性质：本采购包专门面向中小企业采购。</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1、有效的主体资格证明：供应商为合法注册的法人、其他组织或自然人，提供营业执照等证明文件。</w:t>
      </w:r>
    </w:p>
    <w:p>
      <w:pPr>
        <w:pStyle w:val="null3"/>
      </w:pPr>
      <w:r>
        <w:rPr>
          <w:rFonts w:ascii="仿宋_GB2312" w:hAnsi="仿宋_GB2312" w:cs="仿宋_GB2312" w:eastAsia="仿宋_GB2312"/>
        </w:rPr>
        <w:t>2、财务状况报告：供应商提供2025年度经审计的财务报告或投标截止时间前三个月内其基本开户银行出具的资信证明及账户开户许可证明材料或财政部门认可的政府采购专业担保机构开具的投标担保函。</w:t>
      </w:r>
    </w:p>
    <w:p>
      <w:pPr>
        <w:pStyle w:val="null3"/>
      </w:pPr>
      <w:r>
        <w:rPr>
          <w:rFonts w:ascii="仿宋_GB2312" w:hAnsi="仿宋_GB2312" w:cs="仿宋_GB2312" w:eastAsia="仿宋_GB2312"/>
        </w:rPr>
        <w:t>3、税收缴纳证明：提供投标文件递交截止日前6个月内已缴存的至少一个月的纳税证明或完税证明。依法免税的供应商应提供相关文件证明。</w:t>
      </w:r>
    </w:p>
    <w:p>
      <w:pPr>
        <w:pStyle w:val="null3"/>
      </w:pPr>
      <w:r>
        <w:rPr>
          <w:rFonts w:ascii="仿宋_GB2312" w:hAnsi="仿宋_GB2312" w:cs="仿宋_GB2312" w:eastAsia="仿宋_GB2312"/>
        </w:rPr>
        <w:t>4、社会保障资金缴纳证明：提供投标文件递交截止日前6个月内已缴存的至少一个月的社会保障资金缴存单据或社保机构开具的社会保险参保缴费情况证明，依法不需要缴纳社会保障资金的单位应提供相关证明材料。</w:t>
      </w:r>
    </w:p>
    <w:p>
      <w:pPr>
        <w:pStyle w:val="null3"/>
      </w:pPr>
      <w:r>
        <w:rPr>
          <w:rFonts w:ascii="仿宋_GB2312" w:hAnsi="仿宋_GB2312" w:cs="仿宋_GB2312" w:eastAsia="仿宋_GB2312"/>
        </w:rPr>
        <w:t>5、专业技术能力的声明：提供具有履行本合同所必需的设备和专业技术能力的声明或承诺。</w:t>
      </w:r>
    </w:p>
    <w:p>
      <w:pPr>
        <w:pStyle w:val="null3"/>
      </w:pPr>
      <w:r>
        <w:rPr>
          <w:rFonts w:ascii="仿宋_GB2312" w:hAnsi="仿宋_GB2312" w:cs="仿宋_GB2312" w:eastAsia="仿宋_GB2312"/>
        </w:rPr>
        <w:t>6、没有重大违法记录的书面声明：提供参加政府采购活动前三年内在经营活动中没有重大违法记录的书面声明。</w:t>
      </w:r>
    </w:p>
    <w:p>
      <w:pPr>
        <w:pStyle w:val="null3"/>
      </w:pPr>
      <w:r>
        <w:rPr>
          <w:rFonts w:ascii="仿宋_GB2312" w:hAnsi="仿宋_GB2312" w:cs="仿宋_GB2312" w:eastAsia="仿宋_GB2312"/>
        </w:rPr>
        <w:t>7、供应商信用：不得为“信用中国”网站(http://www.creditchina.gov.cn)列入“失信被执行人、重大税收违法失信主体”的供应商；不得为中国政府采购网(http://www.ccgp.gov.cn)“政府采购严重违法失信行为记录名单”中的供应商。（以代理机构开标当天查询结果为准）</w:t>
      </w:r>
    </w:p>
    <w:p>
      <w:pPr>
        <w:pStyle w:val="null3"/>
      </w:pPr>
      <w:r>
        <w:rPr>
          <w:rFonts w:ascii="仿宋_GB2312" w:hAnsi="仿宋_GB2312" w:cs="仿宋_GB2312" w:eastAsia="仿宋_GB2312"/>
        </w:rPr>
        <w:t>8、法定代表人授权委托书：法定代表人参加投标的，须提供本人身份证复印件（附在投标文件中）；法定代表人授权他人参加投标的，须提供法定代表人授权委托书。法定代表人授权委托书须附委托代理人为本单位人员的有效证明材料。</w:t>
      </w:r>
    </w:p>
    <w:p>
      <w:pPr>
        <w:pStyle w:val="null3"/>
      </w:pPr>
      <w:r>
        <w:rPr>
          <w:rFonts w:ascii="仿宋_GB2312" w:hAnsi="仿宋_GB2312" w:cs="仿宋_GB2312" w:eastAsia="仿宋_GB2312"/>
        </w:rPr>
        <w:t>9、供应商性质：本采购包专门面向中小企业采购。</w:t>
      </w:r>
    </w:p>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1、有效的主体资格证明：供应商为合法注册的法人、其他组织或自然人，提供营业执照等证明文件。</w:t>
      </w:r>
    </w:p>
    <w:p>
      <w:pPr>
        <w:pStyle w:val="null3"/>
      </w:pPr>
      <w:r>
        <w:rPr>
          <w:rFonts w:ascii="仿宋_GB2312" w:hAnsi="仿宋_GB2312" w:cs="仿宋_GB2312" w:eastAsia="仿宋_GB2312"/>
        </w:rPr>
        <w:t>2、财务状况报告：供应商提供2025年度经审计的财务报告或投标截止时间前三个月内其基本开户银行出具的资信证明及账户开户许可证明材料或财政部门认可的政府采购专业担保机构开具的投标担保函。</w:t>
      </w:r>
    </w:p>
    <w:p>
      <w:pPr>
        <w:pStyle w:val="null3"/>
      </w:pPr>
      <w:r>
        <w:rPr>
          <w:rFonts w:ascii="仿宋_GB2312" w:hAnsi="仿宋_GB2312" w:cs="仿宋_GB2312" w:eastAsia="仿宋_GB2312"/>
        </w:rPr>
        <w:t>3、税收缴纳证明：提供投标文件递交截止日前6个月内已缴存的至少一个月的纳税证明或完税证明。依法免税的供应商应提供相关文件证明。</w:t>
      </w:r>
    </w:p>
    <w:p>
      <w:pPr>
        <w:pStyle w:val="null3"/>
      </w:pPr>
      <w:r>
        <w:rPr>
          <w:rFonts w:ascii="仿宋_GB2312" w:hAnsi="仿宋_GB2312" w:cs="仿宋_GB2312" w:eastAsia="仿宋_GB2312"/>
        </w:rPr>
        <w:t>4、社会保障资金缴纳证明：提供投标文件递交截止日前6个月内已缴存的至少一个月的社会保障资金缴存单据或社保机构开具的社会保险参保缴费情况证明，依法不需要缴纳社会保障资金的单位应提供相关证明材料。</w:t>
      </w:r>
    </w:p>
    <w:p>
      <w:pPr>
        <w:pStyle w:val="null3"/>
      </w:pPr>
      <w:r>
        <w:rPr>
          <w:rFonts w:ascii="仿宋_GB2312" w:hAnsi="仿宋_GB2312" w:cs="仿宋_GB2312" w:eastAsia="仿宋_GB2312"/>
        </w:rPr>
        <w:t>5、专业技术能力的声明：提供具有履行本合同所必需的设备和专业技术能力的声明或承诺。</w:t>
      </w:r>
    </w:p>
    <w:p>
      <w:pPr>
        <w:pStyle w:val="null3"/>
      </w:pPr>
      <w:r>
        <w:rPr>
          <w:rFonts w:ascii="仿宋_GB2312" w:hAnsi="仿宋_GB2312" w:cs="仿宋_GB2312" w:eastAsia="仿宋_GB2312"/>
        </w:rPr>
        <w:t>6、没有重大违法记录的书面声明：提供参加政府采购活动前三年内在经营活动中没有重大违法记录的书面声明。</w:t>
      </w:r>
    </w:p>
    <w:p>
      <w:pPr>
        <w:pStyle w:val="null3"/>
      </w:pPr>
      <w:r>
        <w:rPr>
          <w:rFonts w:ascii="仿宋_GB2312" w:hAnsi="仿宋_GB2312" w:cs="仿宋_GB2312" w:eastAsia="仿宋_GB2312"/>
        </w:rPr>
        <w:t>7、供应商信用：不得为“信用中国”网站(http://www.creditchina.gov.cn)列入“失信被执行人、重大税收违法失信主体”的供应商；不得为中国政府采购网(http://www.ccgp.gov.cn)“政府采购严重违法失信行为记录名单”中的供应商。（以代理机构开标当天查询结果为准）</w:t>
      </w:r>
    </w:p>
    <w:p>
      <w:pPr>
        <w:pStyle w:val="null3"/>
      </w:pPr>
      <w:r>
        <w:rPr>
          <w:rFonts w:ascii="仿宋_GB2312" w:hAnsi="仿宋_GB2312" w:cs="仿宋_GB2312" w:eastAsia="仿宋_GB2312"/>
        </w:rPr>
        <w:t>8、法定代表人授权委托书：法定代表人参加投标的，须提供本人身份证复印件（附在投标文件中）；法定代表人授权他人参加投标的，须提供法定代表人授权委托书。法定代表人授权委托书须附委托代理人为本单位人员的有效证明材料。</w:t>
      </w:r>
    </w:p>
    <w:p>
      <w:pPr>
        <w:pStyle w:val="null3"/>
      </w:pPr>
      <w:r>
        <w:rPr>
          <w:rFonts w:ascii="仿宋_GB2312" w:hAnsi="仿宋_GB2312" w:cs="仿宋_GB2312" w:eastAsia="仿宋_GB2312"/>
        </w:rPr>
        <w:t>9、供应商性质：本采购包专门面向中小企业采购。</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在线服务：通过陕西省政府采购网-在线服务进行咨询。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jc w:val="left"/>
      </w:pPr>
      <w:r>
        <w:rPr>
          <w:rFonts w:ascii="仿宋_GB2312" w:hAnsi="仿宋_GB2312" w:cs="仿宋_GB2312" w:eastAsia="仿宋_GB2312"/>
        </w:rPr>
        <w:t>注：获取的招标文件主体格式包括pdf、word两种格式版本，其中以pdf格式为准。</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釆购网—陕西省政府采购金融服务平台（https://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西安市奉正塬殡仪馆</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陕西省西安市高陵区马北村</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710200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张海龙、刘江锋</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13319803112、18700447165</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陕西金泽盛业项目管理有限公司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西安市经济技术开发区凤城五路123号秦创原软科中心A座20层</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王工</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029-89163630、17791670707</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西安市财政局政府采购管理处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杜新星</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029-89821846</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采购包1：300,000.00元</w:t>
            </w:r>
          </w:p>
          <w:p>
            <w:pPr>
              <w:pStyle w:val="null3"/>
            </w:pPr>
            <w:r>
              <w:rPr>
                <w:rFonts w:ascii="仿宋_GB2312" w:hAnsi="仿宋_GB2312" w:cs="仿宋_GB2312" w:eastAsia="仿宋_GB2312"/>
              </w:rPr>
              <w:t>采购包2：250,000.00元</w:t>
            </w:r>
          </w:p>
          <w:p>
            <w:pPr>
              <w:pStyle w:val="null3"/>
            </w:pPr>
            <w:r>
              <w:rPr>
                <w:rFonts w:ascii="仿宋_GB2312" w:hAnsi="仿宋_GB2312" w:cs="仿宋_GB2312" w:eastAsia="仿宋_GB2312"/>
              </w:rPr>
              <w:t>采购包3：400,000.00元</w:t>
            </w:r>
          </w:p>
          <w:p>
            <w:pPr>
              <w:pStyle w:val="null3"/>
            </w:pPr>
            <w:r>
              <w:rPr>
                <w:rFonts w:ascii="仿宋_GB2312" w:hAnsi="仿宋_GB2312" w:cs="仿宋_GB2312" w:eastAsia="仿宋_GB2312"/>
              </w:rPr>
              <w:t>采购包4：1,150,000.00元</w:t>
            </w:r>
          </w:p>
          <w:p>
            <w:pPr>
              <w:pStyle w:val="null3"/>
            </w:pPr>
            <w:r>
              <w:rPr>
                <w:rFonts w:ascii="仿宋_GB2312" w:hAnsi="仿宋_GB2312" w:cs="仿宋_GB2312" w:eastAsia="仿宋_GB2312"/>
              </w:rPr>
              <w:t>采购包5：350,000.00元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pPr>
            <w:r>
              <w:rPr>
                <w:rFonts w:ascii="仿宋_GB2312" w:hAnsi="仿宋_GB2312" w:cs="仿宋_GB2312" w:eastAsia="仿宋_GB2312"/>
              </w:rPr>
              <w:t>采购包3：综合评分法</w:t>
            </w:r>
          </w:p>
          <w:p>
            <w:pPr>
              <w:pStyle w:val="null3"/>
            </w:pPr>
            <w:r>
              <w:rPr>
                <w:rFonts w:ascii="仿宋_GB2312" w:hAnsi="仿宋_GB2312" w:cs="仿宋_GB2312" w:eastAsia="仿宋_GB2312"/>
              </w:rPr>
              <w:t>采购包4：综合评分法</w:t>
            </w:r>
          </w:p>
          <w:p>
            <w:pPr>
              <w:pStyle w:val="null3"/>
            </w:pPr>
            <w:r>
              <w:rPr>
                <w:rFonts w:ascii="仿宋_GB2312" w:hAnsi="仿宋_GB2312" w:cs="仿宋_GB2312" w:eastAsia="仿宋_GB2312"/>
              </w:rPr>
              <w:t>采购包5：综合评分法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p>
          <w:p>
            <w:pPr>
              <w:pStyle w:val="null3"/>
            </w:pPr>
            <w:r>
              <w:rPr>
                <w:rFonts w:ascii="仿宋_GB2312" w:hAnsi="仿宋_GB2312" w:cs="仿宋_GB2312" w:eastAsia="仿宋_GB2312"/>
              </w:rPr>
              <w:t>采购包2：不接受</w:t>
            </w:r>
          </w:p>
          <w:p>
            <w:pPr>
              <w:pStyle w:val="null3"/>
            </w:pPr>
            <w:r>
              <w:rPr>
                <w:rFonts w:ascii="仿宋_GB2312" w:hAnsi="仿宋_GB2312" w:cs="仿宋_GB2312" w:eastAsia="仿宋_GB2312"/>
              </w:rPr>
              <w:t>采购包3：不接受</w:t>
            </w:r>
          </w:p>
          <w:p>
            <w:pPr>
              <w:pStyle w:val="null3"/>
            </w:pPr>
            <w:r>
              <w:rPr>
                <w:rFonts w:ascii="仿宋_GB2312" w:hAnsi="仿宋_GB2312" w:cs="仿宋_GB2312" w:eastAsia="仿宋_GB2312"/>
              </w:rPr>
              <w:t>采购包4：不接受</w:t>
            </w:r>
          </w:p>
          <w:p>
            <w:pPr>
              <w:pStyle w:val="null3"/>
            </w:pPr>
            <w:r>
              <w:rPr>
                <w:rFonts w:ascii="仿宋_GB2312" w:hAnsi="仿宋_GB2312" w:cs="仿宋_GB2312" w:eastAsia="仿宋_GB2312"/>
              </w:rPr>
              <w:t>采购包5：不接受</w:t>
            </w:r>
            <w:r>
              <w:rPr>
                <w:rFonts w:ascii="仿宋_GB2312" w:hAnsi="仿宋_GB2312" w:cs="仿宋_GB2312" w:eastAsia="仿宋_GB2312"/>
              </w:rPr>
              <w:t xml:space="preserve"> 如以联合体投标的，联合体各方均应当具备本招标文件要求的资格条件和能力。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五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 xml:space="preserve"> 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本项目应执行财政部《关于推动解决政府采购异常低价问题的通知》（财库〔2026〕2号）的要求，具体内容见采购文件第五章。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缴交方式：否</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p>
            <w:pPr>
              <w:pStyle w:val="null3"/>
            </w:pPr>
            <w:r>
              <w:rPr>
                <w:rFonts w:ascii="仿宋_GB2312" w:hAnsi="仿宋_GB2312" w:cs="仿宋_GB2312" w:eastAsia="仿宋_GB2312"/>
              </w:rPr>
              <w:t>采购包2：不缴纳</w:t>
            </w:r>
          </w:p>
          <w:p>
            <w:pPr>
              <w:pStyle w:val="null3"/>
            </w:pPr>
            <w:r>
              <w:rPr>
                <w:rFonts w:ascii="仿宋_GB2312" w:hAnsi="仿宋_GB2312" w:cs="仿宋_GB2312" w:eastAsia="仿宋_GB2312"/>
              </w:rPr>
              <w:t>采购包3：不缴纳</w:t>
            </w:r>
          </w:p>
          <w:p>
            <w:pPr>
              <w:pStyle w:val="null3"/>
            </w:pPr>
            <w:r>
              <w:rPr>
                <w:rFonts w:ascii="仿宋_GB2312" w:hAnsi="仿宋_GB2312" w:cs="仿宋_GB2312" w:eastAsia="仿宋_GB2312"/>
              </w:rPr>
              <w:t>采购包4：不缴纳</w:t>
            </w:r>
          </w:p>
          <w:p>
            <w:pPr>
              <w:pStyle w:val="null3"/>
            </w:pPr>
            <w:r>
              <w:rPr>
                <w:rFonts w:ascii="仿宋_GB2312" w:hAnsi="仿宋_GB2312" w:cs="仿宋_GB2312" w:eastAsia="仿宋_GB2312"/>
              </w:rPr>
              <w:t>采购包5：不缴纳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代理服务费收费标准：参照国家计委颁发的《招标代理服务收费管理暂行办法》（计价格[2002]1980号）和《关于招标代理服务收费有关问题的通知》（发改办价格[2003]857号）的有关规定执行。</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p>
            <w:pPr>
              <w:pStyle w:val="null3"/>
            </w:pPr>
            <w:r>
              <w:rPr>
                <w:rFonts w:ascii="仿宋_GB2312" w:hAnsi="仿宋_GB2312" w:cs="仿宋_GB2312" w:eastAsia="仿宋_GB2312"/>
              </w:rPr>
              <w:t>采购包2：组织现场踏勘：否</w:t>
            </w:r>
          </w:p>
          <w:p>
            <w:pPr>
              <w:pStyle w:val="null3"/>
            </w:pPr>
            <w:r>
              <w:rPr>
                <w:rFonts w:ascii="仿宋_GB2312" w:hAnsi="仿宋_GB2312" w:cs="仿宋_GB2312" w:eastAsia="仿宋_GB2312"/>
              </w:rPr>
              <w:t>采购包3：组织现场踏勘：否</w:t>
            </w:r>
          </w:p>
          <w:p>
            <w:pPr>
              <w:pStyle w:val="null3"/>
            </w:pPr>
            <w:r>
              <w:rPr>
                <w:rFonts w:ascii="仿宋_GB2312" w:hAnsi="仿宋_GB2312" w:cs="仿宋_GB2312" w:eastAsia="仿宋_GB2312"/>
              </w:rPr>
              <w:t>采购包4：组织现场踏勘：否</w:t>
            </w:r>
          </w:p>
          <w:p>
            <w:pPr>
              <w:pStyle w:val="null3"/>
            </w:pPr>
            <w:r>
              <w:rPr>
                <w:rFonts w:ascii="仿宋_GB2312" w:hAnsi="仿宋_GB2312" w:cs="仿宋_GB2312" w:eastAsia="仿宋_GB2312"/>
              </w:rPr>
              <w:t>采购包5：组织现场踏勘：否</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出现下列情形之一的，采购人或者采购代理机构应当中止电子化采购活动，并保留相关证明材料备查：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本采购文件所称的“以上”、“以下”、“内”、“以内”、“不少于”包括本数；所称的“不足”、“低于”、“超过”不包括本数。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西安市奉正塬殡仪馆</w:t>
      </w:r>
      <w:r>
        <w:rPr>
          <w:rFonts w:ascii="仿宋_GB2312" w:hAnsi="仿宋_GB2312" w:cs="仿宋_GB2312" w:eastAsia="仿宋_GB2312"/>
        </w:rPr>
        <w:t>和</w:t>
      </w:r>
      <w:r>
        <w:rPr>
          <w:rFonts w:ascii="仿宋_GB2312" w:hAnsi="仿宋_GB2312" w:cs="仿宋_GB2312" w:eastAsia="仿宋_GB2312"/>
        </w:rPr>
        <w:t>陕西金泽盛业项目管理有限公司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西安市奉正塬殡仪馆</w:t>
      </w:r>
      <w:r>
        <w:rPr>
          <w:rFonts w:ascii="仿宋_GB2312" w:hAnsi="仿宋_GB2312" w:cs="仿宋_GB2312" w:eastAsia="仿宋_GB2312"/>
        </w:rPr>
        <w:t>负责解释。除上述招标文件内容，其他内容由</w:t>
      </w:r>
      <w:r>
        <w:rPr>
          <w:rFonts w:ascii="仿宋_GB2312" w:hAnsi="仿宋_GB2312" w:cs="仿宋_GB2312" w:eastAsia="仿宋_GB2312"/>
        </w:rPr>
        <w:t>陕西金泽盛业项目管理有限公司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西安市奉正塬殡仪馆</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陕西金泽盛业项目管理有限公司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 xml:space="preserve"> 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二、投标人应认真阅读和充分理解招标文件中所有的事项、格式条款和规范要求。投标人没有对招标文件全面做出实质性响应所产生的风险由投标人承担。</w:t>
      </w:r>
    </w:p>
    <w:p>
      <w:pPr>
        <w:pStyle w:val="null3"/>
        <w:outlineLvl w:val="3"/>
      </w:pPr>
      <w:r>
        <w:rPr>
          <w:rFonts w:ascii="仿宋_GB2312" w:hAnsi="仿宋_GB2312" w:cs="仿宋_GB2312" w:eastAsia="仿宋_GB2312"/>
          <w:sz w:val="24"/>
          <w:b/>
        </w:rPr>
        <w:t xml:space="preserve"> 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 xml:space="preserve"> 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 xml:space="preserve"> 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签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 xml:space="preserve"> 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分钟；投标人应在规定的解密时间内，使用互认的证书及签章通过项目电子化采购系统进行投标文件解密。投标人未在规定的解密时间内完成解密的，按无效投标处理。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分包供应商履行的分包项目的品牌、规格型号及技术要求等，必须与中标的品牌、规格型号及技术要求一致。</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pPr>
      <w:r>
        <w:rPr>
          <w:rFonts w:ascii="仿宋_GB2312" w:hAnsi="仿宋_GB2312" w:cs="仿宋_GB2312" w:eastAsia="仿宋_GB2312"/>
        </w:rPr>
        <w:t>采购包2：不允许合同分包。</w:t>
      </w:r>
    </w:p>
    <w:p>
      <w:pPr>
        <w:pStyle w:val="null3"/>
      </w:pPr>
      <w:r>
        <w:rPr>
          <w:rFonts w:ascii="仿宋_GB2312" w:hAnsi="仿宋_GB2312" w:cs="仿宋_GB2312" w:eastAsia="仿宋_GB2312"/>
        </w:rPr>
        <w:t>采购包3：不允许合同分包。</w:t>
      </w:r>
    </w:p>
    <w:p>
      <w:pPr>
        <w:pStyle w:val="null3"/>
      </w:pPr>
      <w:r>
        <w:rPr>
          <w:rFonts w:ascii="仿宋_GB2312" w:hAnsi="仿宋_GB2312" w:cs="仿宋_GB2312" w:eastAsia="仿宋_GB2312"/>
        </w:rPr>
        <w:t>采购包4：不允许合同分包。</w:t>
      </w:r>
    </w:p>
    <w:p>
      <w:pPr>
        <w:pStyle w:val="null3"/>
      </w:pPr>
      <w:r>
        <w:rPr>
          <w:rFonts w:ascii="仿宋_GB2312" w:hAnsi="仿宋_GB2312" w:cs="仿宋_GB2312" w:eastAsia="仿宋_GB2312"/>
        </w:rPr>
        <w:t>采购包5：不允许合同分包。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一、严禁中标人将本项目转包。本项目所称转包，是指将本项目转给他人或者将本项目全部肢解以后以分包的名义分别转给他人的行为。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二、中标人转包的，视同拒绝履行政府采购合同，将依法追究法律责任。</w:t>
      </w:r>
    </w:p>
    <w:p>
      <w:pPr>
        <w:pStyle w:val="null3"/>
        <w:outlineLvl w:val="3"/>
      </w:pPr>
      <w:r>
        <w:rPr>
          <w:rFonts w:ascii="仿宋_GB2312" w:hAnsi="仿宋_GB2312" w:cs="仿宋_GB2312" w:eastAsia="仿宋_GB2312"/>
          <w:sz w:val="24"/>
          <w:b/>
        </w:rPr>
        <w:t>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详见采购文件及拟签订的合同文本</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详见采购文件及拟签订的合同文本</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详见采购文件及拟签订的合同文本</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详见采购文件及拟签订的合同文本</w:t>
      </w:r>
    </w:p>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详见采购文件及拟签订的合同文本</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对各投标人的商业秘密，评标委员会成员应予以保密，不得泄露给其他投标人。</w:t>
      </w:r>
    </w:p>
    <w:p>
      <w:pPr>
        <w:pStyle w:val="null3"/>
        <w:outlineLvl w:val="3"/>
      </w:pPr>
      <w:r>
        <w:rPr>
          <w:rFonts w:ascii="仿宋_GB2312" w:hAnsi="仿宋_GB2312" w:cs="仿宋_GB2312" w:eastAsia="仿宋_GB2312"/>
          <w:sz w:val="24"/>
          <w:b/>
        </w:rPr>
        <w:t xml:space="preserve"> 2.7.2投标人不得具有的情形（实质性要求）</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投标人有上述情形的，按照规定追究法律责任，具备一至十一条情形之一的，其投标文件无效，或取消被确认为中标供应商的资格或认定中标无效。</w:t>
      </w:r>
    </w:p>
    <w:p>
      <w:pPr>
        <w:pStyle w:val="null3"/>
        <w:outlineLvl w:val="3"/>
      </w:pPr>
      <w:r>
        <w:rPr>
          <w:rFonts w:ascii="仿宋_GB2312" w:hAnsi="仿宋_GB2312" w:cs="仿宋_GB2312" w:eastAsia="仿宋_GB2312"/>
          <w:sz w:val="24"/>
          <w:b/>
        </w:rPr>
        <w:t>2.7.3采购人员及相关人员回避要求</w:t>
      </w:r>
    </w:p>
    <w:p>
      <w:pPr>
        <w:pStyle w:val="null3"/>
        <w:ind w:firstLine="480"/>
      </w:pPr>
      <w:r>
        <w:rPr>
          <w:rFonts w:ascii="仿宋_GB2312" w:hAnsi="仿宋_GB2312" w:cs="仿宋_GB2312" w:eastAsia="仿宋_GB2312"/>
        </w:rPr>
        <w:t>政府采购活动中，采购人员及相关人员与投标人有下列利害关系之一的，应当回避：</w:t>
      </w:r>
    </w:p>
    <w:p>
      <w:pPr>
        <w:pStyle w:val="null3"/>
        <w:ind w:firstLine="480"/>
      </w:pPr>
      <w:r>
        <w:rPr>
          <w:rFonts w:ascii="仿宋_GB2312" w:hAnsi="仿宋_GB2312" w:cs="仿宋_GB2312" w:eastAsia="仿宋_GB2312"/>
        </w:rPr>
        <w:t>（1）参加采购活动前3年内与投标人存在劳动关系；</w:t>
      </w:r>
    </w:p>
    <w:p>
      <w:pPr>
        <w:pStyle w:val="null3"/>
        <w:ind w:firstLine="480"/>
      </w:pPr>
      <w:r>
        <w:rPr>
          <w:rFonts w:ascii="仿宋_GB2312" w:hAnsi="仿宋_GB2312" w:cs="仿宋_GB2312" w:eastAsia="仿宋_GB2312"/>
        </w:rPr>
        <w:t>（2）参加采购活动前3年内担任投标人的董事、监事；</w:t>
      </w:r>
    </w:p>
    <w:p>
      <w:pPr>
        <w:pStyle w:val="null3"/>
        <w:ind w:firstLine="480"/>
      </w:pPr>
      <w:r>
        <w:rPr>
          <w:rFonts w:ascii="仿宋_GB2312" w:hAnsi="仿宋_GB2312" w:cs="仿宋_GB2312" w:eastAsia="仿宋_GB2312"/>
        </w:rPr>
        <w:t>（3）参加采购活动前3年内是投标人的控股股东或者实际控制人；</w:t>
      </w:r>
    </w:p>
    <w:p>
      <w:pPr>
        <w:pStyle w:val="null3"/>
        <w:ind w:firstLine="480"/>
      </w:pPr>
      <w:r>
        <w:rPr>
          <w:rFonts w:ascii="仿宋_GB2312" w:hAnsi="仿宋_GB2312" w:cs="仿宋_GB2312" w:eastAsia="仿宋_GB2312"/>
        </w:rPr>
        <w:t>（4）与投标人的法定代表人或者负责人有夫妻、直系血亲、三代以内旁系血亲或者近姻亲关系；</w:t>
      </w:r>
    </w:p>
    <w:p>
      <w:pPr>
        <w:pStyle w:val="null3"/>
        <w:ind w:firstLine="480"/>
      </w:pPr>
      <w:r>
        <w:rPr>
          <w:rFonts w:ascii="仿宋_GB2312" w:hAnsi="仿宋_GB2312" w:cs="仿宋_GB2312" w:eastAsia="仿宋_GB2312"/>
        </w:rPr>
        <w:t>（5）与投标人有其他可能影响政府采购活动公平、公正进行的关系。</w:t>
      </w:r>
    </w:p>
    <w:p>
      <w:pPr>
        <w:pStyle w:val="null3"/>
        <w:ind w:firstLine="480"/>
      </w:pPr>
      <w:r>
        <w:rPr>
          <w:rFonts w:ascii="仿宋_GB2312" w:hAnsi="仿宋_GB2312" w:cs="仿宋_GB2312" w:eastAsia="仿宋_GB2312"/>
        </w:rPr>
        <w:t xml:space="preserve"> 投标人认为采购人员及相关人员与其他投标人有利害关系的，可以向代理机构书面提出回避申请，并说明理由。代理机构将及时询问被申请回避人员，有利害关系的被申请回避人员应当回避。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陕西金泽盛业项目管理有限公司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陕西金泽盛业项目管理有限公司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陕西金泽盛业项目管理有限公司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（一）质疑书正本1份（政府采购供应商质疑函范本详见附件）；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联系人：王工</w:t>
      </w:r>
    </w:p>
    <w:p>
      <w:pPr>
        <w:pStyle w:val="null3"/>
      </w:pPr>
      <w:r>
        <w:rPr>
          <w:rFonts w:ascii="仿宋_GB2312" w:hAnsi="仿宋_GB2312" w:cs="仿宋_GB2312" w:eastAsia="仿宋_GB2312"/>
        </w:rPr>
        <w:t>联系电话：17791670707</w:t>
      </w:r>
    </w:p>
    <w:p>
      <w:pPr>
        <w:pStyle w:val="null3"/>
      </w:pPr>
      <w:r>
        <w:rPr>
          <w:rFonts w:ascii="仿宋_GB2312" w:hAnsi="仿宋_GB2312" w:cs="仿宋_GB2312" w:eastAsia="仿宋_GB2312"/>
        </w:rPr>
        <w:t>地址：西安市经济技术开发区凤城五路123号秦创原软科中心A座20层</w:t>
      </w:r>
    </w:p>
    <w:p>
      <w:pPr>
        <w:pStyle w:val="null3"/>
      </w:pPr>
      <w:r>
        <w:rPr>
          <w:rFonts w:ascii="仿宋_GB2312" w:hAnsi="仿宋_GB2312" w:cs="仿宋_GB2312" w:eastAsia="仿宋_GB2312"/>
        </w:rPr>
        <w:t>邮编：710000</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当采购包的评标方法为综合评分法时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ind w:firstLine="480"/>
      </w:pPr>
      <w:r>
        <w:rPr>
          <w:rFonts w:ascii="仿宋_GB2312" w:hAnsi="仿宋_GB2312" w:cs="仿宋_GB2312" w:eastAsia="仿宋_GB2312"/>
        </w:rPr>
        <w:t xml:space="preserve"> （注：当采购包的评标方法为最低评标价法时带“★”的参数需求为实质性要求，供应商必须响应并满足的参数需求，采购人、采购代理机构应当根据项目实际需求合理设定，并明确具体要求。）</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业务用骨灰盒、业务用鲜花花材、公墓墓地用石材采购项目，具体内容详见招标文件。</w:t>
      </w:r>
    </w:p>
    <w:p>
      <w:pPr>
        <w:pStyle w:val="null3"/>
        <w:outlineLvl w:val="2"/>
      </w:pPr>
      <w:r>
        <w:rPr>
          <w:rFonts w:ascii="仿宋_GB2312" w:hAnsi="仿宋_GB2312" w:cs="仿宋_GB2312" w:eastAsia="仿宋_GB2312"/>
          <w:sz w:val="28"/>
          <w:b/>
        </w:rPr>
        <w:t>3.2采购内容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300,000.00</w:t>
      </w:r>
    </w:p>
    <w:p>
      <w:pPr>
        <w:pStyle w:val="null3"/>
      </w:pPr>
      <w:r>
        <w:rPr>
          <w:rFonts w:ascii="仿宋_GB2312" w:hAnsi="仿宋_GB2312" w:cs="仿宋_GB2312" w:eastAsia="仿宋_GB2312"/>
        </w:rPr>
        <w:t>采购包最高限价（元）: 300,000.00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业务用骨灰盒（1包）</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300,000.00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采购包预算金额（元）: 250,000.00</w:t>
      </w:r>
    </w:p>
    <w:p>
      <w:pPr>
        <w:pStyle w:val="null3"/>
      </w:pPr>
      <w:r>
        <w:rPr>
          <w:rFonts w:ascii="仿宋_GB2312" w:hAnsi="仿宋_GB2312" w:cs="仿宋_GB2312" w:eastAsia="仿宋_GB2312"/>
        </w:rPr>
        <w:t>采购包最高限价（元）: 250,000.00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业务用骨灰盒（2包）</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250,000.00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r>
    </w:tbl>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采购包预算金额（元）: 400,000.00</w:t>
      </w:r>
    </w:p>
    <w:p>
      <w:pPr>
        <w:pStyle w:val="null3"/>
      </w:pPr>
      <w:r>
        <w:rPr>
          <w:rFonts w:ascii="仿宋_GB2312" w:hAnsi="仿宋_GB2312" w:cs="仿宋_GB2312" w:eastAsia="仿宋_GB2312"/>
        </w:rPr>
        <w:t>采购包最高限价（元）: 400,000.00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业务用鲜花</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400,000.00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批发业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r>
    </w:tbl>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采购包预算金额（元）: 1,150,000.00</w:t>
      </w:r>
    </w:p>
    <w:p>
      <w:pPr>
        <w:pStyle w:val="null3"/>
      </w:pPr>
      <w:r>
        <w:rPr>
          <w:rFonts w:ascii="仿宋_GB2312" w:hAnsi="仿宋_GB2312" w:cs="仿宋_GB2312" w:eastAsia="仿宋_GB2312"/>
        </w:rPr>
        <w:t>采购包最高限价（元）: 1,150,000.00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公墓墓地用石材采购（1包）</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1,150,000.00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r>
    </w:tbl>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采购包预算金额（元）: 350,000.00</w:t>
      </w:r>
    </w:p>
    <w:p>
      <w:pPr>
        <w:pStyle w:val="null3"/>
      </w:pPr>
      <w:r>
        <w:rPr>
          <w:rFonts w:ascii="仿宋_GB2312" w:hAnsi="仿宋_GB2312" w:cs="仿宋_GB2312" w:eastAsia="仿宋_GB2312"/>
        </w:rPr>
        <w:t>采购包最高限价（元）: 350,000.00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公墓墓地用石材采购（2包）</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350,000.00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r>
    </w:tbl>
    <w:p>
      <w:pPr>
        <w:pStyle w:val="null3"/>
        <w:outlineLvl w:val="2"/>
      </w:pPr>
      <w:r>
        <w:rPr>
          <w:rFonts w:ascii="仿宋_GB2312" w:hAnsi="仿宋_GB2312" w:cs="仿宋_GB2312" w:eastAsia="仿宋_GB2312"/>
          <w:sz w:val="28"/>
          <w:b/>
        </w:rPr>
        <w:t>3.3技术要求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标的名称：业务用骨灰盒（1包）</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tbl>
            <w:tblPr>
              <w:tblBorders>
                <w:top w:val="none" w:color="000000" w:sz="4"/>
                <w:left w:val="none" w:color="000000" w:sz="4"/>
                <w:bottom w:val="none" w:color="000000" w:sz="4"/>
                <w:right w:val="none" w:color="000000" w:sz="4"/>
                <w:insideH w:val="none"/>
                <w:insideV w:val="none"/>
              </w:tblBorders>
            </w:tblPr>
            <w:tblGrid>
              <w:gridCol w:w="213"/>
              <w:gridCol w:w="365"/>
              <w:gridCol w:w="407"/>
              <w:gridCol w:w="342"/>
              <w:gridCol w:w="865"/>
              <w:gridCol w:w="361"/>
            </w:tblGrid>
            <w:tr>
              <w:tc>
                <w:tcPr>
                  <w:tcW w:type="dxa" w:w="213"/>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序号</w:t>
                  </w:r>
                </w:p>
              </w:tc>
              <w:tc>
                <w:tcPr>
                  <w:tcW w:type="dxa" w:w="365"/>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参数性质</w:t>
                  </w:r>
                </w:p>
              </w:tc>
              <w:tc>
                <w:tcPr>
                  <w:tcW w:type="dxa" w:w="1975"/>
                  <w:gridSpan w:val="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技术参数与性能指标</w:t>
                  </w:r>
                </w:p>
              </w:tc>
            </w:tr>
            <w:tr>
              <w:tc>
                <w:tcPr>
                  <w:tcW w:type="dxa" w:w="213"/>
                  <w:vMerge/>
                  <w:tcBorders>
                    <w:top w:val="single" w:color="000000" w:sz="4"/>
                    <w:left w:val="single" w:color="000000" w:sz="4"/>
                    <w:bottom w:val="single" w:color="000000" w:sz="4"/>
                    <w:right w:val="single" w:color="000000" w:sz="4"/>
                  </w:tcBorders>
                </w:tcPr>
                <w:p/>
              </w:tc>
              <w:tc>
                <w:tcPr>
                  <w:tcW w:type="dxa" w:w="365"/>
                  <w:vMerge/>
                  <w:tcBorders>
                    <w:top w:val="single" w:color="000000" w:sz="4"/>
                    <w:left w:val="single" w:color="000000" w:sz="4"/>
                    <w:bottom w:val="single" w:color="000000" w:sz="4"/>
                    <w:right w:val="single" w:color="000000" w:sz="4"/>
                  </w:tcBorders>
                </w:tcP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货物名称</w:t>
                  </w:r>
                </w:p>
              </w:tc>
              <w:tc>
                <w:tcPr>
                  <w:tcW w:type="dxa" w:w="34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数量</w:t>
                  </w:r>
                  <w:r>
                    <w:rPr>
                      <w:rFonts w:ascii="仿宋_GB2312" w:hAnsi="仿宋_GB2312" w:cs="仿宋_GB2312" w:eastAsia="仿宋_GB2312"/>
                      <w:sz w:val="19"/>
                    </w:rPr>
                    <w:t>（</w:t>
                  </w:r>
                  <w:r>
                    <w:rPr>
                      <w:rFonts w:ascii="仿宋_GB2312" w:hAnsi="仿宋_GB2312" w:cs="仿宋_GB2312" w:eastAsia="仿宋_GB2312"/>
                      <w:sz w:val="19"/>
                    </w:rPr>
                    <w:t>个</w:t>
                  </w:r>
                  <w:r>
                    <w:rPr>
                      <w:rFonts w:ascii="仿宋_GB2312" w:hAnsi="仿宋_GB2312" w:cs="仿宋_GB2312" w:eastAsia="仿宋_GB2312"/>
                      <w:sz w:val="19"/>
                    </w:rPr>
                    <w:t>）</w:t>
                  </w:r>
                </w:p>
              </w:tc>
              <w:tc>
                <w:tcPr>
                  <w:tcW w:type="dxa" w:w="865"/>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技术参数要求</w:t>
                  </w:r>
                </w:p>
              </w:tc>
              <w:tc>
                <w:tcPr>
                  <w:tcW w:type="dxa" w:w="36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19"/>
                    </w:rPr>
                    <w:t>最高限价</w:t>
                  </w:r>
                  <w:r>
                    <w:rPr>
                      <w:rFonts w:ascii="仿宋_GB2312" w:hAnsi="仿宋_GB2312" w:cs="仿宋_GB2312" w:eastAsia="仿宋_GB2312"/>
                      <w:sz w:val="19"/>
                    </w:rPr>
                    <w:t>（</w:t>
                  </w:r>
                  <w:r>
                    <w:rPr>
                      <w:rFonts w:ascii="仿宋_GB2312" w:hAnsi="仿宋_GB2312" w:cs="仿宋_GB2312" w:eastAsia="仿宋_GB2312"/>
                      <w:sz w:val="19"/>
                    </w:rPr>
                    <w:t>元</w:t>
                  </w:r>
                  <w:r>
                    <w:rPr>
                      <w:rFonts w:ascii="仿宋_GB2312" w:hAnsi="仿宋_GB2312" w:cs="仿宋_GB2312" w:eastAsia="仿宋_GB2312"/>
                      <w:sz w:val="19"/>
                    </w:rPr>
                    <w:t>）</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w:t>
                  </w:r>
                  <w:r>
                    <w:rPr>
                      <w:rFonts w:ascii="仿宋_GB2312" w:hAnsi="仿宋_GB2312" w:cs="仿宋_GB2312" w:eastAsia="仿宋_GB2312"/>
                      <w:sz w:val="21"/>
                    </w:rPr>
                    <w:t xml:space="preserve">   </w:t>
                  </w:r>
                  <w:r>
                    <w:rPr>
                      <w:rFonts w:ascii="仿宋_GB2312" w:hAnsi="仿宋_GB2312" w:cs="仿宋_GB2312" w:eastAsia="仿宋_GB2312"/>
                      <w:sz w:val="21"/>
                    </w:rPr>
                    <w:t>一类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33.8</w:t>
                  </w:r>
                  <w:r>
                    <w:rPr>
                      <w:rFonts w:ascii="仿宋_GB2312" w:hAnsi="仿宋_GB2312" w:cs="仿宋_GB2312" w:eastAsia="仿宋_GB2312"/>
                      <w:sz w:val="21"/>
                    </w:rPr>
                    <w:t>×2</w:t>
                  </w:r>
                  <w:r>
                    <w:rPr>
                      <w:rFonts w:ascii="仿宋_GB2312" w:hAnsi="仿宋_GB2312" w:cs="仿宋_GB2312" w:eastAsia="仿宋_GB2312"/>
                      <w:sz w:val="21"/>
                    </w:rPr>
                    <w:t>2.5</w:t>
                  </w:r>
                  <w:r>
                    <w:rPr>
                      <w:rFonts w:ascii="仿宋_GB2312" w:hAnsi="仿宋_GB2312" w:cs="仿宋_GB2312" w:eastAsia="仿宋_GB2312"/>
                      <w:sz w:val="21"/>
                    </w:rPr>
                    <w:t>×</w:t>
                  </w:r>
                  <w:r>
                    <w:rPr>
                      <w:rFonts w:ascii="仿宋_GB2312" w:hAnsi="仿宋_GB2312" w:cs="仿宋_GB2312" w:eastAsia="仿宋_GB2312"/>
                      <w:sz w:val="21"/>
                    </w:rPr>
                    <w:t>22.5</w:t>
                  </w:r>
                  <w:r>
                    <w:rPr>
                      <w:rFonts w:ascii="仿宋_GB2312" w:hAnsi="仿宋_GB2312" w:cs="仿宋_GB2312" w:eastAsia="仿宋_GB2312"/>
                      <w:sz w:val="21"/>
                    </w:rPr>
                    <w:t>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杂木同等及以上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6、工艺要求：外观光洁、无裂纹、破损等、造型精致、雕琢精细、图案美观大方，盖口接缝紧密，油漆采用优质环保油漆；</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both"/>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132</w:t>
                  </w:r>
                  <w:r>
                    <w:rPr>
                      <w:rFonts w:ascii="仿宋_GB2312" w:hAnsi="仿宋_GB2312" w:cs="仿宋_GB2312" w:eastAsia="仿宋_GB2312"/>
                      <w:sz w:val="21"/>
                    </w:rPr>
                    <w:t>.00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w:t>
                  </w:r>
                  <w:r>
                    <w:rPr>
                      <w:rFonts w:ascii="仿宋_GB2312" w:hAnsi="仿宋_GB2312" w:cs="仿宋_GB2312" w:eastAsia="仿宋_GB2312"/>
                      <w:sz w:val="21"/>
                    </w:rPr>
                    <w:t xml:space="preserve">   </w:t>
                  </w:r>
                  <w:r>
                    <w:rPr>
                      <w:rFonts w:ascii="仿宋_GB2312" w:hAnsi="仿宋_GB2312" w:cs="仿宋_GB2312" w:eastAsia="仿宋_GB2312"/>
                      <w:sz w:val="21"/>
                    </w:rPr>
                    <w:t>二类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33.8</w:t>
                  </w:r>
                  <w:r>
                    <w:rPr>
                      <w:rFonts w:ascii="仿宋_GB2312" w:hAnsi="仿宋_GB2312" w:cs="仿宋_GB2312" w:eastAsia="仿宋_GB2312"/>
                      <w:sz w:val="21"/>
                    </w:rPr>
                    <w:t>×</w:t>
                  </w:r>
                  <w:r>
                    <w:rPr>
                      <w:rFonts w:ascii="仿宋_GB2312" w:hAnsi="仿宋_GB2312" w:cs="仿宋_GB2312" w:eastAsia="仿宋_GB2312"/>
                      <w:sz w:val="21"/>
                    </w:rPr>
                    <w:t>23</w:t>
                  </w:r>
                  <w:r>
                    <w:rPr>
                      <w:rFonts w:ascii="仿宋_GB2312" w:hAnsi="仿宋_GB2312" w:cs="仿宋_GB2312" w:eastAsia="仿宋_GB2312"/>
                      <w:sz w:val="21"/>
                    </w:rPr>
                    <w:t>×</w:t>
                  </w:r>
                  <w:r>
                    <w:rPr>
                      <w:rFonts w:ascii="仿宋_GB2312" w:hAnsi="仿宋_GB2312" w:cs="仿宋_GB2312" w:eastAsia="仿宋_GB2312"/>
                      <w:sz w:val="21"/>
                    </w:rPr>
                    <w:t>26</w:t>
                  </w:r>
                  <w:r>
                    <w:rPr>
                      <w:rFonts w:ascii="仿宋_GB2312" w:hAnsi="仿宋_GB2312" w:cs="仿宋_GB2312" w:eastAsia="仿宋_GB2312"/>
                      <w:sz w:val="21"/>
                    </w:rPr>
                    <w:t>cm；2、主材：</w:t>
                  </w:r>
                  <w:r>
                    <w:rPr>
                      <w:rFonts w:ascii="仿宋_GB2312" w:hAnsi="仿宋_GB2312" w:cs="仿宋_GB2312" w:eastAsia="仿宋_GB2312"/>
                      <w:sz w:val="21"/>
                    </w:rPr>
                    <w:t>油檀同等及以上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除装饰附件外整盒应为原木，并单面无拼接。雕刻应表面光滑、形象清晰、无划痕，雕刻图案应均匀清晰、层次分明，雕刻后不应降低雕刻面使用强度，不应影响其使用性能。结构应采用木榫接，木质骨灰盒榫和榫眼结合处应严实、牢固，无崩茬、动榫、断榫等缺陷。油漆采用优质环保油漆，颜色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286.00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木质骨灰盒三类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黑檀同等及以上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759.00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木质骨灰盒四类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黑檀同等及以上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792.00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木质骨灰盒五类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油檀王同等及以上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946.00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木质骨灰盒六类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黑檀王同等及以上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1375.00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木质骨灰盒七类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黑檀王同等及以上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1430.00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木质骨灰盒八类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黑檀王同等及以上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1760.00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木质骨灰盒九类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古夷苏木同等及以上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2530.00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木质骨灰盒十类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金丝楠老料、酸枝木同等及以上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2750.00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可降解骨</w:t>
                  </w:r>
                </w:p>
                <w:p>
                  <w:pPr>
                    <w:pStyle w:val="null3"/>
                    <w:jc w:val="center"/>
                  </w:pPr>
                  <w:r>
                    <w:rPr>
                      <w:rFonts w:ascii="仿宋_GB2312" w:hAnsi="仿宋_GB2312" w:cs="仿宋_GB2312" w:eastAsia="仿宋_GB2312"/>
                      <w:sz w:val="21"/>
                    </w:rPr>
                    <w:t>灰罐</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w:t>
                  </w:r>
                  <w:r>
                    <w:rPr>
                      <w:rFonts w:ascii="仿宋_GB2312" w:hAnsi="仿宋_GB2312" w:cs="仿宋_GB2312" w:eastAsia="仿宋_GB2312"/>
                      <w:sz w:val="21"/>
                    </w:rPr>
                    <w:t>高</w:t>
                  </w:r>
                  <w:r>
                    <w:rPr>
                      <w:rFonts w:ascii="仿宋_GB2312" w:hAnsi="仿宋_GB2312" w:cs="仿宋_GB2312" w:eastAsia="仿宋_GB2312"/>
                      <w:sz w:val="21"/>
                    </w:rPr>
                    <w:t>25-30cm,直径20-25cm</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2、</w:t>
                  </w:r>
                  <w:r>
                    <w:rPr>
                      <w:rFonts w:ascii="仿宋_GB2312" w:hAnsi="仿宋_GB2312" w:cs="仿宋_GB2312" w:eastAsia="仿宋_GB2312"/>
                      <w:sz w:val="21"/>
                    </w:rPr>
                    <w:t>主材：</w:t>
                  </w:r>
                  <w:r>
                    <w:rPr>
                      <w:rFonts w:ascii="仿宋_GB2312" w:hAnsi="仿宋_GB2312" w:cs="仿宋_GB2312" w:eastAsia="仿宋_GB2312"/>
                      <w:sz w:val="21"/>
                    </w:rPr>
                    <w:t>可降解母粒粉、玉米粉、竹竿粉、滑石粉</w:t>
                  </w:r>
                  <w:r>
                    <w:rPr>
                      <w:rFonts w:ascii="仿宋_GB2312" w:hAnsi="仿宋_GB2312" w:cs="仿宋_GB2312" w:eastAsia="仿宋_GB2312"/>
                      <w:sz w:val="21"/>
                    </w:rPr>
                    <w:t>或同等材质；</w:t>
                  </w:r>
                </w:p>
                <w:p>
                  <w:pPr>
                    <w:pStyle w:val="null3"/>
                  </w:pPr>
                  <w:r>
                    <w:rPr>
                      <w:rFonts w:ascii="仿宋_GB2312" w:hAnsi="仿宋_GB2312" w:cs="仿宋_GB2312" w:eastAsia="仿宋_GB2312"/>
                      <w:sz w:val="21"/>
                    </w:rPr>
                    <w:t>3、降解时间：土壤中9-13个月，水中2-6小时。</w:t>
                  </w:r>
                </w:p>
                <w:p>
                  <w:pPr>
                    <w:pStyle w:val="null3"/>
                    <w:jc w:val="both"/>
                  </w:pPr>
                  <w:r>
                    <w:rPr>
                      <w:rFonts w:ascii="仿宋_GB2312" w:hAnsi="仿宋_GB2312" w:cs="仿宋_GB2312" w:eastAsia="仿宋_GB2312"/>
                      <w:sz w:val="21"/>
                    </w:rPr>
                    <w:t>4、展示产品样品。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242.00</w:t>
                  </w:r>
                </w:p>
              </w:tc>
            </w:tr>
            <w:tr>
              <w:tc>
                <w:tcPr>
                  <w:tcW w:type="dxa" w:w="2553"/>
                  <w:gridSpan w:val="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b/>
                    </w:rPr>
                    <w:t>（一）</w:t>
                  </w:r>
                  <w:r>
                    <w:rPr>
                      <w:rFonts w:ascii="仿宋_GB2312" w:hAnsi="仿宋_GB2312" w:cs="仿宋_GB2312" w:eastAsia="仿宋_GB2312"/>
                      <w:sz w:val="19"/>
                      <w:b/>
                    </w:rPr>
                    <w:t>样品要求</w:t>
                  </w:r>
                </w:p>
                <w:p>
                  <w:pPr>
                    <w:pStyle w:val="null3"/>
                    <w:ind w:firstLine="381"/>
                    <w:jc w:val="both"/>
                  </w:pPr>
                  <w:r>
                    <w:rPr>
                      <w:rFonts w:ascii="仿宋_GB2312" w:hAnsi="仿宋_GB2312" w:cs="仿宋_GB2312" w:eastAsia="仿宋_GB2312"/>
                      <w:sz w:val="19"/>
                      <w:b/>
                    </w:rPr>
                    <w:t>1.</w:t>
                  </w:r>
                  <w:r>
                    <w:rPr>
                      <w:rFonts w:ascii="仿宋_GB2312" w:hAnsi="仿宋_GB2312" w:cs="仿宋_GB2312" w:eastAsia="仿宋_GB2312"/>
                      <w:sz w:val="19"/>
                      <w:b/>
                    </w:rPr>
                    <w:t>供应商投标时，须按采购清单内全部骨灰盒品类各提供完整样品一套。</w:t>
                  </w:r>
                </w:p>
                <w:p>
                  <w:pPr>
                    <w:pStyle w:val="null3"/>
                    <w:ind w:firstLine="381"/>
                    <w:jc w:val="both"/>
                  </w:pPr>
                  <w:r>
                    <w:rPr>
                      <w:rFonts w:ascii="仿宋_GB2312" w:hAnsi="仿宋_GB2312" w:cs="仿宋_GB2312" w:eastAsia="仿宋_GB2312"/>
                      <w:sz w:val="19"/>
                      <w:b/>
                    </w:rPr>
                    <w:t>2.</w:t>
                  </w:r>
                  <w:r>
                    <w:rPr>
                      <w:rFonts w:ascii="仿宋_GB2312" w:hAnsi="仿宋_GB2312" w:cs="仿宋_GB2312" w:eastAsia="仿宋_GB2312"/>
                      <w:sz w:val="19"/>
                      <w:b/>
                    </w:rPr>
                    <w:t>样品材质工艺标准</w:t>
                  </w:r>
                  <w:r>
                    <w:rPr>
                      <w:rFonts w:ascii="仿宋_GB2312" w:hAnsi="仿宋_GB2312" w:cs="仿宋_GB2312" w:eastAsia="仿宋_GB2312"/>
                      <w:sz w:val="19"/>
                      <w:b/>
                    </w:rPr>
                    <w:t>：</w:t>
                  </w:r>
                  <w:r>
                    <w:rPr>
                      <w:rFonts w:ascii="仿宋_GB2312" w:hAnsi="仿宋_GB2312" w:cs="仿宋_GB2312" w:eastAsia="仿宋_GB2312"/>
                      <w:sz w:val="19"/>
                      <w:b/>
                    </w:rPr>
                    <w:t>所有骨灰样品须完全匹配招标文件对应规格、尺寸、木材材质、板材厚度、雕刻、油漆工艺，满足《</w:t>
                  </w:r>
                  <w:r>
                    <w:rPr>
                      <w:rFonts w:ascii="仿宋_GB2312" w:hAnsi="仿宋_GB2312" w:cs="仿宋_GB2312" w:eastAsia="仿宋_GB2312"/>
                      <w:sz w:val="19"/>
                      <w:b/>
                    </w:rPr>
                    <w:t>GB/T 23288-2023 木质骨灰盒通用技术条件》；可降解骨灰罐需符合招标文件降解、材质参数，无开裂、变形、做工粗糙等缺陷。</w:t>
                  </w:r>
                </w:p>
                <w:p>
                  <w:pPr>
                    <w:pStyle w:val="null3"/>
                    <w:jc w:val="both"/>
                  </w:pPr>
                  <w:r>
                    <w:rPr>
                      <w:rFonts w:ascii="仿宋_GB2312" w:hAnsi="仿宋_GB2312" w:cs="仿宋_GB2312" w:eastAsia="仿宋_GB2312"/>
                      <w:sz w:val="19"/>
                      <w:b/>
                    </w:rPr>
                    <w:t>（二）</w:t>
                  </w:r>
                  <w:r>
                    <w:rPr>
                      <w:rFonts w:ascii="仿宋_GB2312" w:hAnsi="仿宋_GB2312" w:cs="仿宋_GB2312" w:eastAsia="仿宋_GB2312"/>
                      <w:sz w:val="19"/>
                      <w:b/>
                    </w:rPr>
                    <w:t>样品提交方式</w:t>
                  </w:r>
                </w:p>
                <w:p>
                  <w:pPr>
                    <w:pStyle w:val="null3"/>
                    <w:ind w:firstLine="381"/>
                    <w:jc w:val="both"/>
                  </w:pPr>
                  <w:r>
                    <w:rPr>
                      <w:rFonts w:ascii="仿宋_GB2312" w:hAnsi="仿宋_GB2312" w:cs="仿宋_GB2312" w:eastAsia="仿宋_GB2312"/>
                      <w:sz w:val="19"/>
                      <w:b/>
                    </w:rPr>
                    <w:t>1.</w:t>
                  </w:r>
                  <w:r>
                    <w:rPr>
                      <w:rFonts w:ascii="仿宋_GB2312" w:hAnsi="仿宋_GB2312" w:cs="仿宋_GB2312" w:eastAsia="仿宋_GB2312"/>
                      <w:sz w:val="19"/>
                      <w:b/>
                    </w:rPr>
                    <w:t>递交时限、地点及密封要求：须在提交响应文件截止时间前，将样品送达西安市经济技术开发区凤城五路</w:t>
                  </w:r>
                  <w:r>
                    <w:rPr>
                      <w:rFonts w:ascii="仿宋_GB2312" w:hAnsi="仿宋_GB2312" w:cs="仿宋_GB2312" w:eastAsia="仿宋_GB2312"/>
                      <w:sz w:val="19"/>
                      <w:b/>
                    </w:rPr>
                    <w:t>123 号秦创原软科中心 A 座 20 层陕西金泽盛业项目管理有限公司会议室，逾期未递交视为放弃样品提交；样品整体密封封装，外包装清晰标注项目名称、供应商名称、采购包号、样品递交清单，密封封口处须加盖供应商公章。</w:t>
                  </w:r>
                </w:p>
                <w:p>
                  <w:pPr>
                    <w:pStyle w:val="null3"/>
                    <w:ind w:firstLine="381"/>
                    <w:jc w:val="both"/>
                  </w:pPr>
                  <w:r>
                    <w:rPr>
                      <w:rFonts w:ascii="仿宋_GB2312" w:hAnsi="仿宋_GB2312" w:cs="仿宋_GB2312" w:eastAsia="仿宋_GB2312"/>
                      <w:sz w:val="19"/>
                      <w:b/>
                    </w:rPr>
                    <w:t>2.</w:t>
                  </w:r>
                  <w:r>
                    <w:rPr>
                      <w:rFonts w:ascii="仿宋_GB2312" w:hAnsi="仿宋_GB2312" w:cs="仿宋_GB2312" w:eastAsia="仿宋_GB2312"/>
                      <w:sz w:val="19"/>
                      <w:b/>
                    </w:rPr>
                    <w:t>评审规则：样品作为评审打分依据，未按要求提供样品或样品品类不全的，对应评审项不得分，但不影响投标文件有效性。</w:t>
                  </w:r>
                </w:p>
                <w:p>
                  <w:pPr>
                    <w:pStyle w:val="null3"/>
                    <w:ind w:firstLine="381"/>
                    <w:jc w:val="both"/>
                  </w:pPr>
                  <w:r>
                    <w:rPr>
                      <w:rFonts w:ascii="仿宋_GB2312" w:hAnsi="仿宋_GB2312" w:cs="仿宋_GB2312" w:eastAsia="仿宋_GB2312"/>
                      <w:sz w:val="19"/>
                      <w:b/>
                    </w:rPr>
                    <w:t>3.</w:t>
                  </w:r>
                  <w:r>
                    <w:rPr>
                      <w:rFonts w:ascii="仿宋_GB2312" w:hAnsi="仿宋_GB2312" w:cs="仿宋_GB2312" w:eastAsia="仿宋_GB2312"/>
                      <w:sz w:val="19"/>
                      <w:b/>
                    </w:rPr>
                    <w:t>封存、退还及履约约束：开标大会结束后所有样品统一封存；公示期结束后，退还未成交供应商样品；成交供应商样品不予退还，由采购人留存并作为合同验收依据。若成交后供货产品与样品材质、工艺、外观标准不一致，采购人有权追究供应商全部违约责任及经济赔偿</w:t>
                  </w:r>
                  <w:r>
                    <w:rPr>
                      <w:rFonts w:ascii="仿宋_GB2312" w:hAnsi="仿宋_GB2312" w:cs="仿宋_GB2312" w:eastAsia="仿宋_GB2312"/>
                      <w:sz w:val="19"/>
                      <w:b/>
                    </w:rPr>
                    <w:t>。</w:t>
                  </w:r>
                </w:p>
              </w:tc>
            </w:tr>
          </w:tbl>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标的名称：业务用骨灰盒（2包）</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tbl>
            <w:tblPr>
              <w:tblBorders>
                <w:top w:val="none" w:color="000000" w:sz="4"/>
                <w:left w:val="none" w:color="000000" w:sz="4"/>
                <w:bottom w:val="none" w:color="000000" w:sz="4"/>
                <w:right w:val="none" w:color="000000" w:sz="4"/>
                <w:insideH w:val="none"/>
                <w:insideV w:val="none"/>
              </w:tblBorders>
            </w:tblPr>
            <w:tblGrid>
              <w:gridCol w:w="213"/>
              <w:gridCol w:w="365"/>
              <w:gridCol w:w="407"/>
              <w:gridCol w:w="342"/>
              <w:gridCol w:w="865"/>
              <w:gridCol w:w="361"/>
            </w:tblGrid>
            <w:tr>
              <w:tc>
                <w:tcPr>
                  <w:tcW w:type="dxa" w:w="21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序号</w:t>
                  </w:r>
                </w:p>
              </w:tc>
              <w:tc>
                <w:tcPr>
                  <w:tcW w:type="dxa" w:w="36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参数性质</w:t>
                  </w:r>
                </w:p>
              </w:tc>
              <w:tc>
                <w:tcPr>
                  <w:tcW w:type="dxa" w:w="1975"/>
                  <w:gridSpan w:val="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技术参数与性能指标</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货物名称</w:t>
                  </w:r>
                </w:p>
              </w:tc>
              <w:tc>
                <w:tcPr>
                  <w:tcW w:type="dxa" w:w="34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数量</w:t>
                  </w:r>
                  <w:r>
                    <w:rPr>
                      <w:rFonts w:ascii="仿宋_GB2312" w:hAnsi="仿宋_GB2312" w:cs="仿宋_GB2312" w:eastAsia="仿宋_GB2312"/>
                      <w:sz w:val="21"/>
                    </w:rPr>
                    <w:t>（</w:t>
                  </w:r>
                  <w:r>
                    <w:rPr>
                      <w:rFonts w:ascii="仿宋_GB2312" w:hAnsi="仿宋_GB2312" w:cs="仿宋_GB2312" w:eastAsia="仿宋_GB2312"/>
                      <w:sz w:val="21"/>
                    </w:rPr>
                    <w:t>个</w:t>
                  </w:r>
                  <w:r>
                    <w:rPr>
                      <w:rFonts w:ascii="仿宋_GB2312" w:hAnsi="仿宋_GB2312" w:cs="仿宋_GB2312" w:eastAsia="仿宋_GB2312"/>
                      <w:sz w:val="21"/>
                    </w:rPr>
                    <w:t>）</w:t>
                  </w:r>
                </w:p>
              </w:tc>
              <w:tc>
                <w:tcPr>
                  <w:tcW w:type="dxa" w:w="865"/>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技术参数要求</w:t>
                  </w:r>
                </w:p>
              </w:tc>
              <w:tc>
                <w:tcPr>
                  <w:tcW w:type="dxa" w:w="36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最高限价</w:t>
                  </w:r>
                  <w:r>
                    <w:rPr>
                      <w:rFonts w:ascii="仿宋_GB2312" w:hAnsi="仿宋_GB2312" w:cs="仿宋_GB2312" w:eastAsia="仿宋_GB2312"/>
                      <w:sz w:val="21"/>
                    </w:rPr>
                    <w:t>（</w:t>
                  </w:r>
                  <w:r>
                    <w:rPr>
                      <w:rFonts w:ascii="仿宋_GB2312" w:hAnsi="仿宋_GB2312" w:cs="仿宋_GB2312" w:eastAsia="仿宋_GB2312"/>
                      <w:sz w:val="21"/>
                    </w:rPr>
                    <w:t>元</w:t>
                  </w:r>
                  <w:r>
                    <w:rPr>
                      <w:rFonts w:ascii="仿宋_GB2312" w:hAnsi="仿宋_GB2312" w:cs="仿宋_GB2312" w:eastAsia="仿宋_GB2312"/>
                      <w:sz w:val="21"/>
                    </w:rPr>
                    <w:t>）</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w:t>
                  </w:r>
                  <w:r>
                    <w:rPr>
                      <w:rFonts w:ascii="仿宋_GB2312" w:hAnsi="仿宋_GB2312" w:cs="仿宋_GB2312" w:eastAsia="仿宋_GB2312"/>
                      <w:sz w:val="21"/>
                    </w:rPr>
                    <w:t xml:space="preserve">   </w:t>
                  </w:r>
                  <w:r>
                    <w:rPr>
                      <w:rFonts w:ascii="仿宋_GB2312" w:hAnsi="仿宋_GB2312" w:cs="仿宋_GB2312" w:eastAsia="仿宋_GB2312"/>
                      <w:sz w:val="21"/>
                    </w:rPr>
                    <w:t>一类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33.8</w:t>
                  </w:r>
                  <w:r>
                    <w:rPr>
                      <w:rFonts w:ascii="仿宋_GB2312" w:hAnsi="仿宋_GB2312" w:cs="仿宋_GB2312" w:eastAsia="仿宋_GB2312"/>
                      <w:sz w:val="21"/>
                    </w:rPr>
                    <w:t>×2</w:t>
                  </w:r>
                  <w:r>
                    <w:rPr>
                      <w:rFonts w:ascii="仿宋_GB2312" w:hAnsi="仿宋_GB2312" w:cs="仿宋_GB2312" w:eastAsia="仿宋_GB2312"/>
                      <w:sz w:val="21"/>
                    </w:rPr>
                    <w:t>2.5</w:t>
                  </w:r>
                  <w:r>
                    <w:rPr>
                      <w:rFonts w:ascii="仿宋_GB2312" w:hAnsi="仿宋_GB2312" w:cs="仿宋_GB2312" w:eastAsia="仿宋_GB2312"/>
                      <w:sz w:val="21"/>
                    </w:rPr>
                    <w:t>×</w:t>
                  </w:r>
                  <w:r>
                    <w:rPr>
                      <w:rFonts w:ascii="仿宋_GB2312" w:hAnsi="仿宋_GB2312" w:cs="仿宋_GB2312" w:eastAsia="仿宋_GB2312"/>
                      <w:sz w:val="21"/>
                    </w:rPr>
                    <w:t>22.5</w:t>
                  </w:r>
                  <w:r>
                    <w:rPr>
                      <w:rFonts w:ascii="仿宋_GB2312" w:hAnsi="仿宋_GB2312" w:cs="仿宋_GB2312" w:eastAsia="仿宋_GB2312"/>
                      <w:sz w:val="21"/>
                    </w:rPr>
                    <w:t>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杂木同等及以上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6、工艺要求：外观光洁、无裂纹、破损等、造型精致、雕琢精细、图案美观大方，盖口接缝紧密，油漆采用优质环保油漆；</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both"/>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132</w:t>
                  </w:r>
                  <w:r>
                    <w:rPr>
                      <w:rFonts w:ascii="仿宋_GB2312" w:hAnsi="仿宋_GB2312" w:cs="仿宋_GB2312" w:eastAsia="仿宋_GB2312"/>
                      <w:sz w:val="21"/>
                    </w:rPr>
                    <w:t>.00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w:t>
                  </w:r>
                  <w:r>
                    <w:rPr>
                      <w:rFonts w:ascii="仿宋_GB2312" w:hAnsi="仿宋_GB2312" w:cs="仿宋_GB2312" w:eastAsia="仿宋_GB2312"/>
                      <w:sz w:val="21"/>
                    </w:rPr>
                    <w:t xml:space="preserve">   </w:t>
                  </w:r>
                  <w:r>
                    <w:rPr>
                      <w:rFonts w:ascii="仿宋_GB2312" w:hAnsi="仿宋_GB2312" w:cs="仿宋_GB2312" w:eastAsia="仿宋_GB2312"/>
                      <w:sz w:val="21"/>
                    </w:rPr>
                    <w:t>二类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33.8</w:t>
                  </w:r>
                  <w:r>
                    <w:rPr>
                      <w:rFonts w:ascii="仿宋_GB2312" w:hAnsi="仿宋_GB2312" w:cs="仿宋_GB2312" w:eastAsia="仿宋_GB2312"/>
                      <w:sz w:val="21"/>
                    </w:rPr>
                    <w:t>×</w:t>
                  </w:r>
                  <w:r>
                    <w:rPr>
                      <w:rFonts w:ascii="仿宋_GB2312" w:hAnsi="仿宋_GB2312" w:cs="仿宋_GB2312" w:eastAsia="仿宋_GB2312"/>
                      <w:sz w:val="21"/>
                    </w:rPr>
                    <w:t>23</w:t>
                  </w:r>
                  <w:r>
                    <w:rPr>
                      <w:rFonts w:ascii="仿宋_GB2312" w:hAnsi="仿宋_GB2312" w:cs="仿宋_GB2312" w:eastAsia="仿宋_GB2312"/>
                      <w:sz w:val="21"/>
                    </w:rPr>
                    <w:t>×</w:t>
                  </w:r>
                  <w:r>
                    <w:rPr>
                      <w:rFonts w:ascii="仿宋_GB2312" w:hAnsi="仿宋_GB2312" w:cs="仿宋_GB2312" w:eastAsia="仿宋_GB2312"/>
                      <w:sz w:val="21"/>
                    </w:rPr>
                    <w:t>26</w:t>
                  </w:r>
                  <w:r>
                    <w:rPr>
                      <w:rFonts w:ascii="仿宋_GB2312" w:hAnsi="仿宋_GB2312" w:cs="仿宋_GB2312" w:eastAsia="仿宋_GB2312"/>
                      <w:sz w:val="21"/>
                    </w:rPr>
                    <w:t>cm；2、主材：</w:t>
                  </w:r>
                  <w:r>
                    <w:rPr>
                      <w:rFonts w:ascii="仿宋_GB2312" w:hAnsi="仿宋_GB2312" w:cs="仿宋_GB2312" w:eastAsia="仿宋_GB2312"/>
                      <w:sz w:val="21"/>
                    </w:rPr>
                    <w:t>油檀同等及以上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除装饰附件外整盒应为原木，并单面无拼接。雕刻应表面光滑、形象清晰、无划痕，雕刻图案应均匀清晰、层次分明，雕刻后不应降低雕刻面使用强度，不应影响其使用性能。结构应采用木榫接，木质骨灰盒榫和榫眼结合处应严实、牢固，无崩茬、动榫、断榫等缺陷。油漆采用优质环保油漆，颜色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286.00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木质骨灰盒三类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黑檀同等及以上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759.00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木质骨灰盒四类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黑檀同等及以上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792.00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木质骨灰盒五类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油檀王同等及以上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946.00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木质骨灰盒六类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黑檀王同等及以上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1375.00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木质骨灰盒七类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黑檀王同等及以上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1430.00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木质骨灰盒八类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黑檀王同等及以上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1760.00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木质骨灰盒九类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古夷苏木同等及以上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2530.00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木质骨灰盒十类</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长</w:t>
                  </w:r>
                  <w:r>
                    <w:rPr>
                      <w:rFonts w:ascii="仿宋_GB2312" w:hAnsi="仿宋_GB2312" w:cs="仿宋_GB2312" w:eastAsia="仿宋_GB2312"/>
                      <w:sz w:val="21"/>
                    </w:rPr>
                    <w:t>×宽×</w:t>
                  </w:r>
                  <w:r>
                    <w:rPr>
                      <w:rFonts w:ascii="仿宋_GB2312" w:hAnsi="仿宋_GB2312" w:cs="仿宋_GB2312" w:eastAsia="仿宋_GB2312"/>
                      <w:sz w:val="21"/>
                    </w:rPr>
                    <w:t>高</w:t>
                  </w:r>
                  <w:r>
                    <w:rPr>
                      <w:rFonts w:ascii="仿宋_GB2312" w:hAnsi="仿宋_GB2312" w:cs="仿宋_GB2312" w:eastAsia="仿宋_GB2312"/>
                      <w:sz w:val="21"/>
                    </w:rPr>
                    <w:t>）</w:t>
                  </w:r>
                  <w:r>
                    <w:rPr>
                      <w:rFonts w:ascii="仿宋_GB2312" w:hAnsi="仿宋_GB2312" w:cs="仿宋_GB2312" w:eastAsia="仿宋_GB2312"/>
                      <w:sz w:val="21"/>
                    </w:rPr>
                    <w:t>≤33.8×22.8×22.8cm；</w:t>
                  </w:r>
                </w:p>
                <w:p>
                  <w:pPr>
                    <w:pStyle w:val="null3"/>
                    <w:jc w:val="left"/>
                  </w:pPr>
                  <w:r>
                    <w:rPr>
                      <w:rFonts w:ascii="仿宋_GB2312" w:hAnsi="仿宋_GB2312" w:cs="仿宋_GB2312" w:eastAsia="仿宋_GB2312"/>
                      <w:sz w:val="21"/>
                    </w:rPr>
                    <w:t>2、主材：</w:t>
                  </w:r>
                  <w:r>
                    <w:rPr>
                      <w:rFonts w:ascii="仿宋_GB2312" w:hAnsi="仿宋_GB2312" w:cs="仿宋_GB2312" w:eastAsia="仿宋_GB2312"/>
                      <w:sz w:val="21"/>
                    </w:rPr>
                    <w:t>金丝楠老料、酸枝木同等及以上</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3、内容积≥2升；</w:t>
                  </w:r>
                </w:p>
                <w:p>
                  <w:pPr>
                    <w:pStyle w:val="null3"/>
                    <w:jc w:val="left"/>
                  </w:pPr>
                  <w:r>
                    <w:rPr>
                      <w:rFonts w:ascii="仿宋_GB2312" w:hAnsi="仿宋_GB2312" w:cs="仿宋_GB2312" w:eastAsia="仿宋_GB2312"/>
                      <w:sz w:val="21"/>
                    </w:rPr>
                    <w:t>4、在盒体的前部或顶部设计有2cm（宽）×20cm（长）（误差±2mm）书写标签的平面；</w:t>
                  </w:r>
                </w:p>
                <w:p>
                  <w:pPr>
                    <w:pStyle w:val="null3"/>
                    <w:jc w:val="left"/>
                  </w:pPr>
                  <w:r>
                    <w:rPr>
                      <w:rFonts w:ascii="仿宋_GB2312" w:hAnsi="仿宋_GB2312" w:cs="仿宋_GB2312" w:eastAsia="仿宋_GB2312"/>
                      <w:sz w:val="21"/>
                    </w:rPr>
                    <w:t>5、在盒体的前部有安装小相片（2寸）功能；</w:t>
                  </w:r>
                </w:p>
                <w:p>
                  <w:pPr>
                    <w:pStyle w:val="null3"/>
                    <w:jc w:val="left"/>
                  </w:pPr>
                  <w:r>
                    <w:rPr>
                      <w:rFonts w:ascii="仿宋_GB2312" w:hAnsi="仿宋_GB2312" w:cs="仿宋_GB2312" w:eastAsia="仿宋_GB2312"/>
                      <w:sz w:val="21"/>
                    </w:rPr>
                    <w:t>6、工艺要求：木材应按技术规范处理（包括：防裂、防虫处理），不得采用边皮，除装饰附件外整盒应为原木，并单面无拼接，盒体表面应无虫蛀，无结疤。雕刻应表面光滑、形象清晰、无划痕，雕刻图案应均匀清晰、层次分明，雕刻后不应降低雕刻面使用强度，不应影响其使用性能。结构应采用木榫接，木质骨灰盒榫和榫眼结合处应严实、牢固，无崩茬、动榫、断榫等缺陷。油漆采用天然大漆擦漆工艺，色泽均匀，漆质饱满，无皱皮、发粘或漏漆现象。</w:t>
                  </w:r>
                </w:p>
                <w:p>
                  <w:pPr>
                    <w:pStyle w:val="null3"/>
                    <w:jc w:val="left"/>
                  </w:pPr>
                  <w:r>
                    <w:rPr>
                      <w:rFonts w:ascii="仿宋_GB2312" w:hAnsi="仿宋_GB2312" w:cs="仿宋_GB2312" w:eastAsia="仿宋_GB2312"/>
                      <w:sz w:val="21"/>
                    </w:rPr>
                    <w:t>7、符合木质骨灰盒通用技术条件（GB/T 23288-20</w:t>
                  </w:r>
                  <w:r>
                    <w:rPr>
                      <w:rFonts w:ascii="仿宋_GB2312" w:hAnsi="仿宋_GB2312" w:cs="仿宋_GB2312" w:eastAsia="仿宋_GB2312"/>
                      <w:sz w:val="21"/>
                    </w:rPr>
                    <w:t>23</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8、主板材厚度：≥2cm</w:t>
                  </w:r>
                </w:p>
                <w:p>
                  <w:pPr>
                    <w:pStyle w:val="null3"/>
                    <w:jc w:val="left"/>
                  </w:pPr>
                  <w:r>
                    <w:rPr>
                      <w:rFonts w:ascii="仿宋_GB2312" w:hAnsi="仿宋_GB2312" w:cs="仿宋_GB2312" w:eastAsia="仿宋_GB2312"/>
                      <w:sz w:val="21"/>
                    </w:rPr>
                    <w:t>9、展示产品样品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2750.00</w:t>
                  </w:r>
                </w:p>
              </w:tc>
            </w:tr>
            <w:tr>
              <w:tc>
                <w:tcPr>
                  <w:tcW w:type="dxa" w:w="21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w:t>
                  </w:r>
                </w:p>
              </w:tc>
              <w:tc>
                <w:tcPr>
                  <w:tcW w:type="dxa" w:w="3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可降解骨灰罐</w:t>
                  </w:r>
                </w:p>
              </w:tc>
              <w:tc>
                <w:tcPr>
                  <w:tcW w:type="dxa" w:w="3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86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1、规格：外部尺寸</w:t>
                  </w:r>
                  <w:r>
                    <w:rPr>
                      <w:rFonts w:ascii="仿宋_GB2312" w:hAnsi="仿宋_GB2312" w:cs="仿宋_GB2312" w:eastAsia="仿宋_GB2312"/>
                      <w:sz w:val="21"/>
                    </w:rPr>
                    <w:t>：</w:t>
                  </w:r>
                  <w:r>
                    <w:rPr>
                      <w:rFonts w:ascii="仿宋_GB2312" w:hAnsi="仿宋_GB2312" w:cs="仿宋_GB2312" w:eastAsia="仿宋_GB2312"/>
                      <w:sz w:val="21"/>
                    </w:rPr>
                    <w:t>高</w:t>
                  </w:r>
                  <w:r>
                    <w:rPr>
                      <w:rFonts w:ascii="仿宋_GB2312" w:hAnsi="仿宋_GB2312" w:cs="仿宋_GB2312" w:eastAsia="仿宋_GB2312"/>
                      <w:sz w:val="21"/>
                    </w:rPr>
                    <w:t>25-30cm,直径20-25cm</w:t>
                  </w:r>
                  <w:r>
                    <w:rPr>
                      <w:rFonts w:ascii="仿宋_GB2312" w:hAnsi="仿宋_GB2312" w:cs="仿宋_GB2312" w:eastAsia="仿宋_GB2312"/>
                      <w:sz w:val="21"/>
                    </w:rPr>
                    <w:t>；</w:t>
                  </w:r>
                </w:p>
                <w:p>
                  <w:pPr>
                    <w:pStyle w:val="null3"/>
                    <w:jc w:val="left"/>
                  </w:pPr>
                  <w:r>
                    <w:rPr>
                      <w:rFonts w:ascii="仿宋_GB2312" w:hAnsi="仿宋_GB2312" w:cs="仿宋_GB2312" w:eastAsia="仿宋_GB2312"/>
                      <w:sz w:val="21"/>
                    </w:rPr>
                    <w:t>2、</w:t>
                  </w:r>
                  <w:r>
                    <w:rPr>
                      <w:rFonts w:ascii="仿宋_GB2312" w:hAnsi="仿宋_GB2312" w:cs="仿宋_GB2312" w:eastAsia="仿宋_GB2312"/>
                      <w:sz w:val="21"/>
                    </w:rPr>
                    <w:t>主材：</w:t>
                  </w:r>
                  <w:r>
                    <w:rPr>
                      <w:rFonts w:ascii="仿宋_GB2312" w:hAnsi="仿宋_GB2312" w:cs="仿宋_GB2312" w:eastAsia="仿宋_GB2312"/>
                      <w:sz w:val="21"/>
                    </w:rPr>
                    <w:t>可降解母粒粉、玉米粉、竹竿粉、滑石粉</w:t>
                  </w:r>
                  <w:r>
                    <w:rPr>
                      <w:rFonts w:ascii="仿宋_GB2312" w:hAnsi="仿宋_GB2312" w:cs="仿宋_GB2312" w:eastAsia="仿宋_GB2312"/>
                      <w:sz w:val="21"/>
                    </w:rPr>
                    <w:t>或同等材质；</w:t>
                  </w:r>
                </w:p>
                <w:p>
                  <w:pPr>
                    <w:pStyle w:val="null3"/>
                  </w:pPr>
                  <w:r>
                    <w:rPr>
                      <w:rFonts w:ascii="仿宋_GB2312" w:hAnsi="仿宋_GB2312" w:cs="仿宋_GB2312" w:eastAsia="仿宋_GB2312"/>
                      <w:sz w:val="21"/>
                    </w:rPr>
                    <w:t>3、降解时间：土壤中9-13个月，水中2-6小时。</w:t>
                  </w:r>
                </w:p>
                <w:p>
                  <w:pPr>
                    <w:pStyle w:val="null3"/>
                    <w:jc w:val="both"/>
                  </w:pPr>
                  <w:r>
                    <w:rPr>
                      <w:rFonts w:ascii="仿宋_GB2312" w:hAnsi="仿宋_GB2312" w:cs="仿宋_GB2312" w:eastAsia="仿宋_GB2312"/>
                      <w:sz w:val="21"/>
                    </w:rPr>
                    <w:t>4、展示产品样品。</w:t>
                  </w:r>
                </w:p>
              </w:tc>
              <w:tc>
                <w:tcPr>
                  <w:tcW w:type="dxa" w:w="36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242.00</w:t>
                  </w:r>
                </w:p>
              </w:tc>
            </w:tr>
            <w:tr>
              <w:tc>
                <w:tcPr>
                  <w:tcW w:type="dxa" w:w="2553"/>
                  <w:gridSpan w:val="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19"/>
                      <w:b/>
                    </w:rPr>
                    <w:t>（一）</w:t>
                  </w:r>
                  <w:r>
                    <w:rPr>
                      <w:rFonts w:ascii="仿宋_GB2312" w:hAnsi="仿宋_GB2312" w:cs="仿宋_GB2312" w:eastAsia="仿宋_GB2312"/>
                      <w:sz w:val="19"/>
                      <w:b/>
                    </w:rPr>
                    <w:t>样品要求</w:t>
                  </w:r>
                </w:p>
                <w:p>
                  <w:pPr>
                    <w:pStyle w:val="null3"/>
                    <w:ind w:firstLine="381"/>
                    <w:jc w:val="both"/>
                  </w:pPr>
                  <w:r>
                    <w:rPr>
                      <w:rFonts w:ascii="仿宋_GB2312" w:hAnsi="仿宋_GB2312" w:cs="仿宋_GB2312" w:eastAsia="仿宋_GB2312"/>
                      <w:sz w:val="19"/>
                      <w:b/>
                    </w:rPr>
                    <w:t>1.</w:t>
                  </w:r>
                  <w:r>
                    <w:rPr>
                      <w:rFonts w:ascii="仿宋_GB2312" w:hAnsi="仿宋_GB2312" w:cs="仿宋_GB2312" w:eastAsia="仿宋_GB2312"/>
                      <w:sz w:val="19"/>
                      <w:b/>
                    </w:rPr>
                    <w:t>供应商投标时，须按采购清单内全部骨灰盒品类各提供完整样品一套。</w:t>
                  </w:r>
                </w:p>
                <w:p>
                  <w:pPr>
                    <w:pStyle w:val="null3"/>
                    <w:ind w:firstLine="381"/>
                    <w:jc w:val="both"/>
                  </w:pPr>
                  <w:r>
                    <w:rPr>
                      <w:rFonts w:ascii="仿宋_GB2312" w:hAnsi="仿宋_GB2312" w:cs="仿宋_GB2312" w:eastAsia="仿宋_GB2312"/>
                      <w:sz w:val="19"/>
                      <w:b/>
                    </w:rPr>
                    <w:t>2.</w:t>
                  </w:r>
                  <w:r>
                    <w:rPr>
                      <w:rFonts w:ascii="仿宋_GB2312" w:hAnsi="仿宋_GB2312" w:cs="仿宋_GB2312" w:eastAsia="仿宋_GB2312"/>
                      <w:sz w:val="19"/>
                      <w:b/>
                    </w:rPr>
                    <w:t>样品材质工艺标准</w:t>
                  </w:r>
                  <w:r>
                    <w:rPr>
                      <w:rFonts w:ascii="仿宋_GB2312" w:hAnsi="仿宋_GB2312" w:cs="仿宋_GB2312" w:eastAsia="仿宋_GB2312"/>
                      <w:sz w:val="19"/>
                      <w:b/>
                    </w:rPr>
                    <w:t>：</w:t>
                  </w:r>
                  <w:r>
                    <w:rPr>
                      <w:rFonts w:ascii="仿宋_GB2312" w:hAnsi="仿宋_GB2312" w:cs="仿宋_GB2312" w:eastAsia="仿宋_GB2312"/>
                      <w:sz w:val="19"/>
                      <w:b/>
                    </w:rPr>
                    <w:t>所有骨灰样品须完全匹配招标文件对应规格、尺寸、木材材质、板材厚度、雕刻、油漆工艺，满足《</w:t>
                  </w:r>
                  <w:r>
                    <w:rPr>
                      <w:rFonts w:ascii="仿宋_GB2312" w:hAnsi="仿宋_GB2312" w:cs="仿宋_GB2312" w:eastAsia="仿宋_GB2312"/>
                      <w:sz w:val="19"/>
                      <w:b/>
                    </w:rPr>
                    <w:t>GB/T 23288-2023 木质骨灰盒通用技术条件》；可降解骨灰罐需符合招标文件降解、材质参数，无开裂、变形、做工粗糙等缺陷。</w:t>
                  </w:r>
                </w:p>
                <w:p>
                  <w:pPr>
                    <w:pStyle w:val="null3"/>
                    <w:jc w:val="both"/>
                  </w:pPr>
                  <w:r>
                    <w:rPr>
                      <w:rFonts w:ascii="仿宋_GB2312" w:hAnsi="仿宋_GB2312" w:cs="仿宋_GB2312" w:eastAsia="仿宋_GB2312"/>
                      <w:sz w:val="19"/>
                      <w:b/>
                    </w:rPr>
                    <w:t>（二）</w:t>
                  </w:r>
                  <w:r>
                    <w:rPr>
                      <w:rFonts w:ascii="仿宋_GB2312" w:hAnsi="仿宋_GB2312" w:cs="仿宋_GB2312" w:eastAsia="仿宋_GB2312"/>
                      <w:sz w:val="19"/>
                      <w:b/>
                    </w:rPr>
                    <w:t>样品提交方式</w:t>
                  </w:r>
                </w:p>
                <w:p>
                  <w:pPr>
                    <w:pStyle w:val="null3"/>
                    <w:ind w:firstLine="381"/>
                    <w:jc w:val="both"/>
                  </w:pPr>
                  <w:r>
                    <w:rPr>
                      <w:rFonts w:ascii="仿宋_GB2312" w:hAnsi="仿宋_GB2312" w:cs="仿宋_GB2312" w:eastAsia="仿宋_GB2312"/>
                      <w:sz w:val="19"/>
                      <w:b/>
                    </w:rPr>
                    <w:t>1.</w:t>
                  </w:r>
                  <w:r>
                    <w:rPr>
                      <w:rFonts w:ascii="仿宋_GB2312" w:hAnsi="仿宋_GB2312" w:cs="仿宋_GB2312" w:eastAsia="仿宋_GB2312"/>
                      <w:sz w:val="19"/>
                      <w:b/>
                    </w:rPr>
                    <w:t>递交时限、地点及密封要求：须在提交响应文件截止时间前，将样品送达西安市经济技术开发区凤城五路</w:t>
                  </w:r>
                  <w:r>
                    <w:rPr>
                      <w:rFonts w:ascii="仿宋_GB2312" w:hAnsi="仿宋_GB2312" w:cs="仿宋_GB2312" w:eastAsia="仿宋_GB2312"/>
                      <w:sz w:val="19"/>
                      <w:b/>
                    </w:rPr>
                    <w:t>123 号秦创原软科中心 A 座 20 层陕西金泽盛业项目管理有限公司会议室，逾期未递交视为放弃样品提交；样品整体密封封装，外包装清晰标注项目名称、供应商名称、采购包号、样品递交清单，密封封口处须加盖供应商公章。</w:t>
                  </w:r>
                </w:p>
                <w:p>
                  <w:pPr>
                    <w:pStyle w:val="null3"/>
                    <w:ind w:firstLine="381"/>
                    <w:jc w:val="both"/>
                  </w:pPr>
                  <w:r>
                    <w:rPr>
                      <w:rFonts w:ascii="仿宋_GB2312" w:hAnsi="仿宋_GB2312" w:cs="仿宋_GB2312" w:eastAsia="仿宋_GB2312"/>
                      <w:sz w:val="19"/>
                      <w:b/>
                    </w:rPr>
                    <w:t>2.</w:t>
                  </w:r>
                  <w:r>
                    <w:rPr>
                      <w:rFonts w:ascii="仿宋_GB2312" w:hAnsi="仿宋_GB2312" w:cs="仿宋_GB2312" w:eastAsia="仿宋_GB2312"/>
                      <w:sz w:val="19"/>
                      <w:b/>
                    </w:rPr>
                    <w:t>评审规则：样品作为评审打分依据，未按要求提供样品或样品品类不全的，对应评审项不得分，但不影响投标文件有效性。</w:t>
                  </w:r>
                </w:p>
                <w:p>
                  <w:pPr>
                    <w:pStyle w:val="null3"/>
                    <w:ind w:firstLine="381"/>
                    <w:jc w:val="both"/>
                  </w:pPr>
                  <w:r>
                    <w:rPr>
                      <w:rFonts w:ascii="仿宋_GB2312" w:hAnsi="仿宋_GB2312" w:cs="仿宋_GB2312" w:eastAsia="仿宋_GB2312"/>
                      <w:sz w:val="19"/>
                      <w:b/>
                    </w:rPr>
                    <w:t>3.</w:t>
                  </w:r>
                  <w:r>
                    <w:rPr>
                      <w:rFonts w:ascii="仿宋_GB2312" w:hAnsi="仿宋_GB2312" w:cs="仿宋_GB2312" w:eastAsia="仿宋_GB2312"/>
                      <w:sz w:val="19"/>
                      <w:b/>
                    </w:rPr>
                    <w:t>封存、退还及履约约束：开标大会结束后所有样品统一封存；公示期结束后，退还未成交供应商样品；成交供应商样品不予退还，由采购人留存并作为合同验收依据。若成交后供货产品与样品材质、工艺、外观标准不一致，采购人有权追究供应商全部违约责任及经济赔偿</w:t>
                  </w:r>
                  <w:r>
                    <w:rPr>
                      <w:rFonts w:ascii="仿宋_GB2312" w:hAnsi="仿宋_GB2312" w:cs="仿宋_GB2312" w:eastAsia="仿宋_GB2312"/>
                      <w:sz w:val="19"/>
                      <w:b/>
                    </w:rPr>
                    <w:t>。</w:t>
                  </w:r>
                </w:p>
              </w:tc>
            </w:tr>
          </w:tbl>
          <w:p/>
        </w:tc>
      </w:tr>
    </w:tbl>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标的名称：业务用鲜花</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pPr>
              <w:pStyle w:val="null3"/>
            </w:pPr>
            <w:r>
              <w:rPr>
                <w:rFonts w:ascii="仿宋_GB2312" w:hAnsi="仿宋_GB2312" w:cs="仿宋_GB2312" w:eastAsia="仿宋_GB2312"/>
              </w:rPr>
              <w:t>★</w:t>
            </w:r>
          </w:p>
        </w:tc>
        <w:tc>
          <w:tcPr>
            <w:tcW w:type="dxa" w:w="2769"/>
          </w:tcPr>
          <w:p>
            <w:pPr>
              <w:pStyle w:val="null3"/>
            </w:pPr>
            <w:r>
              <w:drawing>
                <wp:inline distT="0" distR="0" distB="0" distL="0">
                  <wp:extent cx="1621155" cy="27424794"/>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27424794"/>
                          </a:xfrm>
                          <a:prstGeom prst="rect">
                            <a:avLst/>
                          </a:prstGeom>
                        </pic:spPr>
                      </pic:pic>
                    </a:graphicData>
                  </a:graphic>
                </wp:inline>
              </w:drawing>
            </w:r>
          </w:p>
        </w:tc>
      </w:tr>
    </w:tbl>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标的名称：公墓墓地用石材采购（1包）</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pPr>
              <w:pStyle w:val="null3"/>
            </w:pPr>
            <w:r>
              <w:rPr>
                <w:rFonts w:ascii="仿宋_GB2312" w:hAnsi="仿宋_GB2312" w:cs="仿宋_GB2312" w:eastAsia="仿宋_GB2312"/>
              </w:rPr>
              <w:t>▲</w:t>
            </w:r>
          </w:p>
        </w:tc>
        <w:tc>
          <w:tcPr>
            <w:tcW w:type="dxa" w:w="2769"/>
          </w:tcPr>
          <w:tbl>
            <w:tblPr>
              <w:tblBorders>
                <w:top w:val="none" w:color="000000" w:sz="4"/>
                <w:left w:val="none" w:color="000000" w:sz="4"/>
                <w:bottom w:val="none" w:color="000000" w:sz="4"/>
                <w:right w:val="none" w:color="000000" w:sz="4"/>
                <w:insideH w:val="none"/>
                <w:insideV w:val="none"/>
              </w:tblBorders>
            </w:tblPr>
            <w:tblGrid>
              <w:gridCol w:w="189"/>
              <w:gridCol w:w="157"/>
              <w:gridCol w:w="262"/>
              <w:gridCol w:w="391"/>
              <w:gridCol w:w="250"/>
              <w:gridCol w:w="250"/>
              <w:gridCol w:w="250"/>
              <w:gridCol w:w="379"/>
              <w:gridCol w:w="403"/>
            </w:tblGrid>
            <w:tr>
              <w:tc>
                <w:tcPr>
                  <w:tcW w:type="dxa" w:w="18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序号</w:t>
                  </w:r>
                </w:p>
              </w:tc>
              <w:tc>
                <w:tcPr>
                  <w:tcW w:type="dxa" w:w="15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参数性质</w:t>
                  </w:r>
                </w:p>
              </w:tc>
              <w:tc>
                <w:tcPr>
                  <w:tcW w:type="dxa" w:w="2185"/>
                  <w:gridSpan w:val="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技术参数与性能指标</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1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2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名称</w:t>
                  </w:r>
                </w:p>
              </w:tc>
              <w:tc>
                <w:tcPr>
                  <w:tcW w:type="dxa" w:w="39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材质</w:t>
                  </w:r>
                  <w:r>
                    <w:rPr>
                      <w:rFonts w:ascii="仿宋_GB2312" w:hAnsi="仿宋_GB2312" w:cs="仿宋_GB2312" w:eastAsia="仿宋_GB2312"/>
                      <w:sz w:val="21"/>
                    </w:rPr>
                    <w:t>/型号</w:t>
                  </w:r>
                </w:p>
              </w:tc>
              <w:tc>
                <w:tcPr>
                  <w:tcW w:type="dxa" w:w="750"/>
                  <w:gridSpan w:val="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规格</w:t>
                  </w:r>
                  <w:r>
                    <w:rPr>
                      <w:rFonts w:ascii="仿宋_GB2312" w:hAnsi="仿宋_GB2312" w:cs="仿宋_GB2312" w:eastAsia="仿宋_GB2312"/>
                      <w:sz w:val="21"/>
                    </w:rPr>
                    <w:t>/mm</w:t>
                  </w:r>
                </w:p>
              </w:tc>
              <w:tc>
                <w:tcPr>
                  <w:tcW w:type="dxa" w:w="37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备注</w:t>
                  </w:r>
                </w:p>
              </w:tc>
              <w:tc>
                <w:tcPr>
                  <w:tcW w:type="dxa" w:w="40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最高限价单价（元）</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1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2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39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2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长</w:t>
                  </w:r>
                </w:p>
              </w:tc>
              <w:tc>
                <w:tcPr>
                  <w:tcW w:type="dxa" w:w="2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宽</w:t>
                  </w:r>
                </w:p>
              </w:tc>
              <w:tc>
                <w:tcPr>
                  <w:tcW w:type="dxa" w:w="250"/>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高</w:t>
                  </w:r>
                </w:p>
              </w:tc>
              <w:tc>
                <w:tcPr>
                  <w:tcW w:type="dxa" w:w="37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40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1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款式一</w:t>
                  </w:r>
                </w:p>
              </w:tc>
              <w:tc>
                <w:tcPr>
                  <w:tcW w:type="dxa" w:w="39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花岗岩、</w:t>
                  </w:r>
                </w:p>
                <w:p>
                  <w:pPr>
                    <w:pStyle w:val="null3"/>
                    <w:jc w:val="center"/>
                  </w:pPr>
                  <w:r>
                    <w:rPr>
                      <w:rFonts w:ascii="仿宋_GB2312" w:hAnsi="仿宋_GB2312" w:cs="仿宋_GB2312" w:eastAsia="仿宋_GB2312"/>
                      <w:sz w:val="21"/>
                    </w:rPr>
                    <w:t>山西黑</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780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520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180</w:t>
                  </w:r>
                </w:p>
              </w:tc>
              <w:tc>
                <w:tcPr>
                  <w:tcW w:type="dxa" w:w="3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造型设计</w:t>
                  </w:r>
                </w:p>
              </w:tc>
              <w:tc>
                <w:tcPr>
                  <w:tcW w:type="dxa" w:w="4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2200</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1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款式二</w:t>
                  </w:r>
                </w:p>
              </w:tc>
              <w:tc>
                <w:tcPr>
                  <w:tcW w:type="dxa" w:w="39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花岗岩、</w:t>
                  </w:r>
                </w:p>
                <w:p>
                  <w:pPr>
                    <w:pStyle w:val="null3"/>
                    <w:jc w:val="center"/>
                  </w:pPr>
                  <w:r>
                    <w:rPr>
                      <w:rFonts w:ascii="仿宋_GB2312" w:hAnsi="仿宋_GB2312" w:cs="仿宋_GB2312" w:eastAsia="仿宋_GB2312"/>
                      <w:sz w:val="21"/>
                    </w:rPr>
                    <w:t>山西黑</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600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500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160</w:t>
                  </w:r>
                </w:p>
              </w:tc>
              <w:tc>
                <w:tcPr>
                  <w:tcW w:type="dxa" w:w="3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造型设计</w:t>
                  </w:r>
                </w:p>
              </w:tc>
              <w:tc>
                <w:tcPr>
                  <w:tcW w:type="dxa" w:w="4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2000</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1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款式三</w:t>
                  </w:r>
                </w:p>
              </w:tc>
              <w:tc>
                <w:tcPr>
                  <w:tcW w:type="dxa" w:w="39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山西黑</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300"/>
                    <w:jc w:val="center"/>
                  </w:pPr>
                  <w:r>
                    <w:rPr>
                      <w:rFonts w:ascii="仿宋_GB2312" w:hAnsi="仿宋_GB2312" w:cs="仿宋_GB2312" w:eastAsia="仿宋_GB2312"/>
                      <w:sz w:val="21"/>
                    </w:rPr>
                    <w:t>720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300"/>
                    <w:jc w:val="center"/>
                  </w:pPr>
                  <w:r>
                    <w:rPr>
                      <w:rFonts w:ascii="仿宋_GB2312" w:hAnsi="仿宋_GB2312" w:cs="仿宋_GB2312" w:eastAsia="仿宋_GB2312"/>
                      <w:sz w:val="21"/>
                    </w:rPr>
                    <w:t>600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300"/>
                    <w:jc w:val="center"/>
                  </w:pPr>
                  <w:r>
                    <w:rPr>
                      <w:rFonts w:ascii="仿宋_GB2312" w:hAnsi="仿宋_GB2312" w:cs="仿宋_GB2312" w:eastAsia="仿宋_GB2312"/>
                      <w:sz w:val="21"/>
                    </w:rPr>
                    <w:t>780</w:t>
                  </w:r>
                </w:p>
              </w:tc>
              <w:tc>
                <w:tcPr>
                  <w:tcW w:type="dxa" w:w="3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造型设计</w:t>
                  </w:r>
                </w:p>
              </w:tc>
              <w:tc>
                <w:tcPr>
                  <w:tcW w:type="dxa" w:w="4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300"/>
                    <w:jc w:val="center"/>
                  </w:pPr>
                  <w:r>
                    <w:rPr>
                      <w:rFonts w:ascii="仿宋_GB2312" w:hAnsi="仿宋_GB2312" w:cs="仿宋_GB2312" w:eastAsia="仿宋_GB2312"/>
                      <w:sz w:val="21"/>
                    </w:rPr>
                    <w:t>3580</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1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款式四</w:t>
                  </w:r>
                </w:p>
              </w:tc>
              <w:tc>
                <w:tcPr>
                  <w:tcW w:type="dxa" w:w="39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山西黑</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780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520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140</w:t>
                  </w:r>
                </w:p>
              </w:tc>
              <w:tc>
                <w:tcPr>
                  <w:tcW w:type="dxa" w:w="3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造型设计</w:t>
                  </w:r>
                </w:p>
              </w:tc>
              <w:tc>
                <w:tcPr>
                  <w:tcW w:type="dxa" w:w="4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1630</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1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款式五</w:t>
                  </w:r>
                </w:p>
              </w:tc>
              <w:tc>
                <w:tcPr>
                  <w:tcW w:type="dxa" w:w="39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山西黑</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420/300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340/300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20</w:t>
                  </w:r>
                </w:p>
              </w:tc>
              <w:tc>
                <w:tcPr>
                  <w:tcW w:type="dxa" w:w="3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石材板材</w:t>
                  </w:r>
                </w:p>
                <w:p>
                  <w:pPr>
                    <w:pStyle w:val="null3"/>
                    <w:jc w:val="center"/>
                  </w:pPr>
                  <w:r>
                    <w:rPr>
                      <w:rFonts w:ascii="仿宋_GB2312" w:hAnsi="仿宋_GB2312" w:cs="仿宋_GB2312" w:eastAsia="仿宋_GB2312"/>
                      <w:sz w:val="21"/>
                    </w:rPr>
                    <w:t>6 块为一套</w:t>
                  </w:r>
                </w:p>
              </w:tc>
              <w:tc>
                <w:tcPr>
                  <w:tcW w:type="dxa" w:w="4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235</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1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款式六</w:t>
                  </w:r>
                </w:p>
              </w:tc>
              <w:tc>
                <w:tcPr>
                  <w:tcW w:type="dxa" w:w="39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山西黑</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840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345</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20</w:t>
                  </w:r>
                </w:p>
              </w:tc>
              <w:tc>
                <w:tcPr>
                  <w:tcW w:type="dxa" w:w="3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板材一面光</w:t>
                  </w:r>
                </w:p>
              </w:tc>
              <w:tc>
                <w:tcPr>
                  <w:tcW w:type="dxa" w:w="4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240</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1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款式七</w:t>
                  </w:r>
                </w:p>
              </w:tc>
              <w:tc>
                <w:tcPr>
                  <w:tcW w:type="dxa" w:w="39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山西黑</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452</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345</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20</w:t>
                  </w:r>
                </w:p>
              </w:tc>
              <w:tc>
                <w:tcPr>
                  <w:tcW w:type="dxa" w:w="3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板材一面光</w:t>
                  </w:r>
                </w:p>
              </w:tc>
              <w:tc>
                <w:tcPr>
                  <w:tcW w:type="dxa" w:w="4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130</w:t>
                  </w:r>
                </w:p>
              </w:tc>
            </w:tr>
            <w:tr>
              <w:tc>
                <w:tcPr>
                  <w:tcW w:type="dxa" w:w="18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1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款式八</w:t>
                  </w:r>
                </w:p>
              </w:tc>
              <w:tc>
                <w:tcPr>
                  <w:tcW w:type="dxa" w:w="39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山西黑</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940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580</w:t>
                  </w:r>
                </w:p>
              </w:tc>
              <w:tc>
                <w:tcPr>
                  <w:tcW w:type="dxa" w:w="2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20</w:t>
                  </w:r>
                </w:p>
              </w:tc>
              <w:tc>
                <w:tcPr>
                  <w:tcW w:type="dxa" w:w="37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正反光面</w:t>
                  </w:r>
                </w:p>
              </w:tc>
              <w:tc>
                <w:tcPr>
                  <w:tcW w:type="dxa" w:w="40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rPr>
                    <w:t>900</w:t>
                  </w:r>
                </w:p>
              </w:tc>
            </w:tr>
            <w:tr>
              <w:tc>
                <w:tcPr>
                  <w:tcW w:type="dxa" w:w="2531"/>
                  <w:gridSpan w:val="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b/>
                    </w:rPr>
                    <w:t>参考图片：</w:t>
                  </w:r>
                </w:p>
                <w:p>
                  <w:pPr>
                    <w:pStyle w:val="null3"/>
                    <w:spacing w:before="60"/>
                    <w:jc w:val="center"/>
                  </w:pPr>
                  <w:r>
                    <w:drawing>
                      <wp:inline distT="0" distR="0" distB="0" distL="0">
                        <wp:extent cx="1470025" cy="1674112"/>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470025" cy="1674112"/>
                                </a:xfrm>
                                <a:prstGeom prst="rect">
                                  <a:avLst/>
                                </a:prstGeom>
                              </pic:spPr>
                            </pic:pic>
                          </a:graphicData>
                        </a:graphic>
                      </wp:inline>
                    </w:drawing>
                  </w:r>
                  <w:r>
                    <w:drawing>
                      <wp:inline distT="0" distR="0" distB="0" distL="0">
                        <wp:extent cx="1470025" cy="1970966"/>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470025" cy="1970966"/>
                                </a:xfrm>
                                <a:prstGeom prst="rect">
                                  <a:avLst/>
                                </a:prstGeom>
                              </pic:spPr>
                            </pic:pic>
                          </a:graphicData>
                        </a:graphic>
                      </wp:inline>
                    </w:drawing>
                  </w:r>
                  <w:r>
                    <w:drawing>
                      <wp:inline distT="0" distR="0" distB="0" distL="0">
                        <wp:extent cx="1470025" cy="1956033"/>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1470025" cy="1956033"/>
                                </a:xfrm>
                                <a:prstGeom prst="rect">
                                  <a:avLst/>
                                </a:prstGeom>
                              </pic:spPr>
                            </pic:pic>
                          </a:graphicData>
                        </a:graphic>
                      </wp:inline>
                    </w:drawing>
                  </w:r>
                  <w:r>
                    <w:drawing>
                      <wp:inline distT="0" distR="0" distB="0" distL="0">
                        <wp:extent cx="1470025" cy="1723688"/>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1470025" cy="1723688"/>
                                </a:xfrm>
                                <a:prstGeom prst="rect">
                                  <a:avLst/>
                                </a:prstGeom>
                              </pic:spPr>
                            </pic:pic>
                          </a:graphicData>
                        </a:graphic>
                      </wp:inline>
                    </w:drawing>
                  </w:r>
                </w:p>
              </w:tc>
            </w:tr>
            <w:tr>
              <w:tc>
                <w:tcPr>
                  <w:tcW w:type="dxa" w:w="2531"/>
                  <w:gridSpan w:val="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60"/>
                    <w:jc w:val="left"/>
                  </w:pPr>
                  <w:r>
                    <w:rPr>
                      <w:rFonts w:ascii="仿宋_GB2312" w:hAnsi="仿宋_GB2312" w:cs="仿宋_GB2312" w:eastAsia="仿宋_GB2312"/>
                      <w:sz w:val="19"/>
                      <w:b/>
                    </w:rPr>
                    <w:t>样品（小样）要求</w:t>
                  </w:r>
                </w:p>
                <w:p>
                  <w:pPr>
                    <w:pStyle w:val="null3"/>
                    <w:spacing w:before="60"/>
                    <w:ind w:firstLine="381"/>
                    <w:jc w:val="left"/>
                  </w:pPr>
                  <w:r>
                    <w:rPr>
                      <w:rFonts w:ascii="仿宋_GB2312" w:hAnsi="仿宋_GB2312" w:cs="仿宋_GB2312" w:eastAsia="仿宋_GB2312"/>
                      <w:sz w:val="24"/>
                      <w:b/>
                    </w:rPr>
                    <w:t>本项目供应商无需提交完整成品，仅需按本包全部款式</w:t>
                  </w:r>
                  <w:r>
                    <w:rPr>
                      <w:rFonts w:ascii="仿宋_GB2312" w:hAnsi="仿宋_GB2312" w:cs="仿宋_GB2312" w:eastAsia="仿宋_GB2312"/>
                      <w:sz w:val="24"/>
                      <w:b/>
                    </w:rPr>
                    <w:t>涉及的</w:t>
                  </w:r>
                  <w:r>
                    <w:rPr>
                      <w:rFonts w:ascii="仿宋_GB2312" w:hAnsi="仿宋_GB2312" w:cs="仿宋_GB2312" w:eastAsia="仿宋_GB2312"/>
                      <w:sz w:val="24"/>
                      <w:b/>
                    </w:rPr>
                    <w:t>石材</w:t>
                  </w:r>
                  <w:r>
                    <w:rPr>
                      <w:rFonts w:ascii="仿宋_GB2312" w:hAnsi="仿宋_GB2312" w:cs="仿宋_GB2312" w:eastAsia="仿宋_GB2312"/>
                      <w:sz w:val="24"/>
                      <w:b/>
                    </w:rPr>
                    <w:t>制作平板</w:t>
                  </w:r>
                  <w:r>
                    <w:rPr>
                      <w:rFonts w:ascii="仿宋_GB2312" w:hAnsi="仿宋_GB2312" w:cs="仿宋_GB2312" w:eastAsia="仿宋_GB2312"/>
                      <w:sz w:val="24"/>
                      <w:b/>
                    </w:rPr>
                    <w:t>小样</w:t>
                  </w:r>
                  <w:r>
                    <w:rPr>
                      <w:rFonts w:ascii="仿宋_GB2312" w:hAnsi="仿宋_GB2312" w:cs="仿宋_GB2312" w:eastAsia="仿宋_GB2312"/>
                      <w:sz w:val="24"/>
                      <w:b/>
                    </w:rPr>
                    <w:t xml:space="preserve">1 </w:t>
                  </w:r>
                  <w:r>
                    <w:rPr>
                      <w:rFonts w:ascii="仿宋_GB2312" w:hAnsi="仿宋_GB2312" w:cs="仿宋_GB2312" w:eastAsia="仿宋_GB2312"/>
                      <w:sz w:val="24"/>
                      <w:b/>
                    </w:rPr>
                    <w:t>件</w:t>
                  </w:r>
                  <w:r>
                    <w:rPr>
                      <w:rFonts w:ascii="仿宋_GB2312" w:hAnsi="仿宋_GB2312" w:cs="仿宋_GB2312" w:eastAsia="仿宋_GB2312"/>
                      <w:sz w:val="24"/>
                      <w:b/>
                    </w:rPr>
                    <w:t>、</w:t>
                  </w:r>
                  <w:r>
                    <w:rPr>
                      <w:rFonts w:ascii="仿宋_GB2312" w:hAnsi="仿宋_GB2312" w:cs="仿宋_GB2312" w:eastAsia="仿宋_GB2312"/>
                      <w:sz w:val="24"/>
                      <w:b/>
                    </w:rPr>
                    <w:t>雕刻造型小样</w:t>
                  </w:r>
                  <w:r>
                    <w:rPr>
                      <w:rFonts w:ascii="仿宋_GB2312" w:hAnsi="仿宋_GB2312" w:cs="仿宋_GB2312" w:eastAsia="仿宋_GB2312"/>
                      <w:sz w:val="24"/>
                      <w:b/>
                    </w:rPr>
                    <w:t>1件</w:t>
                  </w:r>
                </w:p>
                <w:p>
                  <w:pPr>
                    <w:pStyle w:val="null3"/>
                    <w:spacing w:before="60"/>
                    <w:ind w:firstLine="381"/>
                    <w:jc w:val="left"/>
                  </w:pPr>
                  <w:r>
                    <w:rPr>
                      <w:rFonts w:ascii="仿宋_GB2312" w:hAnsi="仿宋_GB2312" w:cs="仿宋_GB2312" w:eastAsia="仿宋_GB2312"/>
                      <w:sz w:val="24"/>
                      <w:b/>
                    </w:rPr>
                    <w:t>1.平板板材类：小样尺寸200mm×150mm×20mm，板材抛光、倒角工艺与成品保持一致</w:t>
                  </w:r>
                  <w:r>
                    <w:rPr>
                      <w:rFonts w:ascii="仿宋_GB2312" w:hAnsi="仿宋_GB2312" w:cs="仿宋_GB2312" w:eastAsia="仿宋_GB2312"/>
                      <w:sz w:val="24"/>
                      <w:b/>
                    </w:rPr>
                    <w:t>（</w:t>
                  </w:r>
                  <w:r>
                    <w:rPr>
                      <w:rFonts w:ascii="仿宋_GB2312" w:hAnsi="仿宋_GB2312" w:cs="仿宋_GB2312" w:eastAsia="仿宋_GB2312"/>
                      <w:sz w:val="24"/>
                      <w:b/>
                    </w:rPr>
                    <w:t>每种石材各做一件</w:t>
                  </w:r>
                  <w:r>
                    <w:rPr>
                      <w:rFonts w:ascii="仿宋_GB2312" w:hAnsi="仿宋_GB2312" w:cs="仿宋_GB2312" w:eastAsia="仿宋_GB2312"/>
                      <w:sz w:val="24"/>
                      <w:b/>
                    </w:rPr>
                    <w:t>）</w:t>
                  </w:r>
                  <w:r>
                    <w:rPr>
                      <w:rFonts w:ascii="仿宋_GB2312" w:hAnsi="仿宋_GB2312" w:cs="仿宋_GB2312" w:eastAsia="仿宋_GB2312"/>
                      <w:sz w:val="24"/>
                      <w:b/>
                    </w:rPr>
                    <w:t>；</w:t>
                  </w:r>
                </w:p>
                <w:p>
                  <w:pPr>
                    <w:pStyle w:val="null3"/>
                    <w:spacing w:before="60"/>
                    <w:ind w:firstLine="381"/>
                    <w:jc w:val="left"/>
                  </w:pPr>
                  <w:r>
                    <w:rPr>
                      <w:rFonts w:ascii="仿宋_GB2312" w:hAnsi="仿宋_GB2312" w:cs="仿宋_GB2312" w:eastAsia="仿宋_GB2312"/>
                      <w:sz w:val="24"/>
                      <w:b/>
                    </w:rPr>
                    <w:t xml:space="preserve">2.雕刻造型墓碑类：制作高度200mm </w:t>
                  </w:r>
                  <w:r>
                    <w:rPr>
                      <w:rFonts w:ascii="仿宋_GB2312" w:hAnsi="仿宋_GB2312" w:cs="仿宋_GB2312" w:eastAsia="仿宋_GB2312"/>
                      <w:sz w:val="24"/>
                      <w:b/>
                    </w:rPr>
                    <w:t>*50mm*60mm</w:t>
                  </w:r>
                  <w:r>
                    <w:rPr>
                      <w:rFonts w:ascii="仿宋_GB2312" w:hAnsi="仿宋_GB2312" w:cs="仿宋_GB2312" w:eastAsia="仿宋_GB2312"/>
                      <w:sz w:val="24"/>
                      <w:b/>
                    </w:rPr>
                    <w:t>浮雕</w:t>
                  </w:r>
                  <w:r>
                    <w:rPr>
                      <w:rFonts w:ascii="仿宋_GB2312" w:hAnsi="仿宋_GB2312" w:cs="仿宋_GB2312" w:eastAsia="仿宋_GB2312"/>
                      <w:sz w:val="24"/>
                      <w:b/>
                    </w:rPr>
                    <w:t>精雕狮子</w:t>
                  </w:r>
                  <w:r>
                    <w:rPr>
                      <w:rFonts w:ascii="仿宋_GB2312" w:hAnsi="仿宋_GB2312" w:cs="仿宋_GB2312" w:eastAsia="仿宋_GB2312"/>
                      <w:sz w:val="24"/>
                      <w:b/>
                    </w:rPr>
                    <w:t>小样</w:t>
                  </w:r>
                  <w:r>
                    <w:rPr>
                      <w:rFonts w:ascii="仿宋_GB2312" w:hAnsi="仿宋_GB2312" w:cs="仿宋_GB2312" w:eastAsia="仿宋_GB2312"/>
                      <w:sz w:val="24"/>
                      <w:b/>
                    </w:rPr>
                    <w:t>1对</w:t>
                  </w:r>
                  <w:r>
                    <w:rPr>
                      <w:rFonts w:ascii="仿宋_GB2312" w:hAnsi="仿宋_GB2312" w:cs="仿宋_GB2312" w:eastAsia="仿宋_GB2312"/>
                      <w:sz w:val="24"/>
                      <w:b/>
                    </w:rPr>
                    <w:t>，完整还原造型、雕刻纹路，石材统一为山西黑花岗岩一体加工，不得拼接、染色。</w:t>
                  </w:r>
                </w:p>
                <w:p>
                  <w:pPr>
                    <w:pStyle w:val="null3"/>
                    <w:spacing w:before="60"/>
                    <w:ind w:firstLine="381"/>
                    <w:jc w:val="left"/>
                  </w:pPr>
                  <w:r>
                    <w:rPr>
                      <w:rFonts w:ascii="仿宋_GB2312" w:hAnsi="仿宋_GB2312" w:cs="仿宋_GB2312" w:eastAsia="仿宋_GB2312"/>
                      <w:sz w:val="24"/>
                      <w:b/>
                    </w:rPr>
                    <w:t>3.所有小样无裂纹、砂眼、杂色，色泽、加工工艺必须和后期供货成品一致，禁止使用替代石料。</w:t>
                  </w:r>
                </w:p>
                <w:p>
                  <w:pPr>
                    <w:pStyle w:val="null3"/>
                    <w:spacing w:before="60"/>
                    <w:jc w:val="left"/>
                  </w:pPr>
                  <w:r>
                    <w:rPr>
                      <w:rFonts w:ascii="仿宋_GB2312" w:hAnsi="仿宋_GB2312" w:cs="仿宋_GB2312" w:eastAsia="仿宋_GB2312"/>
                      <w:sz w:val="19"/>
                      <w:b/>
                    </w:rPr>
                    <w:t>（二）样品提交方式</w:t>
                  </w:r>
                </w:p>
                <w:p>
                  <w:pPr>
                    <w:pStyle w:val="null3"/>
                    <w:spacing w:before="60"/>
                    <w:ind w:firstLine="381"/>
                    <w:jc w:val="left"/>
                  </w:pPr>
                  <w:r>
                    <w:rPr>
                      <w:rFonts w:ascii="仿宋_GB2312" w:hAnsi="仿宋_GB2312" w:cs="仿宋_GB2312" w:eastAsia="仿宋_GB2312"/>
                      <w:sz w:val="19"/>
                      <w:b/>
                    </w:rPr>
                    <w:t>1.递交时限、地点及密封要求：须在提交响应文件截止时间前，将小样送至西安市经济技术开发区凤城五路 123 号秦创原软科中心 A 座 20 层陕西金泽盛业项目管理有限公司会议室，逾期未递交视为放弃样品提交；小样整体密封封装，外包装标注项目名称、供应商名称、采购包号、样品递交清单，密封封口处须加盖供应商公章。</w:t>
                  </w:r>
                </w:p>
                <w:p>
                  <w:pPr>
                    <w:pStyle w:val="null3"/>
                    <w:spacing w:before="60"/>
                    <w:ind w:firstLine="381"/>
                    <w:jc w:val="left"/>
                  </w:pPr>
                  <w:r>
                    <w:rPr>
                      <w:rFonts w:ascii="仿宋_GB2312" w:hAnsi="仿宋_GB2312" w:cs="仿宋_GB2312" w:eastAsia="仿宋_GB2312"/>
                      <w:sz w:val="19"/>
                      <w:b/>
                    </w:rPr>
                    <w:t>2.评审规则：样品作为评审打分依据，未按要求提供样品或小样款式不全的，对应评审项不得分，但不影响投标文件有效性。</w:t>
                  </w:r>
                </w:p>
                <w:p>
                  <w:pPr>
                    <w:pStyle w:val="null3"/>
                    <w:spacing w:before="60"/>
                    <w:ind w:firstLine="381"/>
                    <w:jc w:val="left"/>
                  </w:pPr>
                  <w:r>
                    <w:rPr>
                      <w:rFonts w:ascii="仿宋_GB2312" w:hAnsi="仿宋_GB2312" w:cs="仿宋_GB2312" w:eastAsia="仿宋_GB2312"/>
                      <w:sz w:val="19"/>
                      <w:b/>
                    </w:rPr>
                    <w:t>3.封存、退还及履约约束：开标大会结束后所有小样统一封存；公示期结束后，退还未成交供应商小样；成交供应商小样不予退还，由采购人留存并作为合同验收依据。若成交后供货石材与小样材质、色泽、工艺标准不一致，采购人有权追究供应商全部违约责任及经济赔偿。</w:t>
                  </w:r>
                </w:p>
              </w:tc>
            </w:tr>
          </w:tbl>
          <w:p/>
        </w:tc>
      </w:tr>
    </w:tbl>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标的名称：公墓墓地用石材采购（2包）</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pPr>
              <w:pStyle w:val="null3"/>
            </w:pPr>
            <w:r>
              <w:rPr>
                <w:rFonts w:ascii="仿宋_GB2312" w:hAnsi="仿宋_GB2312" w:cs="仿宋_GB2312" w:eastAsia="仿宋_GB2312"/>
              </w:rPr>
              <w:t>▲</w:t>
            </w:r>
          </w:p>
        </w:tc>
        <w:tc>
          <w:tcPr>
            <w:tcW w:type="dxa" w:w="2769"/>
          </w:tcPr>
          <w:tbl>
            <w:tblPr>
              <w:tblBorders>
                <w:top w:val="none" w:color="000000" w:sz="4"/>
                <w:left w:val="none" w:color="000000" w:sz="4"/>
                <w:bottom w:val="none" w:color="000000" w:sz="4"/>
                <w:right w:val="none" w:color="000000" w:sz="4"/>
                <w:insideH w:val="none"/>
                <w:insideV w:val="none"/>
              </w:tblBorders>
            </w:tblPr>
            <w:tblGrid>
              <w:gridCol w:w="206"/>
              <w:gridCol w:w="171"/>
              <w:gridCol w:w="285"/>
              <w:gridCol w:w="426"/>
              <w:gridCol w:w="272"/>
              <w:gridCol w:w="272"/>
              <w:gridCol w:w="272"/>
              <w:gridCol w:w="413"/>
              <w:gridCol w:w="215"/>
            </w:tblGrid>
            <w:tr>
              <w:tc>
                <w:tcPr>
                  <w:tcW w:type="dxa" w:w="206"/>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序号</w:t>
                  </w:r>
                </w:p>
              </w:tc>
              <w:tc>
                <w:tcPr>
                  <w:tcW w:type="dxa" w:w="17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参数性质</w:t>
                  </w:r>
                </w:p>
              </w:tc>
              <w:tc>
                <w:tcPr>
                  <w:tcW w:type="dxa" w:w="2155"/>
                  <w:gridSpan w:val="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技术参数与性能指标</w:t>
                  </w:r>
                </w:p>
              </w:tc>
            </w:tr>
            <w:tr>
              <w:tc>
                <w:tcPr>
                  <w:tcW w:type="dxa" w:w="206"/>
                  <w:vMerge/>
                  <w:tcBorders>
                    <w:top w:val="single" w:color="000000" w:sz="4"/>
                    <w:left w:val="single" w:color="000000" w:sz="4"/>
                    <w:bottom w:val="single" w:color="000000" w:sz="4"/>
                    <w:right w:val="single" w:color="000000" w:sz="4"/>
                  </w:tcBorders>
                </w:tcPr>
                <w:p/>
              </w:tc>
              <w:tc>
                <w:tcPr>
                  <w:tcW w:type="dxa" w:w="171"/>
                  <w:vMerge/>
                  <w:tcBorders>
                    <w:top w:val="single" w:color="000000" w:sz="4"/>
                    <w:left w:val="single" w:color="000000" w:sz="4"/>
                    <w:bottom w:val="single" w:color="000000" w:sz="4"/>
                    <w:right w:val="single" w:color="000000" w:sz="4"/>
                  </w:tcBorders>
                </w:tcPr>
                <w:p/>
              </w:tc>
              <w:tc>
                <w:tcPr>
                  <w:tcW w:type="dxa" w:w="28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名称</w:t>
                  </w:r>
                </w:p>
              </w:tc>
              <w:tc>
                <w:tcPr>
                  <w:tcW w:type="dxa" w:w="426"/>
                  <w:vMerge w:val="restart"/>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材质</w:t>
                  </w:r>
                  <w:r>
                    <w:rPr>
                      <w:rFonts w:ascii="仿宋_GB2312" w:hAnsi="仿宋_GB2312" w:cs="仿宋_GB2312" w:eastAsia="仿宋_GB2312"/>
                      <w:sz w:val="21"/>
                    </w:rPr>
                    <w:t>/型号</w:t>
                  </w:r>
                </w:p>
              </w:tc>
              <w:tc>
                <w:tcPr>
                  <w:tcW w:type="dxa" w:w="816"/>
                  <w:gridSpan w:val="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规格</w:t>
                  </w:r>
                  <w:r>
                    <w:rPr>
                      <w:rFonts w:ascii="仿宋_GB2312" w:hAnsi="仿宋_GB2312" w:cs="仿宋_GB2312" w:eastAsia="仿宋_GB2312"/>
                      <w:sz w:val="21"/>
                    </w:rPr>
                    <w:t>/mm</w:t>
                  </w:r>
                </w:p>
              </w:tc>
              <w:tc>
                <w:tcPr>
                  <w:tcW w:type="dxa" w:w="413"/>
                  <w:vMerge w:val="restart"/>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备注</w:t>
                  </w:r>
                </w:p>
              </w:tc>
              <w:tc>
                <w:tcPr>
                  <w:tcW w:type="dxa" w:w="215"/>
                  <w:vMerge w:val="restart"/>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最高限价单价（元）</w:t>
                  </w:r>
                </w:p>
              </w:tc>
            </w:tr>
            <w:tr>
              <w:tc>
                <w:tcPr>
                  <w:tcW w:type="dxa" w:w="206"/>
                  <w:vMerge/>
                  <w:tcBorders>
                    <w:top w:val="single" w:color="000000" w:sz="4"/>
                    <w:left w:val="single" w:color="000000" w:sz="4"/>
                    <w:bottom w:val="single" w:color="000000" w:sz="4"/>
                    <w:right w:val="single" w:color="000000" w:sz="4"/>
                  </w:tcBorders>
                </w:tcPr>
                <w:p/>
              </w:tc>
              <w:tc>
                <w:tcPr>
                  <w:tcW w:type="dxa" w:w="171"/>
                  <w:vMerge/>
                  <w:tcBorders>
                    <w:top w:val="single" w:color="000000" w:sz="4"/>
                    <w:left w:val="single" w:color="000000" w:sz="4"/>
                    <w:bottom w:val="single" w:color="000000" w:sz="4"/>
                    <w:right w:val="single" w:color="000000" w:sz="4"/>
                  </w:tcBorders>
                </w:tcPr>
                <w:p/>
              </w:tc>
              <w:tc>
                <w:tcPr>
                  <w:tcW w:type="dxa" w:w="285"/>
                  <w:vMerge/>
                  <w:tcBorders>
                    <w:top w:val="none" w:color="000000" w:sz="4"/>
                    <w:left w:val="single" w:color="000000" w:sz="4"/>
                    <w:bottom w:val="single" w:color="000000" w:sz="4"/>
                    <w:right w:val="single" w:color="000000" w:sz="4"/>
                  </w:tcBorders>
                </w:tcPr>
                <w:p/>
              </w:tc>
              <w:tc>
                <w:tcPr>
                  <w:tcW w:type="dxa" w:w="426"/>
                  <w:vMerge/>
                  <w:tcBorders>
                    <w:top w:val="single" w:color="000000" w:sz="4"/>
                    <w:left w:val="none" w:color="000000" w:sz="4"/>
                    <w:bottom w:val="single" w:color="000000" w:sz="4"/>
                    <w:right w:val="single" w:color="000000" w:sz="4"/>
                  </w:tcBorders>
                </w:tcPr>
                <w:p/>
              </w:tc>
              <w:tc>
                <w:tcPr>
                  <w:tcW w:type="dxa" w:w="27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长</w:t>
                  </w:r>
                </w:p>
              </w:tc>
              <w:tc>
                <w:tcPr>
                  <w:tcW w:type="dxa" w:w="27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宽</w:t>
                  </w:r>
                </w:p>
              </w:tc>
              <w:tc>
                <w:tcPr>
                  <w:tcW w:type="dxa" w:w="27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高</w:t>
                  </w:r>
                </w:p>
              </w:tc>
              <w:tc>
                <w:tcPr>
                  <w:tcW w:type="dxa" w:w="413"/>
                  <w:vMerge/>
                  <w:tcBorders>
                    <w:top w:val="single" w:color="000000" w:sz="4"/>
                    <w:left w:val="none" w:color="000000" w:sz="4"/>
                    <w:bottom w:val="single" w:color="000000" w:sz="4"/>
                    <w:right w:val="single" w:color="000000" w:sz="4"/>
                  </w:tcBorders>
                </w:tcPr>
                <w:p/>
              </w:tc>
              <w:tc>
                <w:tcPr>
                  <w:tcW w:type="dxa" w:w="215"/>
                  <w:vMerge/>
                  <w:tcBorders>
                    <w:top w:val="single" w:color="000000" w:sz="4"/>
                    <w:left w:val="none" w:color="000000" w:sz="4"/>
                    <w:bottom w:val="single" w:color="000000" w:sz="4"/>
                    <w:right w:val="single" w:color="000000" w:sz="4"/>
                  </w:tcBorders>
                </w:tcPr>
                <w:p/>
              </w:tc>
            </w:tr>
            <w:tr>
              <w:tc>
                <w:tcPr>
                  <w:tcW w:type="dxa" w:w="20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款式一</w:t>
                  </w:r>
                </w:p>
              </w:tc>
              <w:tc>
                <w:tcPr>
                  <w:tcW w:type="dxa" w:w="4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花岗岩、</w:t>
                  </w:r>
                </w:p>
                <w:p>
                  <w:pPr>
                    <w:pStyle w:val="null3"/>
                    <w:jc w:val="center"/>
                  </w:pPr>
                  <w:r>
                    <w:rPr>
                      <w:rFonts w:ascii="仿宋_GB2312" w:hAnsi="仿宋_GB2312" w:cs="仿宋_GB2312" w:eastAsia="仿宋_GB2312"/>
                      <w:sz w:val="21"/>
                    </w:rPr>
                    <w:t>山西黑</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930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690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1200</w:t>
                  </w:r>
                </w:p>
              </w:tc>
              <w:tc>
                <w:tcPr>
                  <w:tcW w:type="dxa" w:w="4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造型设计、雕刻</w:t>
                  </w:r>
                  <w:r>
                    <w:rPr>
                      <w:rFonts w:ascii="仿宋_GB2312" w:hAnsi="仿宋_GB2312" w:cs="仿宋_GB2312" w:eastAsia="仿宋_GB2312"/>
                      <w:sz w:val="21"/>
                    </w:rPr>
                    <w:t>图案</w:t>
                  </w:r>
                </w:p>
              </w:tc>
              <w:tc>
                <w:tcPr>
                  <w:tcW w:type="dxa" w:w="21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6500</w:t>
                  </w:r>
                </w:p>
              </w:tc>
            </w:tr>
            <w:tr>
              <w:tc>
                <w:tcPr>
                  <w:tcW w:type="dxa" w:w="20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款式二</w:t>
                  </w:r>
                </w:p>
              </w:tc>
              <w:tc>
                <w:tcPr>
                  <w:tcW w:type="dxa" w:w="4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花岗岩、</w:t>
                  </w:r>
                </w:p>
                <w:p>
                  <w:pPr>
                    <w:pStyle w:val="null3"/>
                    <w:jc w:val="center"/>
                  </w:pPr>
                  <w:r>
                    <w:rPr>
                      <w:rFonts w:ascii="仿宋_GB2312" w:hAnsi="仿宋_GB2312" w:cs="仿宋_GB2312" w:eastAsia="仿宋_GB2312"/>
                      <w:sz w:val="21"/>
                    </w:rPr>
                    <w:t>山西黑</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1040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840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1450</w:t>
                  </w:r>
                </w:p>
              </w:tc>
              <w:tc>
                <w:tcPr>
                  <w:tcW w:type="dxa" w:w="4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造型设计</w:t>
                  </w:r>
                </w:p>
              </w:tc>
              <w:tc>
                <w:tcPr>
                  <w:tcW w:type="dxa" w:w="21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8650</w:t>
                  </w:r>
                </w:p>
              </w:tc>
            </w:tr>
            <w:tr>
              <w:tc>
                <w:tcPr>
                  <w:tcW w:type="dxa" w:w="20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款式三</w:t>
                  </w:r>
                </w:p>
              </w:tc>
              <w:tc>
                <w:tcPr>
                  <w:tcW w:type="dxa" w:w="4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花岗岩</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160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140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560</w:t>
                  </w:r>
                </w:p>
              </w:tc>
              <w:tc>
                <w:tcPr>
                  <w:tcW w:type="dxa" w:w="4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雕刻图案</w:t>
                  </w:r>
                </w:p>
              </w:tc>
              <w:tc>
                <w:tcPr>
                  <w:tcW w:type="dxa" w:w="21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2250</w:t>
                  </w:r>
                </w:p>
              </w:tc>
            </w:tr>
            <w:tr>
              <w:tc>
                <w:tcPr>
                  <w:tcW w:type="dxa" w:w="20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款式四</w:t>
                  </w:r>
                </w:p>
              </w:tc>
              <w:tc>
                <w:tcPr>
                  <w:tcW w:type="dxa" w:w="4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花岗岩</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140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140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520</w:t>
                  </w:r>
                </w:p>
              </w:tc>
              <w:tc>
                <w:tcPr>
                  <w:tcW w:type="dxa" w:w="4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造型设计</w:t>
                  </w:r>
                </w:p>
              </w:tc>
              <w:tc>
                <w:tcPr>
                  <w:tcW w:type="dxa" w:w="21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410</w:t>
                  </w:r>
                </w:p>
              </w:tc>
            </w:tr>
            <w:tr>
              <w:tc>
                <w:tcPr>
                  <w:tcW w:type="dxa" w:w="20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款式五</w:t>
                  </w:r>
                </w:p>
              </w:tc>
              <w:tc>
                <w:tcPr>
                  <w:tcW w:type="dxa" w:w="4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花岗岩</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1140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300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20</w:t>
                  </w:r>
                </w:p>
              </w:tc>
              <w:tc>
                <w:tcPr>
                  <w:tcW w:type="dxa" w:w="4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一面光</w:t>
                  </w:r>
                </w:p>
              </w:tc>
              <w:tc>
                <w:tcPr>
                  <w:tcW w:type="dxa" w:w="21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170</w:t>
                  </w:r>
                </w:p>
              </w:tc>
            </w:tr>
            <w:tr>
              <w:tc>
                <w:tcPr>
                  <w:tcW w:type="dxa" w:w="20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tc>
              <w:tc>
                <w:tcPr>
                  <w:tcW w:type="dxa" w:w="2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款式六</w:t>
                  </w:r>
                </w:p>
              </w:tc>
              <w:tc>
                <w:tcPr>
                  <w:tcW w:type="dxa" w:w="42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山西黑</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660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80</w:t>
                  </w:r>
                </w:p>
              </w:tc>
              <w:tc>
                <w:tcPr>
                  <w:tcW w:type="dxa" w:w="27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890</w:t>
                  </w:r>
                </w:p>
              </w:tc>
              <w:tc>
                <w:tcPr>
                  <w:tcW w:type="dxa" w:w="41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造型设计</w:t>
                  </w:r>
                </w:p>
              </w:tc>
              <w:tc>
                <w:tcPr>
                  <w:tcW w:type="dxa" w:w="21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2200</w:t>
                  </w:r>
                </w:p>
              </w:tc>
            </w:tr>
            <w:tr>
              <w:tc>
                <w:tcPr>
                  <w:tcW w:type="dxa" w:w="2532"/>
                  <w:gridSpan w:val="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60"/>
                    <w:jc w:val="center"/>
                  </w:pPr>
                  <w:r>
                    <w:rPr>
                      <w:rFonts w:ascii="仿宋_GB2312" w:hAnsi="仿宋_GB2312" w:cs="仿宋_GB2312" w:eastAsia="仿宋_GB2312"/>
                      <w:sz w:val="21"/>
                      <w:b/>
                    </w:rPr>
                    <w:t>参考图片：</w:t>
                  </w:r>
                </w:p>
                <w:p>
                  <w:pPr>
                    <w:pStyle w:val="null3"/>
                    <w:spacing w:before="60"/>
                    <w:jc w:val="center"/>
                  </w:pPr>
                  <w:r>
                    <w:drawing>
                      <wp:inline distT="0" distR="0" distB="0" distL="0">
                        <wp:extent cx="1470660" cy="920947"/>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1470660" cy="920947"/>
                                </a:xfrm>
                                <a:prstGeom prst="rect">
                                  <a:avLst/>
                                </a:prstGeom>
                              </pic:spPr>
                            </pic:pic>
                          </a:graphicData>
                        </a:graphic>
                      </wp:inline>
                    </w:drawing>
                  </w:r>
                </w:p>
                <w:p>
                  <w:pPr>
                    <w:pStyle w:val="null3"/>
                    <w:spacing w:before="60"/>
                    <w:jc w:val="center"/>
                  </w:pPr>
                  <w:r>
                    <w:drawing>
                      <wp:inline distT="0" distR="0" distB="0" distL="0">
                        <wp:extent cx="1470660" cy="1710876"/>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1470660" cy="1710876"/>
                                </a:xfrm>
                                <a:prstGeom prst="rect">
                                  <a:avLst/>
                                </a:prstGeom>
                              </pic:spPr>
                            </pic:pic>
                          </a:graphicData>
                        </a:graphic>
                      </wp:inline>
                    </w:drawing>
                  </w:r>
                  <w:r>
                    <w:drawing>
                      <wp:inline distT="0" distR="0" distB="0" distL="0">
                        <wp:extent cx="1470660" cy="1458988"/>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1470660" cy="1458988"/>
                                </a:xfrm>
                                <a:prstGeom prst="rect">
                                  <a:avLst/>
                                </a:prstGeom>
                              </pic:spPr>
                            </pic:pic>
                          </a:graphicData>
                        </a:graphic>
                      </wp:inline>
                    </w:drawing>
                  </w:r>
                  <w:r>
                    <w:drawing>
                      <wp:inline distT="0" distR="0" distB="0" distL="0">
                        <wp:extent cx="1470660" cy="740986"/>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4"/>
                                <a:stretch>
                                  <a:fillRect/>
                                </a:stretch>
                              </pic:blipFill>
                              <pic:spPr>
                                <a:xfrm>
                                  <a:off x="0" y="0"/>
                                  <a:ext cx="1470660" cy="740986"/>
                                </a:xfrm>
                                <a:prstGeom prst="rect">
                                  <a:avLst/>
                                </a:prstGeom>
                              </pic:spPr>
                            </pic:pic>
                          </a:graphicData>
                        </a:graphic>
                      </wp:inline>
                    </w:drawing>
                  </w:r>
                </w:p>
              </w:tc>
            </w:tr>
            <w:tr>
              <w:tc>
                <w:tcPr>
                  <w:tcW w:type="dxa" w:w="2532"/>
                  <w:gridSpan w:val="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60"/>
                    <w:jc w:val="left"/>
                  </w:pPr>
                  <w:r>
                    <w:rPr>
                      <w:rFonts w:ascii="仿宋_GB2312" w:hAnsi="仿宋_GB2312" w:cs="仿宋_GB2312" w:eastAsia="仿宋_GB2312"/>
                      <w:sz w:val="19"/>
                      <w:b/>
                    </w:rPr>
                    <w:t>样品（小样）要求</w:t>
                  </w:r>
                </w:p>
                <w:p>
                  <w:pPr>
                    <w:pStyle w:val="null3"/>
                    <w:spacing w:before="60"/>
                    <w:jc w:val="left"/>
                  </w:pPr>
                  <w:r>
                    <w:rPr>
                      <w:rFonts w:ascii="仿宋_GB2312" w:hAnsi="仿宋_GB2312" w:cs="仿宋_GB2312" w:eastAsia="仿宋_GB2312"/>
                      <w:sz w:val="24"/>
                      <w:b/>
                    </w:rPr>
                    <w:t>本项目供应商无需提交完整成品，仅需按本包全部款式</w:t>
                  </w:r>
                  <w:r>
                    <w:rPr>
                      <w:rFonts w:ascii="仿宋_GB2312" w:hAnsi="仿宋_GB2312" w:cs="仿宋_GB2312" w:eastAsia="仿宋_GB2312"/>
                      <w:sz w:val="24"/>
                      <w:b/>
                    </w:rPr>
                    <w:t>涉及的</w:t>
                  </w:r>
                  <w:r>
                    <w:rPr>
                      <w:rFonts w:ascii="仿宋_GB2312" w:hAnsi="仿宋_GB2312" w:cs="仿宋_GB2312" w:eastAsia="仿宋_GB2312"/>
                      <w:sz w:val="24"/>
                      <w:b/>
                    </w:rPr>
                    <w:t>石材</w:t>
                  </w:r>
                  <w:r>
                    <w:rPr>
                      <w:rFonts w:ascii="仿宋_GB2312" w:hAnsi="仿宋_GB2312" w:cs="仿宋_GB2312" w:eastAsia="仿宋_GB2312"/>
                      <w:sz w:val="24"/>
                      <w:b/>
                    </w:rPr>
                    <w:t>制作平板</w:t>
                  </w:r>
                  <w:r>
                    <w:rPr>
                      <w:rFonts w:ascii="仿宋_GB2312" w:hAnsi="仿宋_GB2312" w:cs="仿宋_GB2312" w:eastAsia="仿宋_GB2312"/>
                      <w:sz w:val="24"/>
                      <w:b/>
                    </w:rPr>
                    <w:t>小样</w:t>
                  </w:r>
                  <w:r>
                    <w:rPr>
                      <w:rFonts w:ascii="仿宋_GB2312" w:hAnsi="仿宋_GB2312" w:cs="仿宋_GB2312" w:eastAsia="仿宋_GB2312"/>
                      <w:sz w:val="24"/>
                      <w:b/>
                    </w:rPr>
                    <w:t xml:space="preserve">1 </w:t>
                  </w:r>
                  <w:r>
                    <w:rPr>
                      <w:rFonts w:ascii="仿宋_GB2312" w:hAnsi="仿宋_GB2312" w:cs="仿宋_GB2312" w:eastAsia="仿宋_GB2312"/>
                      <w:sz w:val="24"/>
                      <w:b/>
                    </w:rPr>
                    <w:t>件</w:t>
                  </w:r>
                  <w:r>
                    <w:rPr>
                      <w:rFonts w:ascii="仿宋_GB2312" w:hAnsi="仿宋_GB2312" w:cs="仿宋_GB2312" w:eastAsia="仿宋_GB2312"/>
                      <w:sz w:val="24"/>
                      <w:b/>
                    </w:rPr>
                    <w:t>、</w:t>
                  </w:r>
                  <w:r>
                    <w:rPr>
                      <w:rFonts w:ascii="仿宋_GB2312" w:hAnsi="仿宋_GB2312" w:cs="仿宋_GB2312" w:eastAsia="仿宋_GB2312"/>
                      <w:sz w:val="24"/>
                      <w:b/>
                    </w:rPr>
                    <w:t>雕刻造型小样</w:t>
                  </w:r>
                  <w:r>
                    <w:rPr>
                      <w:rFonts w:ascii="仿宋_GB2312" w:hAnsi="仿宋_GB2312" w:cs="仿宋_GB2312" w:eastAsia="仿宋_GB2312"/>
                      <w:sz w:val="24"/>
                      <w:b/>
                    </w:rPr>
                    <w:t>1件</w:t>
                  </w:r>
                </w:p>
                <w:p>
                  <w:pPr>
                    <w:pStyle w:val="null3"/>
                    <w:spacing w:before="60"/>
                    <w:ind w:firstLine="381"/>
                    <w:jc w:val="left"/>
                  </w:pPr>
                  <w:r>
                    <w:rPr>
                      <w:rFonts w:ascii="仿宋_GB2312" w:hAnsi="仿宋_GB2312" w:cs="仿宋_GB2312" w:eastAsia="仿宋_GB2312"/>
                      <w:sz w:val="24"/>
                      <w:b/>
                    </w:rPr>
                    <w:t>1.平板板材类：小样尺寸200mm×150mm×20mm，板材抛光、倒角工艺与成品保持一致</w:t>
                  </w:r>
                  <w:r>
                    <w:rPr>
                      <w:rFonts w:ascii="仿宋_GB2312" w:hAnsi="仿宋_GB2312" w:cs="仿宋_GB2312" w:eastAsia="仿宋_GB2312"/>
                      <w:sz w:val="24"/>
                      <w:b/>
                    </w:rPr>
                    <w:t>（</w:t>
                  </w:r>
                  <w:r>
                    <w:rPr>
                      <w:rFonts w:ascii="仿宋_GB2312" w:hAnsi="仿宋_GB2312" w:cs="仿宋_GB2312" w:eastAsia="仿宋_GB2312"/>
                      <w:sz w:val="24"/>
                      <w:b/>
                    </w:rPr>
                    <w:t>每种石材各做一件</w:t>
                  </w:r>
                  <w:r>
                    <w:rPr>
                      <w:rFonts w:ascii="仿宋_GB2312" w:hAnsi="仿宋_GB2312" w:cs="仿宋_GB2312" w:eastAsia="仿宋_GB2312"/>
                      <w:sz w:val="24"/>
                      <w:b/>
                    </w:rPr>
                    <w:t>）</w:t>
                  </w:r>
                  <w:r>
                    <w:rPr>
                      <w:rFonts w:ascii="仿宋_GB2312" w:hAnsi="仿宋_GB2312" w:cs="仿宋_GB2312" w:eastAsia="仿宋_GB2312"/>
                      <w:sz w:val="24"/>
                      <w:b/>
                    </w:rPr>
                    <w:t>；</w:t>
                  </w:r>
                </w:p>
                <w:p>
                  <w:pPr>
                    <w:pStyle w:val="null3"/>
                    <w:spacing w:before="60"/>
                    <w:ind w:firstLine="381"/>
                    <w:jc w:val="left"/>
                  </w:pPr>
                  <w:r>
                    <w:rPr>
                      <w:rFonts w:ascii="仿宋_GB2312" w:hAnsi="仿宋_GB2312" w:cs="仿宋_GB2312" w:eastAsia="仿宋_GB2312"/>
                      <w:sz w:val="24"/>
                      <w:b/>
                    </w:rPr>
                    <w:t xml:space="preserve">2.雕刻造型墓碑类：制作高度200mm </w:t>
                  </w:r>
                  <w:r>
                    <w:rPr>
                      <w:rFonts w:ascii="仿宋_GB2312" w:hAnsi="仿宋_GB2312" w:cs="仿宋_GB2312" w:eastAsia="仿宋_GB2312"/>
                      <w:sz w:val="24"/>
                      <w:b/>
                    </w:rPr>
                    <w:t>*50mm*60mm</w:t>
                  </w:r>
                  <w:r>
                    <w:rPr>
                      <w:rFonts w:ascii="仿宋_GB2312" w:hAnsi="仿宋_GB2312" w:cs="仿宋_GB2312" w:eastAsia="仿宋_GB2312"/>
                      <w:sz w:val="24"/>
                      <w:b/>
                    </w:rPr>
                    <w:t>浮雕</w:t>
                  </w:r>
                  <w:r>
                    <w:rPr>
                      <w:rFonts w:ascii="仿宋_GB2312" w:hAnsi="仿宋_GB2312" w:cs="仿宋_GB2312" w:eastAsia="仿宋_GB2312"/>
                      <w:sz w:val="24"/>
                      <w:b/>
                    </w:rPr>
                    <w:t>精雕狮子</w:t>
                  </w:r>
                  <w:r>
                    <w:rPr>
                      <w:rFonts w:ascii="仿宋_GB2312" w:hAnsi="仿宋_GB2312" w:cs="仿宋_GB2312" w:eastAsia="仿宋_GB2312"/>
                      <w:sz w:val="24"/>
                      <w:b/>
                    </w:rPr>
                    <w:t>小样</w:t>
                  </w:r>
                  <w:r>
                    <w:rPr>
                      <w:rFonts w:ascii="仿宋_GB2312" w:hAnsi="仿宋_GB2312" w:cs="仿宋_GB2312" w:eastAsia="仿宋_GB2312"/>
                      <w:sz w:val="24"/>
                      <w:b/>
                    </w:rPr>
                    <w:t>1对</w:t>
                  </w:r>
                  <w:r>
                    <w:rPr>
                      <w:rFonts w:ascii="仿宋_GB2312" w:hAnsi="仿宋_GB2312" w:cs="仿宋_GB2312" w:eastAsia="仿宋_GB2312"/>
                      <w:sz w:val="24"/>
                      <w:b/>
                    </w:rPr>
                    <w:t>，完整还原造型、雕刻纹路，石材统一为山西黑花岗岩一体加工，不得拼接、染色。</w:t>
                  </w:r>
                </w:p>
                <w:p>
                  <w:pPr>
                    <w:pStyle w:val="null3"/>
                    <w:spacing w:before="60"/>
                    <w:ind w:firstLine="381"/>
                    <w:jc w:val="left"/>
                  </w:pPr>
                  <w:r>
                    <w:rPr>
                      <w:rFonts w:ascii="仿宋_GB2312" w:hAnsi="仿宋_GB2312" w:cs="仿宋_GB2312" w:eastAsia="仿宋_GB2312"/>
                      <w:sz w:val="24"/>
                      <w:b/>
                    </w:rPr>
                    <w:t>3.所有小样无裂纹、砂眼、杂色，色泽、加工工艺必须和后期供货成品一致，禁止使用替代石料。</w:t>
                  </w:r>
                </w:p>
                <w:p>
                  <w:pPr>
                    <w:pStyle w:val="null3"/>
                    <w:spacing w:before="60"/>
                    <w:jc w:val="left"/>
                  </w:pPr>
                  <w:r>
                    <w:rPr>
                      <w:rFonts w:ascii="仿宋_GB2312" w:hAnsi="仿宋_GB2312" w:cs="仿宋_GB2312" w:eastAsia="仿宋_GB2312"/>
                      <w:sz w:val="19"/>
                      <w:b/>
                    </w:rPr>
                    <w:t>（二）样品提交方式</w:t>
                  </w:r>
                </w:p>
                <w:p>
                  <w:pPr>
                    <w:pStyle w:val="null3"/>
                    <w:spacing w:before="60"/>
                    <w:ind w:firstLine="381"/>
                    <w:jc w:val="left"/>
                  </w:pPr>
                  <w:r>
                    <w:rPr>
                      <w:rFonts w:ascii="仿宋_GB2312" w:hAnsi="仿宋_GB2312" w:cs="仿宋_GB2312" w:eastAsia="仿宋_GB2312"/>
                      <w:sz w:val="19"/>
                      <w:b/>
                    </w:rPr>
                    <w:t>1.递交时限、地点及密封要求：须在提交响应文件截止时间前，将小样送至西安市经济技术开发区凤城五路 123 号秦创原软科中心 A 座 20 层陕西金泽盛业项目管理有限公司会议室，逾期未递交视为放弃样品提交；小样整体密封封装，外包装标注项目名称、供应商名称、采购包号、样品递交清单，密封封口处须加盖供应商公章。</w:t>
                  </w:r>
                </w:p>
                <w:p>
                  <w:pPr>
                    <w:pStyle w:val="null3"/>
                    <w:spacing w:before="60"/>
                    <w:ind w:firstLine="381"/>
                    <w:jc w:val="left"/>
                  </w:pPr>
                  <w:r>
                    <w:rPr>
                      <w:rFonts w:ascii="仿宋_GB2312" w:hAnsi="仿宋_GB2312" w:cs="仿宋_GB2312" w:eastAsia="仿宋_GB2312"/>
                      <w:sz w:val="19"/>
                      <w:b/>
                    </w:rPr>
                    <w:t>2.评审规则：样品作为评审打分依据，未按要求提供样品或小样款式不全的，对应评审项不得分，但不影响投标文件有效性。</w:t>
                  </w:r>
                </w:p>
                <w:p>
                  <w:pPr>
                    <w:pStyle w:val="null3"/>
                    <w:spacing w:before="60"/>
                    <w:ind w:firstLine="381"/>
                    <w:jc w:val="left"/>
                  </w:pPr>
                  <w:r>
                    <w:rPr>
                      <w:rFonts w:ascii="仿宋_GB2312" w:hAnsi="仿宋_GB2312" w:cs="仿宋_GB2312" w:eastAsia="仿宋_GB2312"/>
                      <w:sz w:val="19"/>
                      <w:b/>
                    </w:rPr>
                    <w:t>3.封存、退还及履约约束：开标大会结束后所有小样统一封存；公示期结束后，退还未成交供应商小样；成交供应商小样不予退还，由采购人留存并作为合同验收依据。若成交后供货石材与小样材质、色泽、工艺标准不一致，采购人有权追究供应商全部违约责任及经济赔偿。</w:t>
                  </w:r>
                </w:p>
              </w:tc>
            </w:tr>
          </w:tbl>
          <w:p/>
        </w:tc>
      </w:tr>
    </w:tbl>
    <w:p>
      <w:pPr>
        <w:pStyle w:val="null3"/>
        <w:outlineLvl w:val="2"/>
      </w:pPr>
      <w:r>
        <w:rPr>
          <w:rFonts w:ascii="仿宋_GB2312" w:hAnsi="仿宋_GB2312" w:cs="仿宋_GB2312" w:eastAsia="仿宋_GB2312"/>
          <w:sz w:val="28"/>
          <w:b/>
        </w:rPr>
        <w:t>3.4商务要求</w:t>
      </w:r>
    </w:p>
    <w:p>
      <w:pPr>
        <w:pStyle w:val="null3"/>
        <w:outlineLvl w:val="3"/>
      </w:pPr>
      <w:r>
        <w:rPr>
          <w:rFonts w:ascii="仿宋_GB2312" w:hAnsi="仿宋_GB2312" w:cs="仿宋_GB2312" w:eastAsia="仿宋_GB2312"/>
          <w:sz w:val="24"/>
          <w:b/>
        </w:rPr>
        <w:t xml:space="preserve"> 3.4.1交货时间</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自合同签订之日起一年（供货时间：采购人提出供货要求后，7日内完成该批次供货）。</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自合同签订之日起一年（供货时间：采购人提出供货要求后，7日内完成该批次供货）。</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自合同签订之日起一年。</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合同签订后一年或累计结算金额到达采购预算，以先到达者为准。</w:t>
      </w:r>
    </w:p>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合同签订后一年或累计结算金额到达采购预算，以先到达者为准。</w:t>
      </w:r>
    </w:p>
    <w:p>
      <w:pPr>
        <w:pStyle w:val="null3"/>
        <w:outlineLvl w:val="3"/>
      </w:pPr>
      <w:r>
        <w:rPr>
          <w:rFonts w:ascii="仿宋_GB2312" w:hAnsi="仿宋_GB2312" w:cs="仿宋_GB2312" w:eastAsia="仿宋_GB2312"/>
          <w:sz w:val="24"/>
          <w:b/>
        </w:rPr>
        <w:t>3.4.2交货地点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西安市奉正塬殡仪馆（采购人指定地点）。</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西安市奉正塬殡仪馆（采购人指定地点）。</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西安市奉正塬殡仪馆（采购人指定地点）。</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西安市奉正塬殡仪馆（采购人指定地点）。</w:t>
      </w:r>
    </w:p>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西安市奉正塬殡仪馆（采购人指定地点）。</w:t>
      </w:r>
    </w:p>
    <w:p>
      <w:pPr>
        <w:pStyle w:val="null3"/>
        <w:outlineLvl w:val="3"/>
      </w:pPr>
      <w:r>
        <w:rPr>
          <w:rFonts w:ascii="仿宋_GB2312" w:hAnsi="仿宋_GB2312" w:cs="仿宋_GB2312" w:eastAsia="仿宋_GB2312"/>
          <w:sz w:val="24"/>
          <w:b/>
        </w:rPr>
        <w:t>3.4.3支付方式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一次付清</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一次付清</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一次付清</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一次付清</w:t>
      </w:r>
    </w:p>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一次付清</w:t>
      </w:r>
    </w:p>
    <w:p>
      <w:pPr>
        <w:pStyle w:val="null3"/>
        <w:outlineLvl w:val="3"/>
      </w:pPr>
      <w:r>
        <w:rPr>
          <w:rFonts w:ascii="仿宋_GB2312" w:hAnsi="仿宋_GB2312" w:cs="仿宋_GB2312" w:eastAsia="仿宋_GB2312"/>
          <w:sz w:val="24"/>
          <w:b/>
        </w:rPr>
        <w:t>3.4.4支付约定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进度款，付款条件说明：（1）货物全部运到采购人指定地方，经采购人验收合格后，持验收合格单在买方处办理货款的支付手续，每次验收合格后，验收合格单需甲乙双方验收人员签字，双方盖章。 （2）合同单价已包含产品包装、人工、装卸搬运、运输、不合格货物退换、各项税费及合同履约全过程全部不可预见费用；各季度结算金额按当期实际供货数量 × 中标单价计算。乙方将货物送达采购人指定地点，经甲乙双方验收人员共同签字、双方加盖公章出具验收合格单后方可启动付款流程，每期付款前乙方须向甲方开具等额增值税专用发票，甲方自满足全部付款条件之日起 60 日内完成款项支付。各季度付款比例为：第一季度供货验收完成支付合同总金额 40%，第二季度供货验收完成支付合同总金额 20%，第三季度供货验收完成支付合同总金额 20%，第四季度供货验收完成支付合同总金额 20%。，达到付款条件起60个工作日内，支付合同总金额的100.0%</w:t>
      </w:r>
    </w:p>
    <w:p>
      <w:pPr>
        <w:pStyle w:val="null3"/>
      </w:pPr>
      <w:r>
        <w:rPr>
          <w:rFonts w:ascii="仿宋_GB2312" w:hAnsi="仿宋_GB2312" w:cs="仿宋_GB2312" w:eastAsia="仿宋_GB2312"/>
        </w:rPr>
        <w:t>采购包2：</w:t>
      </w:r>
    </w:p>
    <w:p>
      <w:pPr>
        <w:pStyle w:val="null3"/>
        <w:ind w:firstLine="1200"/>
      </w:pPr>
      <w:r>
        <w:rPr>
          <w:rFonts w:ascii="仿宋_GB2312" w:hAnsi="仿宋_GB2312" w:cs="仿宋_GB2312" w:eastAsia="仿宋_GB2312"/>
        </w:rPr>
        <w:t>1、</w:t>
      </w:r>
      <w:r>
        <w:rPr>
          <w:rFonts w:ascii="仿宋_GB2312" w:hAnsi="仿宋_GB2312" w:cs="仿宋_GB2312" w:eastAsia="仿宋_GB2312"/>
        </w:rPr>
        <w:t>进度款，付款条件说明：（1）货物全部运到采购人指定地方，经采购人验收合格后，持验收合格单在买方处办理货款的支付手续，每次验收合格后，验收合格单需甲乙双方验收人员签字，双方盖章。 （2）合同单价已包含产品包装、人工、装卸搬运、运输、不合格货物退换、各项税费及合同履约全过程全部不可预见费用；各季度结算金额按当期实际供货数量 × 中标单价计算。乙方将货物送达采购人指定地点，经甲乙双方验收人员共同签字、双方加盖公章出具验收合格单后方可启动付款流程，每期付款前乙方须向甲方开具等额增值税专用发票，甲方自满足全部付款条件之日起 60 日内完成款项支付。各季度付款比例为：第一季度供货验收完成支付合同总金额 40%，第二季度供货验收完成支付合同总金额 20%，第三季度供货验收完成支付合同总金额 20%，第四季度供货验收完成支付合同总金额 20%。，达到付款条件起60个工作日内，支付合同总金额的100.0%</w:t>
      </w:r>
    </w:p>
    <w:p>
      <w:pPr>
        <w:pStyle w:val="null3"/>
      </w:pPr>
      <w:r>
        <w:rPr>
          <w:rFonts w:ascii="仿宋_GB2312" w:hAnsi="仿宋_GB2312" w:cs="仿宋_GB2312" w:eastAsia="仿宋_GB2312"/>
        </w:rPr>
        <w:t>采购包3：</w:t>
      </w:r>
    </w:p>
    <w:p>
      <w:pPr>
        <w:pStyle w:val="null3"/>
        <w:ind w:firstLine="1200"/>
      </w:pPr>
      <w:r>
        <w:rPr>
          <w:rFonts w:ascii="仿宋_GB2312" w:hAnsi="仿宋_GB2312" w:cs="仿宋_GB2312" w:eastAsia="仿宋_GB2312"/>
        </w:rPr>
        <w:t>1、</w:t>
      </w:r>
      <w:r>
        <w:rPr>
          <w:rFonts w:ascii="仿宋_GB2312" w:hAnsi="仿宋_GB2312" w:cs="仿宋_GB2312" w:eastAsia="仿宋_GB2312"/>
        </w:rPr>
        <w:t>进度款，付款条件说明：（1）货物全部运到采购人指定地方，经采购人验收合格后，持验收合格单在买方处办理货款的支付手续，每次验收合格后，验收合格单需甲乙双方验收人员签字，双方盖章。（2）按各季度实际供货数量结合中标单价核算当期应结算款项；乙方将货物运送至采购人指定地点，经甲乙双方验收人员共同签字并加盖双方公章出具验收合格单后，方可办理付款手续，每一期付款前乙方须向甲方开具对应付款金额等额增值税专用发票，甲方自满足付款条件之日起 60 日内完成支付，各季度付款比例如下：第一季度供货验收完成后支付合同总金额 30%，第二季度供货验收完成后支付合同总金额 24%，第三季度供货验收完成后支付合同总金额 24%，第四季度供货验收完成后支付合同总金额 22%。，达到付款条件起60个工作日内，支付合同总金额的100.0%</w:t>
      </w:r>
    </w:p>
    <w:p>
      <w:pPr>
        <w:pStyle w:val="null3"/>
      </w:pPr>
      <w:r>
        <w:rPr>
          <w:rFonts w:ascii="仿宋_GB2312" w:hAnsi="仿宋_GB2312" w:cs="仿宋_GB2312" w:eastAsia="仿宋_GB2312"/>
        </w:rPr>
        <w:t>采购包4：</w:t>
      </w:r>
    </w:p>
    <w:p>
      <w:pPr>
        <w:pStyle w:val="null3"/>
        <w:ind w:firstLine="1200"/>
      </w:pPr>
      <w:r>
        <w:rPr>
          <w:rFonts w:ascii="仿宋_GB2312" w:hAnsi="仿宋_GB2312" w:cs="仿宋_GB2312" w:eastAsia="仿宋_GB2312"/>
        </w:rPr>
        <w:t>1、</w:t>
      </w:r>
      <w:r>
        <w:rPr>
          <w:rFonts w:ascii="仿宋_GB2312" w:hAnsi="仿宋_GB2312" w:cs="仿宋_GB2312" w:eastAsia="仿宋_GB2312"/>
        </w:rPr>
        <w:t>进度款，付款条件说明：（1）货物全部运到采购人指定地方，经采购人验收合格后，持验收合格单在买方处办理货款的支付手续，每次验收合格后，验收合格单需甲乙双方验收人员签字，双方盖章。（2）合同单价包含产品包装、人工、装卸搬运、运输、不合格货物退换、各类税费及履约全过程全部不可预见费用，结算以各季度实际供货数量 × 中标单价核算；乙方将货物运送至采购人指定地点并经甲乙双方验收人员共同签字、双方加盖公章出具验收合格单后，方可办理付款，各节点付款前乙方须向甲方开具对应付款金额等额增值税专用发票，甲方自满足付款条件之日起 30 日内完成款项支付：第一季度供货验收完成后支付合同总金额 40%，第二季度供货验收完成后支付合同总金额 20%，第三季度供货验收完成后支付合同总金额 20%，第四季度供货验收完成后支付合同总金额 20%。，达到付款条件起60个工作日内，支付合同总金额的100.0%</w:t>
      </w:r>
    </w:p>
    <w:p>
      <w:pPr>
        <w:pStyle w:val="null3"/>
      </w:pPr>
      <w:r>
        <w:rPr>
          <w:rFonts w:ascii="仿宋_GB2312" w:hAnsi="仿宋_GB2312" w:cs="仿宋_GB2312" w:eastAsia="仿宋_GB2312"/>
        </w:rPr>
        <w:t>采购包5：</w:t>
      </w:r>
    </w:p>
    <w:p>
      <w:pPr>
        <w:pStyle w:val="null3"/>
        <w:ind w:firstLine="1200"/>
      </w:pPr>
      <w:r>
        <w:rPr>
          <w:rFonts w:ascii="仿宋_GB2312" w:hAnsi="仿宋_GB2312" w:cs="仿宋_GB2312" w:eastAsia="仿宋_GB2312"/>
        </w:rPr>
        <w:t>1、</w:t>
      </w:r>
      <w:r>
        <w:rPr>
          <w:rFonts w:ascii="仿宋_GB2312" w:hAnsi="仿宋_GB2312" w:cs="仿宋_GB2312" w:eastAsia="仿宋_GB2312"/>
        </w:rPr>
        <w:t>进度款，付款条件说明：（1）货物全部运到采购人指定地方，经采购人验收合格后，持验收合格单在买方处办理货款的支付手续，每次验收合格后，验收合格单需甲乙双方验收人员签字，双方盖章。（2）合同单价包含产品包装、人工、装卸搬运、运输、不合格货物退换、各类税费及履约全过程全部不可预见费用，结算以各季度实际供货数量 × 中标单价核算；乙方将货物运送至采购人指定地点并经甲乙双方验收人员共同签字、双方加盖公章出具验收合格单后，方可办理付款，各节点付款前乙方须向甲方开具对应付款金额等额增值税专用发票，甲方自满足付款条件之日起 30 日内完成款项支付：第一季度供货验收完成后支付合同总金额 40%，第二季度供货验收完成后支付合同总金额 20%，第三季度供货验收完成后支付合同总金额 20%，第四季度供货验收完成后支付合同总金额 20%。，达到付款条件起60个工作日内，支付合同总金额的100.0%</w:t>
      </w:r>
    </w:p>
    <w:p>
      <w:pPr>
        <w:pStyle w:val="null3"/>
        <w:outlineLvl w:val="3"/>
      </w:pPr>
      <w:r>
        <w:rPr>
          <w:rFonts w:ascii="仿宋_GB2312" w:hAnsi="仿宋_GB2312" w:cs="仿宋_GB2312" w:eastAsia="仿宋_GB2312"/>
          <w:sz w:val="24"/>
          <w:b/>
        </w:rPr>
        <w:t>3.4.5验收标准和方法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所有产品均严格按签订的政府采购合同执行、以投标人响应和承诺的技术参数及性能和国家强制标准进行验收；验收由中标人、技术人员、采购人一同现场验收，达不到要求的不予验收，视为产品验收不合格，采购单位可解除双方的供货合同。 2、为确保采购人的合法权益，中标人必须配合采购人进行测试，采购人将对所提供产品参数的真实性和实际效果进行验证，通过测试方可验收。在测试过程中如发现有虚假应答行为的，采购人将拒绝验收该产品并报政府采购有关管理部门。</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所有产品均严格按签订的政府采购合同执行、以投标人响应和承诺的技术参数及性能和国家强制标准进行验收；验收由中标人、技术人员、采购人一同现场验收，达不到要求的不予验收，视为产品验收不合格，采购单位可解除双方的供货合同。 2、为确保采购人的合法权益，中标人必须配合采购人进行测试，采购人将对所提供产品参数的真实性和实际效果进行验证，通过测试方可验收。在测试过程中如发现有虚假应答行为的，采购人将拒绝验收该产品并报政府采购有关管理部门。</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项目由采购人负责验收。验收标准：按照招标文件、投标文件、项目检查情况等综合指标进行验收。各项指标均应符合验收标准及要求。验收合格后，填写验收单，双方签字验收。</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1、货物到达采购人指定地点后，采购人根据合同要求，进行验收，确认产地、规格和数量。必要时委托具有相关资质的第三方检测机构或邀请行业内专家对货物外观质量等进行抽样检验，检验费用由中标供应商承担。 2、验收按国家有关的规定、规范结合本项目的各项要求进行。如在验收时发现所提供的货物有损坏和不符合本项目要求的，由参与验收的工作人员作出详尽的现场记录并由相关工作人员和中标方经办人双方签署备案。 3、如因货物的质量、品种样式、用材、技术指标、工艺等问题发生争议的，由质量技术鉴定部门进行鉴定，如经鉴定货物符合要求的，鉴定费由采购人承担；否则鉴定费由中标人承担。 4、验收依据 4.1、招标文件、投标文件、澄清表（函）； 4.2、本合同及附件文本； 4.3、国家相应的标准、规范。</w:t>
      </w:r>
    </w:p>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1、货物到达采购人指定地点后，采购人根据合同要求，进行验收，确认产地、规格和数量。必要时委托具有相关资质的第三方检测机构或邀请行业内专家对货物外观质量等进行抽样检验，检验费用由中标供应商承担。 2、验收按国家有关的规定、规范结合本项目的各项要求进行。如在验收时发现所提供的货物有损坏和不符合本项目要求的，由参与验收的工作人员作出详尽的现场记录并由相关工作人员和中标方经办人双方签署备案。 3、如因货物的质量、品种样式、用材、技术指标、工艺等问题发生争议的，由质量技术鉴定部门进行鉴定，如经鉴定货物符合要求的，鉴定费由采购人承担；否则鉴定费由中标人承担。 4、验收依据 4.1、招标文件、投标文件、澄清表（函）； 4.2、本合同及附件文本； 4.3、国家相应的标准、规范。</w:t>
      </w:r>
    </w:p>
    <w:p>
      <w:pPr>
        <w:pStyle w:val="null3"/>
        <w:outlineLvl w:val="3"/>
      </w:pPr>
      <w:r>
        <w:rPr>
          <w:rFonts w:ascii="仿宋_GB2312" w:hAnsi="仿宋_GB2312" w:cs="仿宋_GB2312" w:eastAsia="仿宋_GB2312"/>
          <w:sz w:val="24"/>
          <w:b/>
        </w:rPr>
        <w:t>3.4.6包装方式及运输</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outlineLvl w:val="3"/>
      </w:pPr>
      <w:r>
        <w:rPr>
          <w:rFonts w:ascii="仿宋_GB2312" w:hAnsi="仿宋_GB2312" w:cs="仿宋_GB2312" w:eastAsia="仿宋_GB2312"/>
          <w:sz w:val="24"/>
          <w:b/>
        </w:rPr>
        <w:t>3.4.7质量保修范围和保修期</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质保期二年，保修期内免费上门维修，非人为原因导致的质量问题，需反时免费更换。 采购包3：供应商所供全部鲜切花及成品花艺，因花材品质、包装运输、制作工艺缺陷产生的萎蔫腐烂、断枝掉瓣、品种规格不符等非人为损坏纳入保修范围，人为外力破坏及质保期满后自然枯萎不在保修之列；每批次鲜花自现场验收合格起保鲜质量保修期不少于 72 小时，服务期内分批次独立计算质保。</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质保期二年，保修期内免费上门维修，非人为原因导致的质量问题，需反时免费更换。 采购包3：供应商所供全部鲜切花及成品花艺，因花材品质、包装运输、制作工艺缺陷产生的萎蔫腐烂、断枝掉瓣、品种规格不符等非人为损坏纳入保修范围，人为外力破坏及质保期满后自然枯萎不在保修之列；每批次鲜花自现场验收合格起保鲜质量保修期不少于 72 小时，服务期内分批次独立计算质保。</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供应商所供全部鲜切花及成品花艺，因花材品质、包装运输、制作工艺缺陷产生的萎蔫腐烂、断枝掉瓣、品种规格不符等非人为损坏纳入保修范围，人为外力破坏及质保期满后自然枯萎不在保修之列；每批次鲜花自现场验收合格起保鲜质量保修期不少于 72 小时，服务期内分批次独立计算质保。</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1、所选原材料必须保证质量可靠、进货渠道正规，符合国家相关标准，并满足招标文件要求。 2、中标供应商所供货物，若发生侵权而产生的一切后果，由中标供应商负责。采购人保留索赔权力。3、质量保修期：自货物出厂之日起12个月，若该质量保证期小于国家标准，则以国家标准为准。质保期内：60天内，如出现质量问题，可以选择换货或退货；60天至90天内，如出现质量问题，可选择换货。4、中标供应商所供货物，若发生侵权而产生的一切后果，由中标供应商负责。采购人保留索赔权力。</w:t>
      </w:r>
    </w:p>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1、所选原材料必须保证质量可靠、进货渠道正规，符合国家相关标准，并满足招标文件要求。 2、中标供应商所供货物，若发生侵权而产生的一切后果，由中标供应商负责。采购人保留索赔权力。3、质量保修期：自货物出厂之日起12个月，若该质量保证期小于国家标准，则以国家标准为准。质保期内：60天内，如出现质量问题，可以选择换货或退货；60天至90天内，如出现质量问题，可选择换货。4、中标供应商所供货物，若发生侵权而产生的一切后果，由中标供应商负责。采购人保留索赔权力。</w:t>
      </w:r>
    </w:p>
    <w:p>
      <w:pPr>
        <w:pStyle w:val="null3"/>
        <w:outlineLvl w:val="3"/>
      </w:pPr>
      <w:r>
        <w:rPr>
          <w:rFonts w:ascii="仿宋_GB2312" w:hAnsi="仿宋_GB2312" w:cs="仿宋_GB2312" w:eastAsia="仿宋_GB2312"/>
          <w:sz w:val="24"/>
          <w:b/>
        </w:rPr>
        <w:t>3.4.8违约责任与解决争议的方法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详见采购文件及拟签订的合同文本</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详见采购文件及拟签订的合同文本</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详见采购文件及拟签订的合同文本</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详见采购文件及拟签订的合同文本</w:t>
      </w:r>
    </w:p>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详见采购文件及拟签订的合同文本</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（一）采购包1、2： （1）质保期及售后服务要求：1、免费送货上门，按国家有关产品“三包”规定执行“三包”，中标人提供的货物必须是全新、完整、未使用过的。在质保期内，所有非故意性损坏以及在所要求的质量标准范围内的其他可能因正常使用造成的损坏均要免费更换，投标产品必须符合国家相关法律法规以及相关标准的要求；2、售后响应：中标人在接到用户售后电话后4小时内响应，24小时内到达现场解决，并免费更换有缺陷的货物，或提供合理的应对方案；3、包装：投标产品均应有良好的防湿、防潮、防雨、防腐及防碰撞等安全措施，凡因包装不良造成的损失由中标人承担；4、质保期：自货物验收合格之日起，不少于2年。 （2）其他要求：1、本项目采用固定单价方式。投标人所填报的各种规格货物的单价在合同实施期间不因市场价格变化因素及实际供货批次的数量而变动，投标人在报价时应考虑各种风险因素和自己的承受能力。本项目的最终结算以合同双方确定的各货物的实际用量为依据。2、投标人必须在投标文件中附上所投产品相应款式的彩色图片，并在彩色图片下方注明货物的类别及款式。3、外包装采用硬纸板或者泡沫箱，表面平整，不松动，承压力大，能码放4层或以上，每个货物均采用独立包装，并在表面贴签标注产品品名，外包装印刷上产品品名（或用贴签标注）须与包装内的货物一致。4、中标人需提供骨灰盒宣传图册，骨灰盒实物与图册不相符，质量品质不优的，采购人有权拒收。5、中标人应按采购人的要求，在指定时间卸货在指定仓库，堆码一致，包装标识朝外，不倒置。6、供货的款式、品种以及数量由采购人根据市场情况对中标人下达供货清单。如中标单位需更换款式，须提前15天向采购单位提出书面申请，采购单位同意后才允许更换，所更换产品须满足该项货物的技术参数要求。7、中标人无权干涉采购人在货物上架摆放、营销方式等方面的决定。出现此类情况的，第一次由采购人提出警告，第二次采购人将暂停中标人供货资格三个月，第三次采购人将暂停中标人供货资格六个月。 （二）采购包3： （1）技术要求：花：花色纯正鲜艳具有光泽；花形完整，端正饱满；花瓣均匀对称。径：挺直、强健、有韧性、粗细均匀，与花序协调。叶：亮绿、要有光泽、完好整齐。 （2）服务要求：1、所选原材料必须保证质量可靠、进货渠道正规，符合国家相关标准，并满足招标文件所有要求。2、所供成品保证质量合格，符合国家有关技术规范。3、保证所供货物在装卸、运输和仓储过程中有足够的包装保护，防止货物受潮、腐烂、遭受冲撞及其他不可预见的损坏。4、中标供应商所供货物，若发生侵权而产生的一切后果，由中标供应商负责。采购人保留索赔权力。 （3）本项目采用单价报价形式，货物报价要求:以人民币为结算单位，包括所有产品包装、人工费用、装卸、搬运、运输费、不合格货物的退换、各种税费、按期交货及合同实施过程中的不可预见费用等全部费用。 （三）采购包4、5： 1、根据不同品种与石材自身可达到的要求尽量减少色差，不符合要求的石材损失和运输途中产生破损的石材由投标方自行承担，要求所有石材的花纹和色差过渡色尽可能的调整到最佳状态。要求同一批石材的色调、花纹应该基本调和，优等品中不允许有外观缺陷。 2、单镜面板材的正面应具有镜面光泽，能清晰地反映出景物。镜面板材光泽度值应不低于 80 光泽位。 3、保证所有石材在室外20年以上不变色，不褪色。 4、必须提供积密度、吸水率、干燥压缩强度、弯曲强度4项检测报告，以确保石材物理性能良好。 5、严格按照所提供的尺寸标准制作石材板材，保证所有石材的尺寸和图案制作无误。6、运输中确保包装箱体的完好无损，如出现损坏招标方有权不接受货物。 （四）本项目共设5个采购包，采用“兼投不兼中”原则。投标人可同时参与各包投标，但每个包仅能确定1个中标人。评标时按包号顺序推荐候选人，若同一投标人在不同包排名靠前，则依次确定中标人。</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pPr>
      <w:r>
        <w:rPr>
          <w:rFonts w:ascii="仿宋_GB2312" w:hAnsi="仿宋_GB2312" w:cs="仿宋_GB2312" w:eastAsia="仿宋_GB2312"/>
        </w:rPr>
        <w:t>采购包4：</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pPr>
      <w:r>
        <w:rPr>
          <w:rFonts w:ascii="仿宋_GB2312" w:hAnsi="仿宋_GB2312" w:cs="仿宋_GB2312" w:eastAsia="仿宋_GB2312"/>
        </w:rPr>
        <w:t>采购包5：</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有效的主体资格证明</w:t>
            </w:r>
          </w:p>
        </w:tc>
        <w:tc>
          <w:tcPr>
            <w:tcW w:type="dxa" w:w="3322"/>
          </w:tcPr>
          <w:p>
            <w:pPr>
              <w:pStyle w:val="null3"/>
            </w:pPr>
            <w:r>
              <w:rPr>
                <w:rFonts w:ascii="仿宋_GB2312" w:hAnsi="仿宋_GB2312" w:cs="仿宋_GB2312" w:eastAsia="仿宋_GB2312"/>
              </w:rPr>
              <w:t>供应商为合法注册的法人、其他组织或自然人，提供营业执照等证明文件。</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财务状况报告</w:t>
            </w:r>
          </w:p>
        </w:tc>
        <w:tc>
          <w:tcPr>
            <w:tcW w:type="dxa" w:w="3322"/>
          </w:tcPr>
          <w:p>
            <w:pPr>
              <w:pStyle w:val="null3"/>
            </w:pPr>
            <w:r>
              <w:rPr>
                <w:rFonts w:ascii="仿宋_GB2312" w:hAnsi="仿宋_GB2312" w:cs="仿宋_GB2312" w:eastAsia="仿宋_GB2312"/>
              </w:rPr>
              <w:t>供应商提供2025年度经审计的财务报告或投标截止时间前三个月内其基本开户银行出具的资信证明及账户开户许可证明材料或财政部门认可的政府采购专业担保机构开具的投标担保函。</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提供投标文件递交截止日前6个月内已缴存的至少一个月的纳税证明或完税证明。依法免税的供应商应提供相关文件证明。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社会保障资金缴纳证明</w:t>
            </w:r>
          </w:p>
        </w:tc>
        <w:tc>
          <w:tcPr>
            <w:tcW w:type="dxa" w:w="3322"/>
          </w:tcPr>
          <w:p>
            <w:pPr>
              <w:pStyle w:val="null3"/>
            </w:pPr>
            <w:r>
              <w:rPr>
                <w:rFonts w:ascii="仿宋_GB2312" w:hAnsi="仿宋_GB2312" w:cs="仿宋_GB2312" w:eastAsia="仿宋_GB2312"/>
              </w:rPr>
              <w:t>提供投标文件递交截止日前6个月内已缴存的至少一个月的社会保障资金缴存单据或社保机构开具的社会保险参保缴费情况证明，依法不需要缴纳社会保障资金的单位应提供相关证明材料。</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专业技术能力的声明</w:t>
            </w:r>
          </w:p>
        </w:tc>
        <w:tc>
          <w:tcPr>
            <w:tcW w:type="dxa" w:w="3322"/>
          </w:tcPr>
          <w:p>
            <w:pPr>
              <w:pStyle w:val="null3"/>
            </w:pPr>
            <w:r>
              <w:rPr>
                <w:rFonts w:ascii="仿宋_GB2312" w:hAnsi="仿宋_GB2312" w:cs="仿宋_GB2312" w:eastAsia="仿宋_GB2312"/>
              </w:rPr>
              <w:t>提供具有履行本合同所必需的设备和专业技术能力的声明或承诺。</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没有重大违法记录的书面声明</w:t>
            </w:r>
          </w:p>
        </w:tc>
        <w:tc>
          <w:tcPr>
            <w:tcW w:type="dxa" w:w="3322"/>
          </w:tcPr>
          <w:p>
            <w:pPr>
              <w:pStyle w:val="null3"/>
            </w:pPr>
            <w:r>
              <w:rPr>
                <w:rFonts w:ascii="仿宋_GB2312" w:hAnsi="仿宋_GB2312" w:cs="仿宋_GB2312" w:eastAsia="仿宋_GB2312"/>
              </w:rPr>
              <w:t>提供参加政府采购活动前三年内在经营活动中没有重大违法记录的书面声明。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供应商信用</w:t>
            </w:r>
          </w:p>
        </w:tc>
        <w:tc>
          <w:tcPr>
            <w:tcW w:type="dxa" w:w="3322"/>
          </w:tcPr>
          <w:p>
            <w:pPr>
              <w:pStyle w:val="null3"/>
            </w:pPr>
            <w:r>
              <w:rPr>
                <w:rFonts w:ascii="仿宋_GB2312" w:hAnsi="仿宋_GB2312" w:cs="仿宋_GB2312" w:eastAsia="仿宋_GB2312"/>
              </w:rPr>
              <w:t>不得为“信用中国”网站(http://www.creditchina.gov.cn)列入“失信被执行人、重大税收违法失信主体”的供应商；不得为中国政府采购网(http://www.ccgp.gov.cn)“政府采购严重违法失信行为记录名单”中的供应商。（以代理机构开标当天查询结果为准）</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法定代表人参加投标的，须提供本人身份证复印件（附在投标文件中）；法定代表人授权他人参加投标的，须提供法定代表人授权委托书。法定代表人授权委托书须附委托代理人为本单位人员的有效证明材料。</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供应商性质</w:t>
            </w:r>
          </w:p>
        </w:tc>
        <w:tc>
          <w:tcPr>
            <w:tcW w:type="dxa" w:w="3322"/>
          </w:tcPr>
          <w:p>
            <w:pPr>
              <w:pStyle w:val="null3"/>
            </w:pPr>
            <w:r>
              <w:rPr>
                <w:rFonts w:ascii="仿宋_GB2312" w:hAnsi="仿宋_GB2312" w:cs="仿宋_GB2312" w:eastAsia="仿宋_GB2312"/>
              </w:rPr>
              <w:t>本采购包专门面向中小企业采购。</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有效的主体资格证明</w:t>
            </w:r>
          </w:p>
        </w:tc>
        <w:tc>
          <w:tcPr>
            <w:tcW w:type="dxa" w:w="3322"/>
          </w:tcPr>
          <w:p>
            <w:pPr>
              <w:pStyle w:val="null3"/>
            </w:pPr>
            <w:r>
              <w:rPr>
                <w:rFonts w:ascii="仿宋_GB2312" w:hAnsi="仿宋_GB2312" w:cs="仿宋_GB2312" w:eastAsia="仿宋_GB2312"/>
              </w:rPr>
              <w:t>供应商为合法注册的法人、其他组织或自然人，提供营业执照等证明文件。</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财务状况报告</w:t>
            </w:r>
          </w:p>
        </w:tc>
        <w:tc>
          <w:tcPr>
            <w:tcW w:type="dxa" w:w="3322"/>
          </w:tcPr>
          <w:p>
            <w:pPr>
              <w:pStyle w:val="null3"/>
            </w:pPr>
            <w:r>
              <w:rPr>
                <w:rFonts w:ascii="仿宋_GB2312" w:hAnsi="仿宋_GB2312" w:cs="仿宋_GB2312" w:eastAsia="仿宋_GB2312"/>
              </w:rPr>
              <w:t>供应商提供2025年度经审计的财务报告或投标截止时间前三个月内其基本开户银行出具的资信证明及账户开户许可证明材料或财政部门认可的政府采购专业担保机构开具的投标担保函。</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提供投标文件递交截止日前6个月内已缴存的至少一个月的纳税证明或完税证明。依法免税的供应商应提供相关文件证明。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社会保障资金缴纳证明</w:t>
            </w:r>
          </w:p>
        </w:tc>
        <w:tc>
          <w:tcPr>
            <w:tcW w:type="dxa" w:w="3322"/>
          </w:tcPr>
          <w:p>
            <w:pPr>
              <w:pStyle w:val="null3"/>
            </w:pPr>
            <w:r>
              <w:rPr>
                <w:rFonts w:ascii="仿宋_GB2312" w:hAnsi="仿宋_GB2312" w:cs="仿宋_GB2312" w:eastAsia="仿宋_GB2312"/>
              </w:rPr>
              <w:t>提供投标文件递交截止日前6个月内已缴存的至少一个月的社会保障资金缴存单据或社保机构开具的社会保险参保缴费情况证明，依法不需要缴纳社会保障资金的单位应提供相关证明材料。</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专业技术能力的声明</w:t>
            </w:r>
          </w:p>
        </w:tc>
        <w:tc>
          <w:tcPr>
            <w:tcW w:type="dxa" w:w="3322"/>
          </w:tcPr>
          <w:p>
            <w:pPr>
              <w:pStyle w:val="null3"/>
            </w:pPr>
            <w:r>
              <w:rPr>
                <w:rFonts w:ascii="仿宋_GB2312" w:hAnsi="仿宋_GB2312" w:cs="仿宋_GB2312" w:eastAsia="仿宋_GB2312"/>
              </w:rPr>
              <w:t>提供具有履行本合同所必需的设备和专业技术能力的声明或承诺。</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没有重大违法记录的书面声明</w:t>
            </w:r>
          </w:p>
        </w:tc>
        <w:tc>
          <w:tcPr>
            <w:tcW w:type="dxa" w:w="3322"/>
          </w:tcPr>
          <w:p>
            <w:pPr>
              <w:pStyle w:val="null3"/>
            </w:pPr>
            <w:r>
              <w:rPr>
                <w:rFonts w:ascii="仿宋_GB2312" w:hAnsi="仿宋_GB2312" w:cs="仿宋_GB2312" w:eastAsia="仿宋_GB2312"/>
              </w:rPr>
              <w:t>提供参加政府采购活动前三年内在经营活动中没有重大违法记录的书面声明。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供应商信用</w:t>
            </w:r>
          </w:p>
        </w:tc>
        <w:tc>
          <w:tcPr>
            <w:tcW w:type="dxa" w:w="3322"/>
          </w:tcPr>
          <w:p>
            <w:pPr>
              <w:pStyle w:val="null3"/>
            </w:pPr>
            <w:r>
              <w:rPr>
                <w:rFonts w:ascii="仿宋_GB2312" w:hAnsi="仿宋_GB2312" w:cs="仿宋_GB2312" w:eastAsia="仿宋_GB2312"/>
              </w:rPr>
              <w:t>不得为“信用中国”网站(http://www.creditchina.gov.cn)列入“失信被执行人、重大税收违法失信主体”的供应商；不得为中国政府采购网(http://www.ccgp.gov.cn)“政府采购严重违法失信行为记录名单”中的供应商。（以代理机构开标当天查询结果为准）</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法定代表人参加投标的，须提供本人身份证复印件（附在投标文件中）；法定代表人授权他人参加投标的，须提供法定代表人授权委托书。法定代表人授权委托书须附委托代理人为本单位人员的有效证明材料。</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供应商性质</w:t>
            </w:r>
          </w:p>
        </w:tc>
        <w:tc>
          <w:tcPr>
            <w:tcW w:type="dxa" w:w="3322"/>
          </w:tcPr>
          <w:p>
            <w:pPr>
              <w:pStyle w:val="null3"/>
            </w:pPr>
            <w:r>
              <w:rPr>
                <w:rFonts w:ascii="仿宋_GB2312" w:hAnsi="仿宋_GB2312" w:cs="仿宋_GB2312" w:eastAsia="仿宋_GB2312"/>
              </w:rPr>
              <w:t>本采购包专门面向中小企业采购。</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有效的主体资格证明</w:t>
            </w:r>
          </w:p>
        </w:tc>
        <w:tc>
          <w:tcPr>
            <w:tcW w:type="dxa" w:w="3322"/>
          </w:tcPr>
          <w:p>
            <w:pPr>
              <w:pStyle w:val="null3"/>
            </w:pPr>
            <w:r>
              <w:rPr>
                <w:rFonts w:ascii="仿宋_GB2312" w:hAnsi="仿宋_GB2312" w:cs="仿宋_GB2312" w:eastAsia="仿宋_GB2312"/>
              </w:rPr>
              <w:t>供应商为合法注册的法人、其他组织或自然人，提供营业执照等证明文件。</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财务状况报告</w:t>
            </w:r>
          </w:p>
        </w:tc>
        <w:tc>
          <w:tcPr>
            <w:tcW w:type="dxa" w:w="3322"/>
          </w:tcPr>
          <w:p>
            <w:pPr>
              <w:pStyle w:val="null3"/>
            </w:pPr>
            <w:r>
              <w:rPr>
                <w:rFonts w:ascii="仿宋_GB2312" w:hAnsi="仿宋_GB2312" w:cs="仿宋_GB2312" w:eastAsia="仿宋_GB2312"/>
              </w:rPr>
              <w:t>供应商提供2025年度经审计的财务报告或投标截止时间前三个月内其基本开户银行出具的资信证明及账户开户许可证明材料或财政部门认可的政府采购专业担保机构开具的投标担保函。</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提供投标文件递交截止日前6个月内已缴存的至少一个月的纳税证明或完税证明。依法免税的供应商应提供相关文件证明。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社会保障资金缴纳证明</w:t>
            </w:r>
          </w:p>
        </w:tc>
        <w:tc>
          <w:tcPr>
            <w:tcW w:type="dxa" w:w="3322"/>
          </w:tcPr>
          <w:p>
            <w:pPr>
              <w:pStyle w:val="null3"/>
            </w:pPr>
            <w:r>
              <w:rPr>
                <w:rFonts w:ascii="仿宋_GB2312" w:hAnsi="仿宋_GB2312" w:cs="仿宋_GB2312" w:eastAsia="仿宋_GB2312"/>
              </w:rPr>
              <w:t>提供投标文件递交截止日前6个月内已缴存的至少一个月的社会保障资金缴存单据或社保机构开具的社会保险参保缴费情况证明，依法不需要缴纳社会保障资金的单位应提供相关证明材料。</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专业技术能力的声明</w:t>
            </w:r>
          </w:p>
        </w:tc>
        <w:tc>
          <w:tcPr>
            <w:tcW w:type="dxa" w:w="3322"/>
          </w:tcPr>
          <w:p>
            <w:pPr>
              <w:pStyle w:val="null3"/>
            </w:pPr>
            <w:r>
              <w:rPr>
                <w:rFonts w:ascii="仿宋_GB2312" w:hAnsi="仿宋_GB2312" w:cs="仿宋_GB2312" w:eastAsia="仿宋_GB2312"/>
              </w:rPr>
              <w:t>提供具有履行本合同所必需的设备和专业技术能力的声明或承诺。</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没有重大违法记录的书面声明</w:t>
            </w:r>
          </w:p>
        </w:tc>
        <w:tc>
          <w:tcPr>
            <w:tcW w:type="dxa" w:w="3322"/>
          </w:tcPr>
          <w:p>
            <w:pPr>
              <w:pStyle w:val="null3"/>
            </w:pPr>
            <w:r>
              <w:rPr>
                <w:rFonts w:ascii="仿宋_GB2312" w:hAnsi="仿宋_GB2312" w:cs="仿宋_GB2312" w:eastAsia="仿宋_GB2312"/>
              </w:rPr>
              <w:t>提供参加政府采购活动前三年内在经营活动中没有重大违法记录的书面声明。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供应商信用</w:t>
            </w:r>
          </w:p>
        </w:tc>
        <w:tc>
          <w:tcPr>
            <w:tcW w:type="dxa" w:w="3322"/>
          </w:tcPr>
          <w:p>
            <w:pPr>
              <w:pStyle w:val="null3"/>
            </w:pPr>
            <w:r>
              <w:rPr>
                <w:rFonts w:ascii="仿宋_GB2312" w:hAnsi="仿宋_GB2312" w:cs="仿宋_GB2312" w:eastAsia="仿宋_GB2312"/>
              </w:rPr>
              <w:t>不得为“信用中国”网站(http://www.creditchina.gov.cn)列入“失信被执行人、重大税收违法失信主体”的供应商；不得为中国政府采购网(http://www.ccgp.gov.cn)“政府采购严重违法失信行为记录名单”中的供应商。（以代理机构开标当天查询结果为准）</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法定代表人参加投标的，须提供本人身份证复印件（附在投标文件中）；法定代表人授权他人参加投标的，须提供法定代表人授权委托书。法定代表人授权委托书须附委托代理人为本单位人员的有效证明材料。</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供应商性质</w:t>
            </w:r>
          </w:p>
        </w:tc>
        <w:tc>
          <w:tcPr>
            <w:tcW w:type="dxa" w:w="3322"/>
          </w:tcPr>
          <w:p>
            <w:pPr>
              <w:pStyle w:val="null3"/>
            </w:pPr>
            <w:r>
              <w:rPr>
                <w:rFonts w:ascii="仿宋_GB2312" w:hAnsi="仿宋_GB2312" w:cs="仿宋_GB2312" w:eastAsia="仿宋_GB2312"/>
              </w:rPr>
              <w:t>本采购包专门面向中小企业采购。</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采购包4：</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有效的主体资格证明</w:t>
            </w:r>
          </w:p>
        </w:tc>
        <w:tc>
          <w:tcPr>
            <w:tcW w:type="dxa" w:w="3322"/>
          </w:tcPr>
          <w:p>
            <w:pPr>
              <w:pStyle w:val="null3"/>
            </w:pPr>
            <w:r>
              <w:rPr>
                <w:rFonts w:ascii="仿宋_GB2312" w:hAnsi="仿宋_GB2312" w:cs="仿宋_GB2312" w:eastAsia="仿宋_GB2312"/>
              </w:rPr>
              <w:t>供应商为合法注册的法人、其他组织或自然人，提供营业执照等证明文件。</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财务状况报告</w:t>
            </w:r>
          </w:p>
        </w:tc>
        <w:tc>
          <w:tcPr>
            <w:tcW w:type="dxa" w:w="3322"/>
          </w:tcPr>
          <w:p>
            <w:pPr>
              <w:pStyle w:val="null3"/>
            </w:pPr>
            <w:r>
              <w:rPr>
                <w:rFonts w:ascii="仿宋_GB2312" w:hAnsi="仿宋_GB2312" w:cs="仿宋_GB2312" w:eastAsia="仿宋_GB2312"/>
              </w:rPr>
              <w:t>供应商提供2025年度经审计的财务报告或投标截止时间前三个月内其基本开户银行出具的资信证明及账户开户许可证明材料或财政部门认可的政府采购专业担保机构开具的投标担保函。</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提供投标文件递交截止日前6个月内已缴存的至少一个月的纳税证明或完税证明。依法免税的供应商应提供相关文件证明。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社会保障资金缴纳证明</w:t>
            </w:r>
          </w:p>
        </w:tc>
        <w:tc>
          <w:tcPr>
            <w:tcW w:type="dxa" w:w="3322"/>
          </w:tcPr>
          <w:p>
            <w:pPr>
              <w:pStyle w:val="null3"/>
            </w:pPr>
            <w:r>
              <w:rPr>
                <w:rFonts w:ascii="仿宋_GB2312" w:hAnsi="仿宋_GB2312" w:cs="仿宋_GB2312" w:eastAsia="仿宋_GB2312"/>
              </w:rPr>
              <w:t>提供投标文件递交截止日前6个月内已缴存的至少一个月的社会保障资金缴存单据或社保机构开具的社会保险参保缴费情况证明，依法不需要缴纳社会保障资金的单位应提供相关证明材料。</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专业技术能力的声明</w:t>
            </w:r>
          </w:p>
        </w:tc>
        <w:tc>
          <w:tcPr>
            <w:tcW w:type="dxa" w:w="3322"/>
          </w:tcPr>
          <w:p>
            <w:pPr>
              <w:pStyle w:val="null3"/>
            </w:pPr>
            <w:r>
              <w:rPr>
                <w:rFonts w:ascii="仿宋_GB2312" w:hAnsi="仿宋_GB2312" w:cs="仿宋_GB2312" w:eastAsia="仿宋_GB2312"/>
              </w:rPr>
              <w:t>提供具有履行本合同所必需的设备和专业技术能力的声明或承诺。</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没有重大违法记录的书面声明</w:t>
            </w:r>
          </w:p>
        </w:tc>
        <w:tc>
          <w:tcPr>
            <w:tcW w:type="dxa" w:w="3322"/>
          </w:tcPr>
          <w:p>
            <w:pPr>
              <w:pStyle w:val="null3"/>
            </w:pPr>
            <w:r>
              <w:rPr>
                <w:rFonts w:ascii="仿宋_GB2312" w:hAnsi="仿宋_GB2312" w:cs="仿宋_GB2312" w:eastAsia="仿宋_GB2312"/>
              </w:rPr>
              <w:t>提供参加政府采购活动前三年内在经营活动中没有重大违法记录的书面声明。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供应商信用</w:t>
            </w:r>
          </w:p>
        </w:tc>
        <w:tc>
          <w:tcPr>
            <w:tcW w:type="dxa" w:w="3322"/>
          </w:tcPr>
          <w:p>
            <w:pPr>
              <w:pStyle w:val="null3"/>
            </w:pPr>
            <w:r>
              <w:rPr>
                <w:rFonts w:ascii="仿宋_GB2312" w:hAnsi="仿宋_GB2312" w:cs="仿宋_GB2312" w:eastAsia="仿宋_GB2312"/>
              </w:rPr>
              <w:t>不得为“信用中国”网站(http://www.creditchina.gov.cn)列入“失信被执行人、重大税收违法失信主体”的供应商；不得为中国政府采购网(http://www.ccgp.gov.cn)“政府采购严重违法失信行为记录名单”中的供应商。（以代理机构开标当天查询结果为准）</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法定代表人参加投标的，须提供本人身份证复印件（附在投标文件中）；法定代表人授权他人参加投标的，须提供法定代表人授权委托书。法定代表人授权委托书须附委托代理人为本单位人员的有效证明材料。</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供应商性质</w:t>
            </w:r>
          </w:p>
        </w:tc>
        <w:tc>
          <w:tcPr>
            <w:tcW w:type="dxa" w:w="3322"/>
          </w:tcPr>
          <w:p>
            <w:pPr>
              <w:pStyle w:val="null3"/>
            </w:pPr>
            <w:r>
              <w:rPr>
                <w:rFonts w:ascii="仿宋_GB2312" w:hAnsi="仿宋_GB2312" w:cs="仿宋_GB2312" w:eastAsia="仿宋_GB2312"/>
              </w:rPr>
              <w:t>本采购包专门面向中小企业采购。</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采购包5：</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有效的主体资格证明</w:t>
            </w:r>
          </w:p>
        </w:tc>
        <w:tc>
          <w:tcPr>
            <w:tcW w:type="dxa" w:w="3322"/>
          </w:tcPr>
          <w:p>
            <w:pPr>
              <w:pStyle w:val="null3"/>
            </w:pPr>
            <w:r>
              <w:rPr>
                <w:rFonts w:ascii="仿宋_GB2312" w:hAnsi="仿宋_GB2312" w:cs="仿宋_GB2312" w:eastAsia="仿宋_GB2312"/>
              </w:rPr>
              <w:t>供应商为合法注册的法人、其他组织或自然人，提供营业执照等证明文件。</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财务状况报告</w:t>
            </w:r>
          </w:p>
        </w:tc>
        <w:tc>
          <w:tcPr>
            <w:tcW w:type="dxa" w:w="3322"/>
          </w:tcPr>
          <w:p>
            <w:pPr>
              <w:pStyle w:val="null3"/>
            </w:pPr>
            <w:r>
              <w:rPr>
                <w:rFonts w:ascii="仿宋_GB2312" w:hAnsi="仿宋_GB2312" w:cs="仿宋_GB2312" w:eastAsia="仿宋_GB2312"/>
              </w:rPr>
              <w:t>供应商提供2025年度经审计的财务报告或投标截止时间前三个月内其基本开户银行出具的资信证明及账户开户许可证明材料或财政部门认可的政府采购专业担保机构开具的投标担保函。</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提供投标文件递交截止日前6个月内已缴存的至少一个月的纳税证明或完税证明。依法免税的供应商应提供相关文件证明。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社会保障资金缴纳证明</w:t>
            </w:r>
          </w:p>
        </w:tc>
        <w:tc>
          <w:tcPr>
            <w:tcW w:type="dxa" w:w="3322"/>
          </w:tcPr>
          <w:p>
            <w:pPr>
              <w:pStyle w:val="null3"/>
            </w:pPr>
            <w:r>
              <w:rPr>
                <w:rFonts w:ascii="仿宋_GB2312" w:hAnsi="仿宋_GB2312" w:cs="仿宋_GB2312" w:eastAsia="仿宋_GB2312"/>
              </w:rPr>
              <w:t>提供投标文件递交截止日前6个月内已缴存的至少一个月的社会保障资金缴存单据或社保机构开具的社会保险参保缴费情况证明，依法不需要缴纳社会保障资金的单位应提供相关证明材料。</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专业技术能力的声明</w:t>
            </w:r>
          </w:p>
        </w:tc>
        <w:tc>
          <w:tcPr>
            <w:tcW w:type="dxa" w:w="3322"/>
          </w:tcPr>
          <w:p>
            <w:pPr>
              <w:pStyle w:val="null3"/>
            </w:pPr>
            <w:r>
              <w:rPr>
                <w:rFonts w:ascii="仿宋_GB2312" w:hAnsi="仿宋_GB2312" w:cs="仿宋_GB2312" w:eastAsia="仿宋_GB2312"/>
              </w:rPr>
              <w:t>提供具有履行本合同所必需的设备和专业技术能力的声明或承诺。</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没有重大违法记录的书面声明</w:t>
            </w:r>
          </w:p>
        </w:tc>
        <w:tc>
          <w:tcPr>
            <w:tcW w:type="dxa" w:w="3322"/>
          </w:tcPr>
          <w:p>
            <w:pPr>
              <w:pStyle w:val="null3"/>
            </w:pPr>
            <w:r>
              <w:rPr>
                <w:rFonts w:ascii="仿宋_GB2312" w:hAnsi="仿宋_GB2312" w:cs="仿宋_GB2312" w:eastAsia="仿宋_GB2312"/>
              </w:rPr>
              <w:t>提供参加政府采购活动前三年内在经营活动中没有重大违法记录的书面声明。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供应商信用</w:t>
            </w:r>
          </w:p>
        </w:tc>
        <w:tc>
          <w:tcPr>
            <w:tcW w:type="dxa" w:w="3322"/>
          </w:tcPr>
          <w:p>
            <w:pPr>
              <w:pStyle w:val="null3"/>
            </w:pPr>
            <w:r>
              <w:rPr>
                <w:rFonts w:ascii="仿宋_GB2312" w:hAnsi="仿宋_GB2312" w:cs="仿宋_GB2312" w:eastAsia="仿宋_GB2312"/>
              </w:rPr>
              <w:t>不得为“信用中国”网站(http://www.creditchina.gov.cn)列入“失信被执行人、重大税收违法失信主体”的供应商；不得为中国政府采购网(http://www.ccgp.gov.cn)“政府采购严重违法失信行为记录名单”中的供应商。（以代理机构开标当天查询结果为准）</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法定代表人参加投标的，须提供本人身份证复印件（附在投标文件中）；法定代表人授权他人参加投标的，须提供法定代表人授权委托书。法定代表人授权委托书须附委托代理人为本单位人员的有效证明材料。</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供应商性质</w:t>
            </w:r>
          </w:p>
        </w:tc>
        <w:tc>
          <w:tcPr>
            <w:tcW w:type="dxa" w:w="3322"/>
          </w:tcPr>
          <w:p>
            <w:pPr>
              <w:pStyle w:val="null3"/>
            </w:pPr>
            <w:r>
              <w:rPr>
                <w:rFonts w:ascii="仿宋_GB2312" w:hAnsi="仿宋_GB2312" w:cs="仿宋_GB2312" w:eastAsia="仿宋_GB2312"/>
              </w:rPr>
              <w:t>本采购包专门面向中小企业采购。</w:t>
            </w:r>
          </w:p>
        </w:tc>
        <w:tc>
          <w:tcPr>
            <w:tcW w:type="dxa" w:w="1661"/>
          </w:tcPr>
          <w:p>
            <w:pPr>
              <w:pStyle w:val="null3"/>
            </w:pPr>
            <w:r>
              <w:rPr>
                <w:rFonts w:ascii="仿宋_GB2312" w:hAnsi="仿宋_GB2312" w:cs="仿宋_GB2312" w:eastAsia="仿宋_GB2312"/>
              </w:rPr>
              <w:t>投标人应提交的相关资格证明材料</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参与的供应商（联合体）提供的货物全部由符合政策要求的中小企业制造。</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参与的供应商（联合体）提供的货物全部由符合政策要求的中小企业制造。</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参与的供应商（联合体）提供的货物全部由符合政策要求的中小企业制造。</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采购包4：</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参与的供应商（联合体）提供的货物全部由符合政策要求的中小企业制造。</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采购包5：</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参与的供应商（联合体）提供的货物全部由符合政策要求的中小企业制造。</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陕西省政府采购评审专家管理实施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四、本项目采取电子评标，通过项目电子化交易系统完成评标工作。评标委员会成员、采购人、代理机构和投标人应当按照本招标文件规定和项目电子化交易系统操作要求开展或者参加评标活动。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 xml:space="preserve"> 一、评审专家是采取随机方式在政府采购平台的专家库系统（以下简称专家库系统）抽取/由采购人根据《陕西省政府采购评审专家管理实施办法》（陕财办采〔2018〕20号）的规定，报主管部门同意后自行选定。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 xml:space="preserve"> （三）根据需要要求采购组织单位对招标文件作出解释；根据需要要求供应商对投标文件有关事项作出澄清、说明或者更正；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 评标方法</w:t>
      </w:r>
    </w:p>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pPr>
      <w:r>
        <w:rPr>
          <w:rFonts w:ascii="仿宋_GB2312" w:hAnsi="仿宋_GB2312" w:cs="仿宋_GB2312" w:eastAsia="仿宋_GB2312"/>
        </w:rPr>
        <w:t>采购包3：综合评分法</w:t>
      </w:r>
    </w:p>
    <w:p>
      <w:pPr>
        <w:pStyle w:val="null3"/>
      </w:pPr>
      <w:r>
        <w:rPr>
          <w:rFonts w:ascii="仿宋_GB2312" w:hAnsi="仿宋_GB2312" w:cs="仿宋_GB2312" w:eastAsia="仿宋_GB2312"/>
        </w:rPr>
        <w:t>采购包4：综合评分法</w:t>
      </w:r>
    </w:p>
    <w:p>
      <w:pPr>
        <w:pStyle w:val="null3"/>
      </w:pPr>
      <w:r>
        <w:rPr>
          <w:rFonts w:ascii="仿宋_GB2312" w:hAnsi="仿宋_GB2312" w:cs="仿宋_GB2312" w:eastAsia="仿宋_GB2312"/>
        </w:rPr>
        <w:t>采购包5：综合评分法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 xml:space="preserve"> 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t>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符合招标文件要求</w:t>
            </w:r>
          </w:p>
        </w:tc>
        <w:tc>
          <w:tcPr>
            <w:tcW w:type="dxa" w:w="1661"/>
          </w:tcPr>
          <w:p>
            <w:pPr>
              <w:pStyle w:val="null3"/>
            </w:pPr>
            <w:r>
              <w:rPr>
                <w:rFonts w:ascii="仿宋_GB2312" w:hAnsi="仿宋_GB2312" w:cs="仿宋_GB2312" w:eastAsia="仿宋_GB2312"/>
              </w:rPr>
              <w:t>投标函 投标文件封面</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投标文件的签署、盖章</w:t>
            </w:r>
          </w:p>
        </w:tc>
        <w:tc>
          <w:tcPr>
            <w:tcW w:type="dxa" w:w="3322"/>
          </w:tcPr>
          <w:p>
            <w:pPr>
              <w:pStyle w:val="null3"/>
            </w:pPr>
            <w:r>
              <w:rPr>
                <w:rFonts w:ascii="仿宋_GB2312" w:hAnsi="仿宋_GB2312" w:cs="仿宋_GB2312" w:eastAsia="仿宋_GB2312"/>
              </w:rPr>
              <w:t>投标文件按招标文件要求签字盖章</w:t>
            </w:r>
          </w:p>
        </w:tc>
        <w:tc>
          <w:tcPr>
            <w:tcW w:type="dxa" w:w="1661"/>
          </w:tcPr>
          <w:p>
            <w:pPr>
              <w:pStyle w:val="null3"/>
            </w:pPr>
            <w:r>
              <w:rPr>
                <w:rFonts w:ascii="仿宋_GB2312" w:hAnsi="仿宋_GB2312" w:cs="仿宋_GB2312" w:eastAsia="仿宋_GB2312"/>
              </w:rPr>
              <w:t>开标一览表 产品技术参数表 投标函 中小企业声明函 残疾人福利性单位声明函 商务应答表 标的清单 关于符合本国产品标准的声明函 投标文件封面 监狱企业的证明文件 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同时满足以下条款：（1）投标报价符合唯一性 要求；（2）报价货币符合招标文件要求；（3）未超出招标文件规定的单价最高限价。</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交货期</w:t>
            </w:r>
          </w:p>
        </w:tc>
        <w:tc>
          <w:tcPr>
            <w:tcW w:type="dxa" w:w="3322"/>
          </w:tcPr>
          <w:p>
            <w:pPr>
              <w:pStyle w:val="null3"/>
            </w:pPr>
            <w:r>
              <w:rPr>
                <w:rFonts w:ascii="仿宋_GB2312" w:hAnsi="仿宋_GB2312" w:cs="仿宋_GB2312" w:eastAsia="仿宋_GB2312"/>
              </w:rPr>
              <w:t>应满足招标文件中要求</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其他无效投标的情形</w:t>
            </w:r>
          </w:p>
        </w:tc>
        <w:tc>
          <w:tcPr>
            <w:tcW w:type="dxa" w:w="3322"/>
          </w:tcPr>
          <w:p>
            <w:pPr>
              <w:pStyle w:val="null3"/>
            </w:pPr>
            <w:r>
              <w:rPr>
                <w:rFonts w:ascii="仿宋_GB2312" w:hAnsi="仿宋_GB2312" w:cs="仿宋_GB2312" w:eastAsia="仿宋_GB2312"/>
              </w:rPr>
              <w:t>没有出现法律法规或招标文件明确规定的其他被视为“无效投标”的情形及未实质性响应招标文件的情况。</w:t>
            </w:r>
          </w:p>
        </w:tc>
        <w:tc>
          <w:tcPr>
            <w:tcW w:type="dxa" w:w="1661"/>
          </w:tcPr>
          <w:p>
            <w:pPr>
              <w:pStyle w:val="null3"/>
            </w:pPr>
            <w:r>
              <w:rPr>
                <w:rFonts w:ascii="仿宋_GB2312" w:hAnsi="仿宋_GB2312" w:cs="仿宋_GB2312" w:eastAsia="仿宋_GB2312"/>
              </w:rPr>
              <w:t>开标一览表 产品技术参数表 投标函 中小企业声明函 残疾人福利性单位声明函 商务应答表 标的清单 关于符合本国产品标准的声明函 投标文件封面 监狱企业的证明文件 投标人应提交的相关资格证明材料</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符合招标文件要求</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投标文件的签署、盖章</w:t>
            </w:r>
          </w:p>
        </w:tc>
        <w:tc>
          <w:tcPr>
            <w:tcW w:type="dxa" w:w="3322"/>
          </w:tcPr>
          <w:p>
            <w:pPr>
              <w:pStyle w:val="null3"/>
            </w:pPr>
            <w:r>
              <w:rPr>
                <w:rFonts w:ascii="仿宋_GB2312" w:hAnsi="仿宋_GB2312" w:cs="仿宋_GB2312" w:eastAsia="仿宋_GB2312"/>
              </w:rPr>
              <w:t>投标文件按招标文件要求签字盖章</w:t>
            </w:r>
          </w:p>
        </w:tc>
        <w:tc>
          <w:tcPr>
            <w:tcW w:type="dxa" w:w="1661"/>
          </w:tcPr>
          <w:p>
            <w:pPr>
              <w:pStyle w:val="null3"/>
            </w:pPr>
            <w:r>
              <w:rPr>
                <w:rFonts w:ascii="仿宋_GB2312" w:hAnsi="仿宋_GB2312" w:cs="仿宋_GB2312" w:eastAsia="仿宋_GB2312"/>
              </w:rPr>
              <w:t>开标一览表 产品技术参数表 投标函 中小企业声明函 残疾人福利性单位声明函 商务应答表 标的清单 关于符合本国产品标准的声明函 投标文件封面 监狱企业的证明文件 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同时满足以下条款：（1）投标报价符合唯一性 要求；（2）报价货币符合招标文件要求；（3）未超出招标文件规定的单价最高限价。</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交货期</w:t>
            </w:r>
          </w:p>
        </w:tc>
        <w:tc>
          <w:tcPr>
            <w:tcW w:type="dxa" w:w="3322"/>
          </w:tcPr>
          <w:p>
            <w:pPr>
              <w:pStyle w:val="null3"/>
            </w:pPr>
            <w:r>
              <w:rPr>
                <w:rFonts w:ascii="仿宋_GB2312" w:hAnsi="仿宋_GB2312" w:cs="仿宋_GB2312" w:eastAsia="仿宋_GB2312"/>
              </w:rPr>
              <w:t>应满足招标文件中要求</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其他无效投标的情形</w:t>
            </w:r>
          </w:p>
        </w:tc>
        <w:tc>
          <w:tcPr>
            <w:tcW w:type="dxa" w:w="3322"/>
          </w:tcPr>
          <w:p>
            <w:pPr>
              <w:pStyle w:val="null3"/>
            </w:pPr>
            <w:r>
              <w:rPr>
                <w:rFonts w:ascii="仿宋_GB2312" w:hAnsi="仿宋_GB2312" w:cs="仿宋_GB2312" w:eastAsia="仿宋_GB2312"/>
              </w:rPr>
              <w:t>没有出现法律法规或招标文件明确规定的其他被视为“无效投标”的情形及未实质性响应招标文件的情况。</w:t>
            </w:r>
          </w:p>
        </w:tc>
        <w:tc>
          <w:tcPr>
            <w:tcW w:type="dxa" w:w="1661"/>
          </w:tcPr>
          <w:p>
            <w:pPr>
              <w:pStyle w:val="null3"/>
            </w:pPr>
            <w:r>
              <w:rPr>
                <w:rFonts w:ascii="仿宋_GB2312" w:hAnsi="仿宋_GB2312" w:cs="仿宋_GB2312" w:eastAsia="仿宋_GB2312"/>
              </w:rPr>
              <w:t>开标一览表 产品技术参数表 投标函 中小企业声明函 残疾人福利性单位声明函 商务应答表 标的清单 关于符合本国产品标准的声明函 投标文件封面 监狱企业的证明文件 投标人应提交的相关资格证明材料</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符合招标文件要求</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投标文件的签署、盖章</w:t>
            </w:r>
          </w:p>
        </w:tc>
        <w:tc>
          <w:tcPr>
            <w:tcW w:type="dxa" w:w="3322"/>
          </w:tcPr>
          <w:p>
            <w:pPr>
              <w:pStyle w:val="null3"/>
            </w:pPr>
            <w:r>
              <w:rPr>
                <w:rFonts w:ascii="仿宋_GB2312" w:hAnsi="仿宋_GB2312" w:cs="仿宋_GB2312" w:eastAsia="仿宋_GB2312"/>
              </w:rPr>
              <w:t>投标文件按招标文件要求签字盖章</w:t>
            </w:r>
          </w:p>
        </w:tc>
        <w:tc>
          <w:tcPr>
            <w:tcW w:type="dxa" w:w="1661"/>
          </w:tcPr>
          <w:p>
            <w:pPr>
              <w:pStyle w:val="null3"/>
            </w:pPr>
            <w:r>
              <w:rPr>
                <w:rFonts w:ascii="仿宋_GB2312" w:hAnsi="仿宋_GB2312" w:cs="仿宋_GB2312" w:eastAsia="仿宋_GB2312"/>
              </w:rPr>
              <w:t>开标一览表 产品技术参数表 投标函 中小企业声明函 残疾人福利性单位声明函 商务应答表 标的清单 关于符合本国产品标准的声明函 投标文件封面 监狱企业的证明文件 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同时满足以下条款：（1）投标报价符合唯一性 要求；（2）报价货币符合招标文件要求；（3）未超出招标文件规定的单价最高限价。</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交货期</w:t>
            </w:r>
          </w:p>
        </w:tc>
        <w:tc>
          <w:tcPr>
            <w:tcW w:type="dxa" w:w="3322"/>
          </w:tcPr>
          <w:p>
            <w:pPr>
              <w:pStyle w:val="null3"/>
            </w:pPr>
            <w:r>
              <w:rPr>
                <w:rFonts w:ascii="仿宋_GB2312" w:hAnsi="仿宋_GB2312" w:cs="仿宋_GB2312" w:eastAsia="仿宋_GB2312"/>
              </w:rPr>
              <w:t>应满足招标文件中要求</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其他无效投标的情形</w:t>
            </w:r>
          </w:p>
        </w:tc>
        <w:tc>
          <w:tcPr>
            <w:tcW w:type="dxa" w:w="3322"/>
          </w:tcPr>
          <w:p>
            <w:pPr>
              <w:pStyle w:val="null3"/>
            </w:pPr>
            <w:r>
              <w:rPr>
                <w:rFonts w:ascii="仿宋_GB2312" w:hAnsi="仿宋_GB2312" w:cs="仿宋_GB2312" w:eastAsia="仿宋_GB2312"/>
              </w:rPr>
              <w:t>没有出现法律法规或招标文件明确规定的其他被视为“无效投标”的情形及未实质性响应招标文件的情况。</w:t>
            </w:r>
          </w:p>
        </w:tc>
        <w:tc>
          <w:tcPr>
            <w:tcW w:type="dxa" w:w="1661"/>
          </w:tcPr>
          <w:p>
            <w:pPr>
              <w:pStyle w:val="null3"/>
            </w:pPr>
            <w:r>
              <w:rPr>
                <w:rFonts w:ascii="仿宋_GB2312" w:hAnsi="仿宋_GB2312" w:cs="仿宋_GB2312" w:eastAsia="仿宋_GB2312"/>
              </w:rPr>
              <w:t>开标一览表 产品技术参数表 投标函 中小企业声明函 残疾人福利性单位声明函 商务应答表 标的清单 关于符合本国产品标准的声明函 投标文件封面 监狱企业的证明文件 投标人应提交的相关资格证明材料</w:t>
            </w:r>
          </w:p>
        </w:tc>
      </w:tr>
    </w:tbl>
    <w:p>
      <w:pPr>
        <w:pStyle w:val="null3"/>
      </w:pPr>
      <w:r>
        <w:rPr>
          <w:rFonts w:ascii="仿宋_GB2312" w:hAnsi="仿宋_GB2312" w:cs="仿宋_GB2312" w:eastAsia="仿宋_GB2312"/>
        </w:rPr>
        <w:t>采购包4：</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符合招标文件要求</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投标文件的签署、盖章</w:t>
            </w:r>
          </w:p>
        </w:tc>
        <w:tc>
          <w:tcPr>
            <w:tcW w:type="dxa" w:w="3322"/>
          </w:tcPr>
          <w:p>
            <w:pPr>
              <w:pStyle w:val="null3"/>
            </w:pPr>
            <w:r>
              <w:rPr>
                <w:rFonts w:ascii="仿宋_GB2312" w:hAnsi="仿宋_GB2312" w:cs="仿宋_GB2312" w:eastAsia="仿宋_GB2312"/>
              </w:rPr>
              <w:t>投标文件按招标文件要求签字盖章</w:t>
            </w:r>
          </w:p>
        </w:tc>
        <w:tc>
          <w:tcPr>
            <w:tcW w:type="dxa" w:w="1661"/>
          </w:tcPr>
          <w:p>
            <w:pPr>
              <w:pStyle w:val="null3"/>
            </w:pPr>
            <w:r>
              <w:rPr>
                <w:rFonts w:ascii="仿宋_GB2312" w:hAnsi="仿宋_GB2312" w:cs="仿宋_GB2312" w:eastAsia="仿宋_GB2312"/>
              </w:rPr>
              <w:t>开标一览表 产品技术参数表 投标函 中小企业声明函 残疾人福利性单位声明函 商务应答表 标的清单 关于符合本国产品标准的声明函 投标文件封面 监狱企业的证明文件 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同时满足以下条款：（1）投标报价符合唯一性 要求；（2）报价货币符合招标文件要求；（3）未超出招标文件规定的单价最高限价。</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交货期</w:t>
            </w:r>
          </w:p>
        </w:tc>
        <w:tc>
          <w:tcPr>
            <w:tcW w:type="dxa" w:w="3322"/>
          </w:tcPr>
          <w:p>
            <w:pPr>
              <w:pStyle w:val="null3"/>
            </w:pPr>
            <w:r>
              <w:rPr>
                <w:rFonts w:ascii="仿宋_GB2312" w:hAnsi="仿宋_GB2312" w:cs="仿宋_GB2312" w:eastAsia="仿宋_GB2312"/>
              </w:rPr>
              <w:t>应满足招标文件中要求</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其他无效投标的情形</w:t>
            </w:r>
          </w:p>
        </w:tc>
        <w:tc>
          <w:tcPr>
            <w:tcW w:type="dxa" w:w="3322"/>
          </w:tcPr>
          <w:p>
            <w:pPr>
              <w:pStyle w:val="null3"/>
            </w:pPr>
            <w:r>
              <w:rPr>
                <w:rFonts w:ascii="仿宋_GB2312" w:hAnsi="仿宋_GB2312" w:cs="仿宋_GB2312" w:eastAsia="仿宋_GB2312"/>
              </w:rPr>
              <w:t>没有出现法律法规或招标文件明确规定的其他被视为“无效投标”的情形及未实质性响应招标文件的情况。</w:t>
            </w:r>
          </w:p>
        </w:tc>
        <w:tc>
          <w:tcPr>
            <w:tcW w:type="dxa" w:w="1661"/>
          </w:tcPr>
          <w:p>
            <w:pPr>
              <w:pStyle w:val="null3"/>
            </w:pPr>
            <w:r>
              <w:rPr>
                <w:rFonts w:ascii="仿宋_GB2312" w:hAnsi="仿宋_GB2312" w:cs="仿宋_GB2312" w:eastAsia="仿宋_GB2312"/>
              </w:rPr>
              <w:t>开标一览表 产品技术参数表 投标函 中小企业声明函 残疾人福利性单位声明函 商务应答表 标的清单 关于符合本国产品标准的声明函 投标文件封面 监狱企业的证明文件 投标人应提交的相关资格证明材料</w:t>
            </w:r>
          </w:p>
        </w:tc>
      </w:tr>
    </w:tbl>
    <w:p>
      <w:pPr>
        <w:pStyle w:val="null3"/>
      </w:pPr>
      <w:r>
        <w:rPr>
          <w:rFonts w:ascii="仿宋_GB2312" w:hAnsi="仿宋_GB2312" w:cs="仿宋_GB2312" w:eastAsia="仿宋_GB2312"/>
        </w:rPr>
        <w:t>采购包5：</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符合招标文件要求</w:t>
            </w:r>
          </w:p>
        </w:tc>
        <w:tc>
          <w:tcPr>
            <w:tcW w:type="dxa" w:w="1661"/>
          </w:tcPr>
          <w:p>
            <w:pPr>
              <w:pStyle w:val="null3"/>
            </w:pPr>
            <w:r>
              <w:rPr>
                <w:rFonts w:ascii="仿宋_GB2312" w:hAnsi="仿宋_GB2312" w:cs="仿宋_GB2312" w:eastAsia="仿宋_GB2312"/>
              </w:rPr>
              <w:t>投标函</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投标文件的签署、盖章</w:t>
            </w:r>
          </w:p>
        </w:tc>
        <w:tc>
          <w:tcPr>
            <w:tcW w:type="dxa" w:w="3322"/>
          </w:tcPr>
          <w:p>
            <w:pPr>
              <w:pStyle w:val="null3"/>
            </w:pPr>
            <w:r>
              <w:rPr>
                <w:rFonts w:ascii="仿宋_GB2312" w:hAnsi="仿宋_GB2312" w:cs="仿宋_GB2312" w:eastAsia="仿宋_GB2312"/>
              </w:rPr>
              <w:t>投标文件按招标文件要求签字盖章</w:t>
            </w:r>
          </w:p>
        </w:tc>
        <w:tc>
          <w:tcPr>
            <w:tcW w:type="dxa" w:w="1661"/>
          </w:tcPr>
          <w:p>
            <w:pPr>
              <w:pStyle w:val="null3"/>
            </w:pPr>
            <w:r>
              <w:rPr>
                <w:rFonts w:ascii="仿宋_GB2312" w:hAnsi="仿宋_GB2312" w:cs="仿宋_GB2312" w:eastAsia="仿宋_GB2312"/>
              </w:rPr>
              <w:t>开标一览表 产品技术参数表 投标函 中小企业声明函 残疾人福利性单位声明函 商务应答表 标的清单 关于符合本国产品标准的声明函 投标文件封面 监狱企业的证明文件 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同时满足以下条款：（1）投标报价符合唯一性 要求；（2）报价货币符合招标文件要求；（3）未超出招标文件规定的单价最高限价。</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交货期</w:t>
            </w:r>
          </w:p>
        </w:tc>
        <w:tc>
          <w:tcPr>
            <w:tcW w:type="dxa" w:w="3322"/>
          </w:tcPr>
          <w:p>
            <w:pPr>
              <w:pStyle w:val="null3"/>
            </w:pPr>
            <w:r>
              <w:rPr>
                <w:rFonts w:ascii="仿宋_GB2312" w:hAnsi="仿宋_GB2312" w:cs="仿宋_GB2312" w:eastAsia="仿宋_GB2312"/>
              </w:rPr>
              <w:t>应满足招标文件中要求</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其他无效投标的情形</w:t>
            </w:r>
          </w:p>
        </w:tc>
        <w:tc>
          <w:tcPr>
            <w:tcW w:type="dxa" w:w="3322"/>
          </w:tcPr>
          <w:p>
            <w:pPr>
              <w:pStyle w:val="null3"/>
            </w:pPr>
            <w:r>
              <w:rPr>
                <w:rFonts w:ascii="仿宋_GB2312" w:hAnsi="仿宋_GB2312" w:cs="仿宋_GB2312" w:eastAsia="仿宋_GB2312"/>
              </w:rPr>
              <w:t>没有出现法律法规或招标文件明确规定的其他被视为“无效投标”的情形及未实质性响应招标文件的情况</w:t>
            </w:r>
          </w:p>
        </w:tc>
        <w:tc>
          <w:tcPr>
            <w:tcW w:type="dxa" w:w="1661"/>
          </w:tcPr>
          <w:p>
            <w:pPr>
              <w:pStyle w:val="null3"/>
            </w:pPr>
            <w:r>
              <w:rPr>
                <w:rFonts w:ascii="仿宋_GB2312" w:hAnsi="仿宋_GB2312" w:cs="仿宋_GB2312" w:eastAsia="仿宋_GB2312"/>
              </w:rPr>
              <w:t>开标一览表 产品技术参数表 投标函 中小企业声明函 残疾人福利性单位声明函 商务应答表 标的清单 关于符合本国产品标准的声明函 投标文件封面 监狱企业的证明文件 投标人应提交的相关资格证明材料</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 xml:space="preserve"> 5.4.5复核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采购包2：</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采购包3：</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采购包4：</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采购包5：</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三、评审方法和标准；</w:t>
      </w:r>
    </w:p>
    <w:p>
      <w:pPr>
        <w:pStyle w:val="null3"/>
        <w:ind w:firstLine="480"/>
      </w:pPr>
      <w:r>
        <w:rPr>
          <w:rFonts w:ascii="仿宋_GB2312" w:hAnsi="仿宋_GB2312" w:cs="仿宋_GB2312" w:eastAsia="仿宋_GB2312"/>
        </w:rPr>
        <w:t>四、开标记录和评审情况及说明，包括投标无效供应商名单及原因；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六、其他需要说明的情况，包括评标过程中投标人根据评标委员会要求进行的澄清、说明或者补正，评标委员会成员的更换等；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若采用综合评分法的，由评标委员会各成员对通过资格检查和符合性审查的投标人的投标文件进行独立评审。 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项目实施方案（1）</w:t>
            </w:r>
          </w:p>
        </w:tc>
        <w:tc>
          <w:tcPr>
            <w:tcW w:type="dxa" w:w="2492"/>
          </w:tcPr>
          <w:p>
            <w:pPr>
              <w:pStyle w:val="null3"/>
            </w:pPr>
            <w:r>
              <w:rPr>
                <w:rFonts w:ascii="仿宋_GB2312" w:hAnsi="仿宋_GB2312" w:cs="仿宋_GB2312" w:eastAsia="仿宋_GB2312"/>
              </w:rPr>
              <w:t>针对本项目供应商为西安市奉正塬殡仪馆要求销售的骨灰盒，进行样式设计，提供相关图文资料及寓意等说明。设计方案，图文介绍、寓意介绍完整、合理，完全符合当地传统殡葬习俗的，得5分；设计方案图文介绍、完整、合理，寓意介绍不足，完全符合当地传统殡葬习俗的，得4分；设计方案图文介绍、完整、合理，寓意介绍不足，基本符合传统殡葬习俗的，得3分；设计方案图文介绍、寓意介绍不足，基本符合传统殡葬习俗的，得2分；设计方案图文介绍、寓意介绍不足，不符合传统殡葬习俗的，得1分；未提供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项目实施方案（2）</w:t>
            </w:r>
          </w:p>
        </w:tc>
        <w:tc>
          <w:tcPr>
            <w:tcW w:type="dxa" w:w="2492"/>
          </w:tcPr>
          <w:p>
            <w:pPr>
              <w:pStyle w:val="null3"/>
            </w:pPr>
            <w:r>
              <w:rPr>
                <w:rFonts w:ascii="仿宋_GB2312" w:hAnsi="仿宋_GB2312" w:cs="仿宋_GB2312" w:eastAsia="仿宋_GB2312"/>
              </w:rPr>
              <w:t>供应商针对本项目的供货效率、及时性，供货方案针对性进行打分：供货效率高，能超额完成采购人的供货要求，具有完善的保障措施并针对采购人所在位置其供货进度安排合理有针对性的得3分，方案基本完整、合理，有针对性得2分，方案不够完整、合理，没有针对性得1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项目实施方案（3）</w:t>
            </w:r>
          </w:p>
        </w:tc>
        <w:tc>
          <w:tcPr>
            <w:tcW w:type="dxa" w:w="2492"/>
          </w:tcPr>
          <w:p>
            <w:pPr>
              <w:pStyle w:val="null3"/>
            </w:pPr>
            <w:r>
              <w:rPr>
                <w:rFonts w:ascii="仿宋_GB2312" w:hAnsi="仿宋_GB2312" w:cs="仿宋_GB2312" w:eastAsia="仿宋_GB2312"/>
              </w:rPr>
              <w:t>供应商针对本项目保证货物产品质量的技术方案和措施。方案完整、合理，有针对性得3分，方案基本完整、合理，有针对性得2分，方案不够完整、合理，没有针对性得1分，未提供不得分。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项目实施方案（4）</w:t>
            </w:r>
          </w:p>
        </w:tc>
        <w:tc>
          <w:tcPr>
            <w:tcW w:type="dxa" w:w="2492"/>
          </w:tcPr>
          <w:p>
            <w:pPr>
              <w:pStyle w:val="null3"/>
            </w:pPr>
            <w:r>
              <w:rPr>
                <w:rFonts w:ascii="仿宋_GB2312" w:hAnsi="仿宋_GB2312" w:cs="仿宋_GB2312" w:eastAsia="仿宋_GB2312"/>
              </w:rPr>
              <w:t>供应商在供货和服务方面与采购单位的配合方案。方案完整、合理，有针对性得3分，方案基本完整、合理，有针对性得2分，方案不够完整、合理，没有针对性得1分，未提供不得分。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项目实施方案（5）</w:t>
            </w:r>
          </w:p>
        </w:tc>
        <w:tc>
          <w:tcPr>
            <w:tcW w:type="dxa" w:w="2492"/>
          </w:tcPr>
          <w:p>
            <w:pPr>
              <w:pStyle w:val="null3"/>
            </w:pPr>
            <w:r>
              <w:rPr>
                <w:rFonts w:ascii="仿宋_GB2312" w:hAnsi="仿宋_GB2312" w:cs="仿宋_GB2312" w:eastAsia="仿宋_GB2312"/>
              </w:rPr>
              <w:t>根据供应商的运输、临时储存、制作工艺的创新性、合理性、可行性及可靠性综合进行评分。方案完整、合理，有针对性得3分，方案基本完整、合理，有针对性得2分，方案不够完整、合理，没有针对性得1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项目实施方案（6）</w:t>
            </w:r>
          </w:p>
        </w:tc>
        <w:tc>
          <w:tcPr>
            <w:tcW w:type="dxa" w:w="2492"/>
          </w:tcPr>
          <w:p>
            <w:pPr>
              <w:pStyle w:val="null3"/>
            </w:pPr>
            <w:r>
              <w:rPr>
                <w:rFonts w:ascii="仿宋_GB2312" w:hAnsi="仿宋_GB2312" w:cs="仿宋_GB2312" w:eastAsia="仿宋_GB2312"/>
              </w:rPr>
              <w:t>根据供应商的管理组织、项目实施规范及制度、质量管理体系等管理机制、售后服务体系，是否有完善的管理体系，并能有效实施等综合进行评分。方案完整、合理，有针对性得3分，方案基本完整、合理，有针对性得2分，方案不够完整、合理，没有针对性得1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产品技术指标响应程度</w:t>
            </w:r>
          </w:p>
        </w:tc>
        <w:tc>
          <w:tcPr>
            <w:tcW w:type="dxa" w:w="2492"/>
          </w:tcPr>
          <w:p>
            <w:pPr>
              <w:pStyle w:val="null3"/>
            </w:pPr>
            <w:r>
              <w:rPr>
                <w:rFonts w:ascii="仿宋_GB2312" w:hAnsi="仿宋_GB2312" w:cs="仿宋_GB2312" w:eastAsia="仿宋_GB2312"/>
              </w:rPr>
              <w:t>根据供应商所投产品技术参数满足程度赋分：1、产品技术参数清晰明确，优于或完全满足采购文件全部要求计 15 分；2、产品参数每负偏离一项扣 0.2分，扣完本项分值为止；3、非实质性参数负偏离累计达到15项及以上的，本项得0分；4、未逐条填写产品技术参数表，未对全部产品参数逐项应答的，本项直接得0分。 备注：供应商应逐条对技术参数进行应答，并提交技术参数偏离表证明参数的技术响应性。未提供检测报告、产品样册、第三方检验资料等材料作为辅助佐证材料，本项不得分。</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专业技术人员及技术工人情况</w:t>
            </w:r>
          </w:p>
        </w:tc>
        <w:tc>
          <w:tcPr>
            <w:tcW w:type="dxa" w:w="2492"/>
          </w:tcPr>
          <w:p>
            <w:pPr>
              <w:pStyle w:val="null3"/>
            </w:pPr>
            <w:r>
              <w:rPr>
                <w:rFonts w:ascii="仿宋_GB2312" w:hAnsi="仿宋_GB2312" w:cs="仿宋_GB2312" w:eastAsia="仿宋_GB2312"/>
              </w:rPr>
              <w:t>投标人具有骨灰盒生产制造的相关专业技术人员及技术工人情况，包括但不限于雕刻、设计、表面处理等工序：具备国家认可的相关专业技术证书、职业资格证书或技工证书的，每人得1分，最高得5分。 备注：提供各人员距离开标截止时间前三个月内任意一个月在本单位就职的证明材料，并提供各人员相关证书的复印件或扫描件，否则不得分。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（1）根据样品的①规格，②工艺，③光泽，④质感，⑤档次等情况进行评分。 完全满足本项目产品生产需求得5分，基本满足产品生产需求得3分，有瑕疵得1分。 （2）根据样品的①雕刻精美程度，②图案布局合理程度，③材质厚度，④手感细腻程度，⑤表面有无扎手感，有无凹凸感，线条是否平直，有无明显拼接痕迹，有无防虫霉蛀工艺。 完全满足本项目产品生产需求得5分，基本满足产品生产需求得3分，有瑕疵得1分。 （3）根据样品的①油漆饱满程度，②着色均匀程度，③油漆接缝有无开裂，④取色与产品整体内涵相符程度。 完全满足本项目产品生产需求得5分，基本满足产品生产需求得3分，有瑕疵得1分。 （4）根据样品①表面雕刻图案或文字寓意是否符合丧葬场合，②能否完美诠释生者对逝者的哀思及对后世的美好愿望。 完全满足本项目产品生产需求得5分，基本满足产品生产需求得3分，有瑕疵得1分。 （5）根据样品选材是否优质，厚度是否达标，整盒重实感，实现长久保存、不易腐烂变形（可降解盒除外），完全满足本项目产品生产需求得5分，基本满足产品生产需求得3分，有瑕疵得1分。</w:t>
            </w:r>
          </w:p>
        </w:tc>
        <w:tc>
          <w:tcPr>
            <w:tcW w:type="dxa" w:w="831"/>
          </w:tcPr>
          <w:p>
            <w:pPr>
              <w:pStyle w:val="null3"/>
              <w:jc w:val="right"/>
            </w:pPr>
            <w:r>
              <w:rPr>
                <w:rFonts w:ascii="仿宋_GB2312" w:hAnsi="仿宋_GB2312" w:cs="仿宋_GB2312" w:eastAsia="仿宋_GB2312"/>
              </w:rPr>
              <w:t>25.0000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供应商提供投标截止之日起前3年内签订的同类供货业绩，每份完整有效业绩材料得1分，本项最高5分，业绩时效以合同签订日期为准。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价格分采用低价优先法计算，即满足招标文件要求且投标报价最低的投标报价(单价合计金额)为评标基准价，其价格分为满分。其他供应商的价格分统一按照下列公式计算： 投标报价得分=（评标基准价/投标报价）×价格权值</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项目实施方案（1）</w:t>
            </w:r>
          </w:p>
        </w:tc>
        <w:tc>
          <w:tcPr>
            <w:tcW w:type="dxa" w:w="2492"/>
          </w:tcPr>
          <w:p>
            <w:pPr>
              <w:pStyle w:val="null3"/>
            </w:pPr>
            <w:r>
              <w:rPr>
                <w:rFonts w:ascii="仿宋_GB2312" w:hAnsi="仿宋_GB2312" w:cs="仿宋_GB2312" w:eastAsia="仿宋_GB2312"/>
              </w:rPr>
              <w:t>针对本项目供应商为西安市奉正塬殡仪馆要求销售的骨灰盒，进行样式设计，提供相关图文资料及寓意等说明。设计方案，图文介绍、寓意介绍完整、合理，完全符合当地传统殡葬习俗的，得5分；设计方案图文介绍、完整、合理，寓意介绍不足，完全符合当地传统殡葬习俗的，得4分；设计方案图文介绍、完整、合理，寓意介绍不足，基本符合传统殡葬习俗的，得3分；设计方案图文介绍、寓意介绍不足，基本符合传统殡葬习俗的，得2分；设计方案图文介绍、寓意介绍不足，不符合传统殡葬习俗的，得1分；未提供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项目实施方案（2）</w:t>
            </w:r>
          </w:p>
        </w:tc>
        <w:tc>
          <w:tcPr>
            <w:tcW w:type="dxa" w:w="2492"/>
          </w:tcPr>
          <w:p>
            <w:pPr>
              <w:pStyle w:val="null3"/>
            </w:pPr>
            <w:r>
              <w:rPr>
                <w:rFonts w:ascii="仿宋_GB2312" w:hAnsi="仿宋_GB2312" w:cs="仿宋_GB2312" w:eastAsia="仿宋_GB2312"/>
              </w:rPr>
              <w:t>供应商针对本项目的供货效率、及时性，供货方案针对性进行打分：供货效率高，能超额完成采购人的供货要求，具有完善的保障措施并针对采购人所在位置其供货进度安排合理有针对性的得3分，方案基本完整、合理，有针对性得2分，方案不够完整、合理，没有针对性得1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项目实施方案（3）</w:t>
            </w:r>
          </w:p>
        </w:tc>
        <w:tc>
          <w:tcPr>
            <w:tcW w:type="dxa" w:w="2492"/>
          </w:tcPr>
          <w:p>
            <w:pPr>
              <w:pStyle w:val="null3"/>
            </w:pPr>
            <w:r>
              <w:rPr>
                <w:rFonts w:ascii="仿宋_GB2312" w:hAnsi="仿宋_GB2312" w:cs="仿宋_GB2312" w:eastAsia="仿宋_GB2312"/>
              </w:rPr>
              <w:t>供应商针对本项目保证货物产品质量的技术方案和措施。方案完整、合理，有针对性得3分，方案基本完整、合理，有针对性得2分，方案不够完整、合理，没有针对性得1分，未提供不得分。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项目实施方案（4）</w:t>
            </w:r>
          </w:p>
        </w:tc>
        <w:tc>
          <w:tcPr>
            <w:tcW w:type="dxa" w:w="2492"/>
          </w:tcPr>
          <w:p>
            <w:pPr>
              <w:pStyle w:val="null3"/>
            </w:pPr>
            <w:r>
              <w:rPr>
                <w:rFonts w:ascii="仿宋_GB2312" w:hAnsi="仿宋_GB2312" w:cs="仿宋_GB2312" w:eastAsia="仿宋_GB2312"/>
              </w:rPr>
              <w:t>供应商在供货和服务方面与采购单位的配合方案。方案完整、合理，有针对性得3分，方案基本完整、合理，有针对性得2分，方案不够完整、合理，没有针对性得1分，未提供不得分。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项目实施方案（5）</w:t>
            </w:r>
          </w:p>
        </w:tc>
        <w:tc>
          <w:tcPr>
            <w:tcW w:type="dxa" w:w="2492"/>
          </w:tcPr>
          <w:p>
            <w:pPr>
              <w:pStyle w:val="null3"/>
            </w:pPr>
            <w:r>
              <w:rPr>
                <w:rFonts w:ascii="仿宋_GB2312" w:hAnsi="仿宋_GB2312" w:cs="仿宋_GB2312" w:eastAsia="仿宋_GB2312"/>
              </w:rPr>
              <w:t>根据供应商的运输、临时储存、制作工艺的创新性、合理性、可行性及可靠性综合进行评分。方案完整、合理，有针对性得3分，方案基本完整、合理，有针对性得2分，方案不够完整、合理，没有针对性得1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项目实施方案（6）</w:t>
            </w:r>
          </w:p>
        </w:tc>
        <w:tc>
          <w:tcPr>
            <w:tcW w:type="dxa" w:w="2492"/>
          </w:tcPr>
          <w:p>
            <w:pPr>
              <w:pStyle w:val="null3"/>
            </w:pPr>
            <w:r>
              <w:rPr>
                <w:rFonts w:ascii="仿宋_GB2312" w:hAnsi="仿宋_GB2312" w:cs="仿宋_GB2312" w:eastAsia="仿宋_GB2312"/>
              </w:rPr>
              <w:t>根据供应商的管理组织、项目实施规范及制度、质量管理体系等管理机制、售后服务体系，是否有完善的管理体系，并能有效实施等综合进行评分。方案完整、合理，有针对性得3分，方案基本完整、合理，有针对性得2分，方案不够完整、合理，没有针对性得1分，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产品技术指标响应程度</w:t>
            </w:r>
          </w:p>
        </w:tc>
        <w:tc>
          <w:tcPr>
            <w:tcW w:type="dxa" w:w="2492"/>
          </w:tcPr>
          <w:p>
            <w:pPr>
              <w:pStyle w:val="null3"/>
            </w:pPr>
            <w:r>
              <w:rPr>
                <w:rFonts w:ascii="仿宋_GB2312" w:hAnsi="仿宋_GB2312" w:cs="仿宋_GB2312" w:eastAsia="仿宋_GB2312"/>
              </w:rPr>
              <w:t>根据供应商所投产品技术参数满足程度赋分：1、产品技术参数清晰明确，优于或完全满足采购文件全部要求计 15 分；2、产品参数每负偏离一项扣 0.2分，扣完本项分值为止；3、非实质性参数负偏离累计达到15项及以上的，本项得0分；4、未逐条填写产品技术参数表，未对全部产品参数逐项应答的，本项直接得0分。 备注：供应商应逐条对技术参数进行应答，并提交技术参数偏离表证明参数的技术响应性。未提供检测报告、产品样册、第三方检验资料等材料作为辅助佐证材料，本项不得分。</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专业技术人员及技术工人情况</w:t>
            </w:r>
          </w:p>
        </w:tc>
        <w:tc>
          <w:tcPr>
            <w:tcW w:type="dxa" w:w="2492"/>
          </w:tcPr>
          <w:p>
            <w:pPr>
              <w:pStyle w:val="null3"/>
            </w:pPr>
            <w:r>
              <w:rPr>
                <w:rFonts w:ascii="仿宋_GB2312" w:hAnsi="仿宋_GB2312" w:cs="仿宋_GB2312" w:eastAsia="仿宋_GB2312"/>
              </w:rPr>
              <w:t>投标人具有骨灰盒生产制造的相关专业技术人员及技术工人情况，包括但不限于雕刻、设计、表面处理等工序：具备国家认可的相关专业技术证书、职业资格证书或技工证书的，每人得1分，最高得5分。 备注：提供各人员距离开标截止时间前三个月内任意一个月在本单位就职的证明材料，并提供各人员相关证书的复印件或扫描件，否则不得分。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（1）根据样品的①规格，②工艺，③光泽，④质感，⑤档次等情况进行评分。 完全满足本项目产品生产需求得5分，基本满足产品生产需求得3分，有瑕疵得1分。 （2）根据样品的①雕刻精美程度，②图案布局合理程度，③材质厚度，④手感细腻程度，⑤表面有无扎手感，有无凹凸感，线条是否平直，有无明显拼接痕迹，有无防虫霉蛀工艺。 完全满足本项目产品生产需求得5分，基本满足产品生产需求得3分，有瑕疵得1分。 （3）根据样品的①油漆饱满程度，②着色均匀程度，③油漆接缝有无开裂，④取色与产品整体内涵相符程度。 完全满足本项目产品生产需求得5分，基本满足产品生产需求得3分，有瑕疵得1分。 （4）根据样品①表面雕刻图案或文字寓意是否符合丧葬场合，②能否完美诠释生者对逝者的哀思及对后世的美好愿望。 完全满足本项目产品生产需求得5分，基本满足产品生产需求得3分，有瑕疵得1分。 （5）根据样品选材是否优质，厚度是否达标，整盒重实感，实现长久保存、不易腐烂变形（可降解盒除外），完全满足本项目产品生产需求得5分，基本满足产品生产需求得3分，有瑕疵得1分。</w:t>
            </w:r>
          </w:p>
        </w:tc>
        <w:tc>
          <w:tcPr>
            <w:tcW w:type="dxa" w:w="831"/>
          </w:tcPr>
          <w:p>
            <w:pPr>
              <w:pStyle w:val="null3"/>
              <w:jc w:val="right"/>
            </w:pPr>
            <w:r>
              <w:rPr>
                <w:rFonts w:ascii="仿宋_GB2312" w:hAnsi="仿宋_GB2312" w:cs="仿宋_GB2312" w:eastAsia="仿宋_GB2312"/>
              </w:rPr>
              <w:t>25.0000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供应商提供投标截止之日起前3年内签订的同类供货业绩，每份完整有效业绩材料得1分，本项最高5分，业绩时效以合同签订日期为准。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投标价格得分</w:t>
            </w:r>
          </w:p>
        </w:tc>
        <w:tc>
          <w:tcPr>
            <w:tcW w:type="dxa" w:w="2492"/>
          </w:tcPr>
          <w:p>
            <w:pPr>
              <w:pStyle w:val="null3"/>
            </w:pPr>
            <w:r>
              <w:rPr>
                <w:rFonts w:ascii="仿宋_GB2312" w:hAnsi="仿宋_GB2312" w:cs="仿宋_GB2312" w:eastAsia="仿宋_GB2312"/>
              </w:rPr>
              <w:t xml:space="preserve"> 投标报价得分＝（评标基准价/投标报价）×价格评审值（注：满足招标文件要求且投标价格最低的投标报价为评标基准价。）最低报价不是中标的唯一依据。因落实政府采购政策进行价格调整的，以调整后的价格计算评标基准价和投标报价。</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项目实施方案（1）</w:t>
            </w:r>
          </w:p>
        </w:tc>
        <w:tc>
          <w:tcPr>
            <w:tcW w:type="dxa" w:w="2492"/>
          </w:tcPr>
          <w:p>
            <w:pPr>
              <w:pStyle w:val="null3"/>
            </w:pPr>
            <w:r>
              <w:rPr>
                <w:rFonts w:ascii="仿宋_GB2312" w:hAnsi="仿宋_GB2312" w:cs="仿宋_GB2312" w:eastAsia="仿宋_GB2312"/>
              </w:rPr>
              <w:t>对项目有全面的理解，方案合理、架构明晰；对招标内容理解深入准确，方案可行性高、服务精细到位等进行评分；方案科学合理，可行，针对性强得5分; 方案较合理、可行，但细节待完善;得3分； 方案基本合理、可行;得2分; 方案欠合理;不能完全满足本项目的需要的得1分; 不提供不得分。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项目实施方案（2）</w:t>
            </w:r>
          </w:p>
        </w:tc>
        <w:tc>
          <w:tcPr>
            <w:tcW w:type="dxa" w:w="2492"/>
          </w:tcPr>
          <w:p>
            <w:pPr>
              <w:pStyle w:val="null3"/>
            </w:pPr>
            <w:r>
              <w:rPr>
                <w:rFonts w:ascii="仿宋_GB2312" w:hAnsi="仿宋_GB2312" w:cs="仿宋_GB2312" w:eastAsia="仿宋_GB2312"/>
              </w:rPr>
              <w:t>供应商针对本项目的供货效率、及时性，供货方案针对性进行打分：供货效率高，能超额完成采购人的供货要求，具有完善的保障措施并针对采购人所在位置其供货进度安排合理有针对性的，得5分；供货效率一般，基本能够完成采购人的供货要求，保障措施较少，对采购人所在位置其供货进度安排合理性一般的，得3分；供货效率低下，保障措施较少，对采购人所在位置其供货进度安排合理性有瑕疵的，得1分；供货效率低下，无法完成采购人的供货要求，保障措施较少，对采购人所在位置其供货进度安排不合理的或未提供相关材料的，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项目实施方案（3）</w:t>
            </w:r>
          </w:p>
        </w:tc>
        <w:tc>
          <w:tcPr>
            <w:tcW w:type="dxa" w:w="2492"/>
          </w:tcPr>
          <w:p>
            <w:pPr>
              <w:pStyle w:val="null3"/>
            </w:pPr>
            <w:r>
              <w:rPr>
                <w:rFonts w:ascii="仿宋_GB2312" w:hAnsi="仿宋_GB2312" w:cs="仿宋_GB2312" w:eastAsia="仿宋_GB2312"/>
              </w:rPr>
              <w:t>根据供应商的管理组织、项目实施规范及制度、质量管理体系等管理机制方案进行打分：（1）方案完整合理、质量管理效果强的，得5分；（2）方案完整性一般，合理性一般、质量管理效果一般的，得3分；（3）方案完整性较低、合理性较低，质量管理效果较低的，得1分；方案不合理或未提供相关方案的，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项目实施方案（4）</w:t>
            </w:r>
          </w:p>
        </w:tc>
        <w:tc>
          <w:tcPr>
            <w:tcW w:type="dxa" w:w="2492"/>
          </w:tcPr>
          <w:p>
            <w:pPr>
              <w:pStyle w:val="null3"/>
            </w:pPr>
            <w:r>
              <w:rPr>
                <w:rFonts w:ascii="仿宋_GB2312" w:hAnsi="仿宋_GB2312" w:cs="仿宋_GB2312" w:eastAsia="仿宋_GB2312"/>
              </w:rPr>
              <w:t>根据供应商在货物售前、售中、售后服务方案服务承诺的可行性、完整性以及服务承诺落实的保障措施打分。服务承诺详细、具体、可行性高的得3分；服务承诺不够详尽、可行性一般的得2分；服务承诺略有提及、简单片面、可行性差的得1分；未描述的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项目实施方案（5）</w:t>
            </w:r>
          </w:p>
        </w:tc>
        <w:tc>
          <w:tcPr>
            <w:tcW w:type="dxa" w:w="2492"/>
          </w:tcPr>
          <w:p>
            <w:pPr>
              <w:pStyle w:val="null3"/>
            </w:pPr>
            <w:r>
              <w:rPr>
                <w:rFonts w:ascii="仿宋_GB2312" w:hAnsi="仿宋_GB2312" w:cs="仿宋_GB2312" w:eastAsia="仿宋_GB2312"/>
              </w:rPr>
              <w:t>供应商针对本项目制定完整书面应急预案，涵盖服务响应时限、问题处置能力、各类供货突发专项流程、备用货源储备、应急配送保障、破损鲜花补发、大批量临时加单处置等内容，依据方案完整性、落地可行性、场景适配度综合赋分：（1）应急预案内容完整详实、逻辑条理清晰，完全贴合殡仪馆悼念鲜花供应场景，专项突发场景全覆盖；精准细化 应急响应时限，多渠道备用供货商长期合作协议、应急冷链配送保障、鲜花品质补救、缺货加急补发等，货源调配、应急补送、售后赔付处置流程闭环完善，应急履约保障能力强、方案可落地执行，得2分；（2）应急预案框架完整，覆盖基础突发处置场景，列明常规应急响应时限与基础处理措施；具备单一备用供货渠道或简易配送应急方案，但流程细化不足、有缺失，针对殡葬业务特殊高峰期、临时加急订单的专项保障举措单薄，场景针对性一般，得1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花材技术指标响应程度</w:t>
            </w:r>
          </w:p>
        </w:tc>
        <w:tc>
          <w:tcPr>
            <w:tcW w:type="dxa" w:w="2492"/>
          </w:tcPr>
          <w:p>
            <w:pPr>
              <w:pStyle w:val="null3"/>
            </w:pPr>
            <w:r>
              <w:rPr>
                <w:rFonts w:ascii="仿宋_GB2312" w:hAnsi="仿宋_GB2312" w:cs="仿宋_GB2312" w:eastAsia="仿宋_GB2312"/>
              </w:rPr>
              <w:t>依据供应商对采购文件全部花材、叶材、辅材规格、品质、尺寸等带“★”强制性技术参数的应答情况评审： 1、本项目全部花材、叶材、辅材技术参数均为“★”实质性要求，任意一项参数存在负偏离，直接判定投标文件无效； 2、全部“★”技术参数逐条完整响应、无任何负偏离，同时提交加盖公章的花材质量履约承诺函，得15分； 3、未逐条填写产品技术参数表，未对全部花材、叶材、辅材参数逐项应答的，本项直接得 0分。 备注：本项评审依据为产品技术参数表及花材质量履约承诺函。</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货源渠道与全品类供货保障</w:t>
            </w:r>
          </w:p>
        </w:tc>
        <w:tc>
          <w:tcPr>
            <w:tcW w:type="dxa" w:w="2492"/>
          </w:tcPr>
          <w:p>
            <w:pPr>
              <w:pStyle w:val="null3"/>
            </w:pPr>
            <w:r>
              <w:rPr>
                <w:rFonts w:ascii="仿宋_GB2312" w:hAnsi="仿宋_GB2312" w:cs="仿宋_GB2312" w:eastAsia="仿宋_GB2312"/>
              </w:rPr>
              <w:t>依据供应商提供基地租赁/自有证明、产地一级供货商长期合作协议、溯源等有效证明材料，对供货品类、采购渠道、鲜花品质及新鲜度保障综合评价。品类齐全全覆盖，渠道正规稳定，全套证明材料完整得10分；依次按材料完整度、供货稳定性梯度扣分；未提供任何相关证明材料得0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仓储冷链、配送履约能力</w:t>
            </w:r>
          </w:p>
        </w:tc>
        <w:tc>
          <w:tcPr>
            <w:tcW w:type="dxa" w:w="2492"/>
          </w:tcPr>
          <w:p>
            <w:pPr>
              <w:pStyle w:val="null3"/>
            </w:pPr>
            <w:r>
              <w:rPr>
                <w:rFonts w:ascii="仿宋_GB2312" w:hAnsi="仿宋_GB2312" w:cs="仿宋_GB2312" w:eastAsia="仿宋_GB2312"/>
              </w:rPr>
              <w:t>依据供应商提供的保鲜仓储场地证明、冷链配送相关证明、配送人员、配送时效承诺函等材料评审。具备专用鲜花保鲜仓储、冷链配送保障，人员、时效承诺齐全得 10分；根据场地、车辆、人员、承诺材料完整性梯度扣分；无相关证明材料得0分。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供应商提供投标截止之日起前3年内签订的类似供货业绩，每份完整有效业绩材料得3分，本项最高15分，业绩时效以合同签订日期为准。</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价格分采用低价优先法计算，即满足招标文件要求且投标报价最低的投标报价(单价合计金额)为评标基准价，其价格分为满分。其他供应商的价格分统一按照下列公式计算： 投标报价得分=（评标基准价/投标报价）×价格权值</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tc>
      </w:tr>
    </w:tbl>
    <w:p>
      <w:pPr>
        <w:pStyle w:val="null3"/>
      </w:pPr>
      <w:r>
        <w:rPr>
          <w:rFonts w:ascii="仿宋_GB2312" w:hAnsi="仿宋_GB2312" w:cs="仿宋_GB2312" w:eastAsia="仿宋_GB2312"/>
        </w:rPr>
        <w:t>采购包4：</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方案设计</w:t>
            </w:r>
          </w:p>
        </w:tc>
        <w:tc>
          <w:tcPr>
            <w:tcW w:type="dxa" w:w="2492"/>
          </w:tcPr>
          <w:p>
            <w:pPr>
              <w:pStyle w:val="null3"/>
            </w:pPr>
            <w:r>
              <w:rPr>
                <w:rFonts w:ascii="仿宋_GB2312" w:hAnsi="仿宋_GB2312" w:cs="仿宋_GB2312" w:eastAsia="仿宋_GB2312"/>
              </w:rPr>
              <w:t>1、根据投标人提供的墓碑深化设计尺寸图从墓碑结构设计合理性，尺寸标注详细度，图面整洁美观度，对墓碑设计的见解方面进行打分。设计合理，详细整洁美观，见解独到视为符合要求，符合得2分，部分符合得1.5分，少部分符合得1分，缺少图纸或未提供的不得分。 2、根据投标人提供的墓碑深化设计效果图从墓碑比例和谐性，材质准确度，效果逼真度，图面清晰美观度方面进行打分。效果图比例和谐、材质准确、效果逼真、图面清晰美观视为符合要求，符合得2分，部分符合得1.5分，少部分符合得1分，缺少图纸或未提供的不得分。 3、根据投标人提供的墓碑安装图从安装方案详细度，准确度，易于理解程度、图面清晰美观度方面进行打分。安装图及方案详细准确、易于理解、图面清晰视为符合要求，符合得2分，部分符合得1.5分，少部分符合得1分，缺少图纸或未提供的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项目实施方案（1）</w:t>
            </w:r>
          </w:p>
        </w:tc>
        <w:tc>
          <w:tcPr>
            <w:tcW w:type="dxa" w:w="2492"/>
          </w:tcPr>
          <w:p>
            <w:pPr>
              <w:pStyle w:val="null3"/>
            </w:pPr>
            <w:r>
              <w:rPr>
                <w:rFonts w:ascii="仿宋_GB2312" w:hAnsi="仿宋_GB2312" w:cs="仿宋_GB2312" w:eastAsia="仿宋_GB2312"/>
              </w:rPr>
              <w:t>供应商针对本项目确保供货期、及时供货、配送方式情况及供货量等保障措施。方案综合考虑项目情况并能提供合理凭证，方案完整、合理，有针对性视为符合要求，符合得3分，部分符合得2分，少部分符合得1分，不符合或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项目实施方案（2）</w:t>
            </w:r>
          </w:p>
        </w:tc>
        <w:tc>
          <w:tcPr>
            <w:tcW w:type="dxa" w:w="2492"/>
          </w:tcPr>
          <w:p>
            <w:pPr>
              <w:pStyle w:val="null3"/>
            </w:pPr>
            <w:r>
              <w:rPr>
                <w:rFonts w:ascii="仿宋_GB2312" w:hAnsi="仿宋_GB2312" w:cs="仿宋_GB2312" w:eastAsia="仿宋_GB2312"/>
              </w:rPr>
              <w:t>供应商针对本项目保证货物产品质量的技术方案和措施，包括原材料保障措施，产品生产出厂的质量保障，制作工艺的质量保障，包装、运输中的质量保障及其他可预见情况时的保障等。方案综合考虑项目情况并能提供合理凭证，方案完整、合理，有针对性视为符合要求，符合得3分，部分符合得2分，少部分符合得1分，不符合或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项目实施方案（3）</w:t>
            </w:r>
          </w:p>
        </w:tc>
        <w:tc>
          <w:tcPr>
            <w:tcW w:type="dxa" w:w="2492"/>
          </w:tcPr>
          <w:p>
            <w:pPr>
              <w:pStyle w:val="null3"/>
            </w:pPr>
            <w:r>
              <w:rPr>
                <w:rFonts w:ascii="仿宋_GB2312" w:hAnsi="仿宋_GB2312" w:cs="仿宋_GB2312" w:eastAsia="仿宋_GB2312"/>
              </w:rPr>
              <w:t>根据供应商提供的售后服务承诺书内容的完整性、可行性、响应时间、定期回访（每次墓碑安装工作完成后）、售后人员的配置及其专业性等进行评审。 售后服务方案详细、完整，服务经验丰富，符合采购人实际情况，有很强针对性和可行性的得3分；售后服务方案比较详细、完整，服务经验较丰富，基本符合采购人实际情况，有针对性和可行性的得2分；售后服务方案一般、基本完整，有一定的服务经验，多数符合采购人实际情况，有一定针对性和可行性的得1分；未提供或不满足招标文件要求的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项目实施方案（4）</w:t>
            </w:r>
          </w:p>
        </w:tc>
        <w:tc>
          <w:tcPr>
            <w:tcW w:type="dxa" w:w="2492"/>
          </w:tcPr>
          <w:p>
            <w:pPr>
              <w:pStyle w:val="null3"/>
            </w:pPr>
            <w:r>
              <w:rPr>
                <w:rFonts w:ascii="仿宋_GB2312" w:hAnsi="仿宋_GB2312" w:cs="仿宋_GB2312" w:eastAsia="仿宋_GB2312"/>
              </w:rPr>
              <w:t>供应商制定详细的加工实施方案内容包括：①实施流程；②运作机制；③设计加工④人员配置。方案完整、合理，有针对性视为符合要求，符合得3分，部分符合得2分，少部分符合得1分，不符合或未提供不得分。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项目实施方案（5）</w:t>
            </w:r>
          </w:p>
        </w:tc>
        <w:tc>
          <w:tcPr>
            <w:tcW w:type="dxa" w:w="2492"/>
          </w:tcPr>
          <w:p>
            <w:pPr>
              <w:pStyle w:val="null3"/>
            </w:pPr>
            <w:r>
              <w:rPr>
                <w:rFonts w:ascii="仿宋_GB2312" w:hAnsi="仿宋_GB2312" w:cs="仿宋_GB2312" w:eastAsia="仿宋_GB2312"/>
              </w:rPr>
              <w:t>投诉及突发事件处理方案：丧户投诉处理及突发事件应急预案及处理方案，突发事件应对能力，临时任务应急能力、突发事件应急预案、方案完整、合理，有针对性视为符合要求，符合得2分，部分符合得1.5分，少部分符合得1分，不符合或未提供不得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产品技术指标响应程度</w:t>
            </w:r>
          </w:p>
        </w:tc>
        <w:tc>
          <w:tcPr>
            <w:tcW w:type="dxa" w:w="2492"/>
          </w:tcPr>
          <w:p>
            <w:pPr>
              <w:pStyle w:val="null3"/>
            </w:pPr>
            <w:r>
              <w:rPr>
                <w:rFonts w:ascii="仿宋_GB2312" w:hAnsi="仿宋_GB2312" w:cs="仿宋_GB2312" w:eastAsia="仿宋_GB2312"/>
              </w:rPr>
              <w:t>根据供应商所投产品技术参数满足程度赋分：1、产品技术参数清晰明确，优于或完全满足采购文件全部要求计 11 分；2、产品参数每负偏离一项扣2分，扣完本项分值为止；3、非实质性参数负偏离数量达到本包全部技术参数总数量的50%及以上的，本项得 0 分；4、未逐条填写产品技术参数表，未对全部产品参数逐项应答的，本项直接得0分。 备注：供应商应逐条对技术参数进行应答，并提交技术参数偏离表证明参数的技术响应性。未提供检测报告、产品样册、第三方检验资料等材料作为辅助佐证材料，本项不得分。</w:t>
            </w:r>
          </w:p>
        </w:tc>
        <w:tc>
          <w:tcPr>
            <w:tcW w:type="dxa" w:w="831"/>
          </w:tcPr>
          <w:p>
            <w:pPr>
              <w:pStyle w:val="null3"/>
              <w:jc w:val="right"/>
            </w:pPr>
            <w:r>
              <w:rPr>
                <w:rFonts w:ascii="仿宋_GB2312" w:hAnsi="仿宋_GB2312" w:cs="仿宋_GB2312" w:eastAsia="仿宋_GB2312"/>
              </w:rPr>
              <w:t>11.0000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专业技术人员及技术工人情况</w:t>
            </w:r>
          </w:p>
        </w:tc>
        <w:tc>
          <w:tcPr>
            <w:tcW w:type="dxa" w:w="2492"/>
          </w:tcPr>
          <w:p>
            <w:pPr>
              <w:pStyle w:val="null3"/>
            </w:pPr>
            <w:r>
              <w:rPr>
                <w:rFonts w:ascii="仿宋_GB2312" w:hAnsi="仿宋_GB2312" w:cs="仿宋_GB2312" w:eastAsia="仿宋_GB2312"/>
              </w:rPr>
              <w:t>供应商提供专业技能的服务人员：墓碑设计师、石材制品护理工、石材制品质检员、石材制品影雕工、石材工艺品雕刻工、石材制品安装工、石材制品打磨工，每个技能岗位每提供1人得2分，不重复计分。 备注：提供各人员距离开标截止时间前三个月内任意一个月在本单位就职的证明材料，并提供各人员相关证书的复印件或扫描件，否则不得分。。</w:t>
            </w:r>
          </w:p>
        </w:tc>
        <w:tc>
          <w:tcPr>
            <w:tcW w:type="dxa" w:w="831"/>
          </w:tcPr>
          <w:p>
            <w:pPr>
              <w:pStyle w:val="null3"/>
              <w:jc w:val="right"/>
            </w:pPr>
            <w:r>
              <w:rPr>
                <w:rFonts w:ascii="仿宋_GB2312" w:hAnsi="仿宋_GB2312" w:cs="仿宋_GB2312" w:eastAsia="仿宋_GB2312"/>
              </w:rPr>
              <w:t>14.0000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一、评审内容： 供应商提供本次生产及设计的墓园墓碑产品。评审内容包含：①外观；②设计；③工艺；④实用性。 二、评审标准： 1.完整性：方案必须全面，对评审内容中的各项要求有详细描述； 2.可实施性：切合本项目实际情况，提出步骤清晰、合理的方案； 3.针对性：方案能够紧扣项目实际情况，内容科学合理。 根据对每一项内容其针对性、完整性、可实施性，得0-5分。缺一项扣5分。</w:t>
            </w:r>
          </w:p>
        </w:tc>
        <w:tc>
          <w:tcPr>
            <w:tcW w:type="dxa" w:w="831"/>
          </w:tcPr>
          <w:p>
            <w:pPr>
              <w:pStyle w:val="null3"/>
              <w:jc w:val="right"/>
            </w:pPr>
            <w:r>
              <w:rPr>
                <w:rFonts w:ascii="仿宋_GB2312" w:hAnsi="仿宋_GB2312" w:cs="仿宋_GB2312" w:eastAsia="仿宋_GB2312"/>
              </w:rPr>
              <w:t>20.0000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投标方案.docx</w:t>
            </w:r>
          </w:p>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供应商提供投标截止之日起前3年内签订的同类供货业绩，每份完整有效业绩材料得1分，本项最高5分，业绩时效以合同签订日期为准。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价格分采用低价优先法计算，即满足招标文件要求且投标报价最低的投标报价(单价合计金额)为评标基准价，其价格分为满分。其他供应商的价格分统一按照下列公式计算： 投标报价得分=（评标基准价/投标报价）×价格权值</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tc>
      </w:tr>
    </w:tbl>
    <w:p>
      <w:pPr>
        <w:pStyle w:val="null3"/>
      </w:pPr>
      <w:r>
        <w:rPr>
          <w:rFonts w:ascii="仿宋_GB2312" w:hAnsi="仿宋_GB2312" w:cs="仿宋_GB2312" w:eastAsia="仿宋_GB2312"/>
        </w:rPr>
        <w:t>采购包5：</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方案设计</w:t>
            </w:r>
          </w:p>
        </w:tc>
        <w:tc>
          <w:tcPr>
            <w:tcW w:type="dxa" w:w="2492"/>
          </w:tcPr>
          <w:p>
            <w:pPr>
              <w:pStyle w:val="null3"/>
            </w:pPr>
            <w:r>
              <w:rPr>
                <w:rFonts w:ascii="仿宋_GB2312" w:hAnsi="仿宋_GB2312" w:cs="仿宋_GB2312" w:eastAsia="仿宋_GB2312"/>
              </w:rPr>
              <w:t>1、根据投标人提供的墓碑深化设计尺寸图从墓碑结构设计合理性，尺寸标注详细度，图面整洁美观度，对墓碑设计的见解方面进行打分。设计合理，详细整洁美观，见解独到视为符合要求，符合得2分，部分符合得1.5分，少部分符合得1分，缺少图纸或未提供的不得分。 2、根据投标人提供的墓碑深化设计效果图从墓碑比例和谐性，材质准确度，效果逼真度，图面清晰美观度方面进行打分。效果图比例和谐、材质准确、效果逼真、图面清晰美观视为符合要求，符合得2分，部分符合得1.5分，少部分符合得1分，缺少图纸或未提供的不得分。 3、根据投标人提供的墓碑安装图从安装方案详细度，准确度，易于理解程度、图面清晰美观度方面进行打分。安装图及方案详细准确、易于理解、图面清晰视为符合要求，符合得2分，部分符合得1.5分，少部分符合得1分，缺少图纸或未提供的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项目实施方案（1）</w:t>
            </w:r>
          </w:p>
        </w:tc>
        <w:tc>
          <w:tcPr>
            <w:tcW w:type="dxa" w:w="2492"/>
          </w:tcPr>
          <w:p>
            <w:pPr>
              <w:pStyle w:val="null3"/>
            </w:pPr>
            <w:r>
              <w:rPr>
                <w:rFonts w:ascii="仿宋_GB2312" w:hAnsi="仿宋_GB2312" w:cs="仿宋_GB2312" w:eastAsia="仿宋_GB2312"/>
              </w:rPr>
              <w:t>供应商针对本项目确保供货期、及时供货、配送方式情况及供货量等保障措施。方案综合考虑项目情况并能提供合理凭证，方案完整、合理，有针对性视为符合要求，符合得3分，部分符合得2分，少部分符合得1分，不符合或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项目实施方案（2）</w:t>
            </w:r>
          </w:p>
        </w:tc>
        <w:tc>
          <w:tcPr>
            <w:tcW w:type="dxa" w:w="2492"/>
          </w:tcPr>
          <w:p>
            <w:pPr>
              <w:pStyle w:val="null3"/>
            </w:pPr>
            <w:r>
              <w:rPr>
                <w:rFonts w:ascii="仿宋_GB2312" w:hAnsi="仿宋_GB2312" w:cs="仿宋_GB2312" w:eastAsia="仿宋_GB2312"/>
              </w:rPr>
              <w:t>供应商针对本项目保证货物产品质量的技术方案和措施，包括原材料保障措施，产品生产出厂的质量保障，制作工艺的质量保障，包装、运输中的质量保障及其他可预见情况时的保障等。方案综合考虑项目情况并能提供合理凭证，方案完整、合理，有针对性视为符合要求，符合得3分，部分符合得2分，少部分符合得1分，不符合或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项目实施方案（3）</w:t>
            </w:r>
          </w:p>
        </w:tc>
        <w:tc>
          <w:tcPr>
            <w:tcW w:type="dxa" w:w="2492"/>
          </w:tcPr>
          <w:p>
            <w:pPr>
              <w:pStyle w:val="null3"/>
            </w:pPr>
            <w:r>
              <w:rPr>
                <w:rFonts w:ascii="仿宋_GB2312" w:hAnsi="仿宋_GB2312" w:cs="仿宋_GB2312" w:eastAsia="仿宋_GB2312"/>
              </w:rPr>
              <w:t>根据供应商提供的售后服务承诺书内容的完整性、可行性、响应时间、定期回访（每次墓碑安装工作完成后）、售后人员的配置及其专业性等进行评审。 售后服务方案详细、完整，服务经验丰富，符合采购人实际情况，有很强针对性和可行性的得3分；售后服务方案比较详细、完整，服务经验较丰富，基本符合采购人实际情况，有针对性和可行性的得2分；售后服务方案一般、基本完整，有一定的服务经验，多数符合采购人实际情况，有一定针对性和可行性的得1分；未提供或不满足招标文件要求的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项目实施方案（4）</w:t>
            </w:r>
          </w:p>
        </w:tc>
        <w:tc>
          <w:tcPr>
            <w:tcW w:type="dxa" w:w="2492"/>
          </w:tcPr>
          <w:p>
            <w:pPr>
              <w:pStyle w:val="null3"/>
            </w:pPr>
            <w:r>
              <w:rPr>
                <w:rFonts w:ascii="仿宋_GB2312" w:hAnsi="仿宋_GB2312" w:cs="仿宋_GB2312" w:eastAsia="仿宋_GB2312"/>
              </w:rPr>
              <w:t>供应商制定详细的加工实施方案内容包括：①实施流程；②运作机制；③设计加工④人员配置。方案完整、合理，有针对性视为符合要求，符合得3分，部分符合得2分，少部分符合得1分，不符合或未提供不得分。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项目实施方案（5）</w:t>
            </w:r>
          </w:p>
        </w:tc>
        <w:tc>
          <w:tcPr>
            <w:tcW w:type="dxa" w:w="2492"/>
          </w:tcPr>
          <w:p>
            <w:pPr>
              <w:pStyle w:val="null3"/>
            </w:pPr>
            <w:r>
              <w:rPr>
                <w:rFonts w:ascii="仿宋_GB2312" w:hAnsi="仿宋_GB2312" w:cs="仿宋_GB2312" w:eastAsia="仿宋_GB2312"/>
              </w:rPr>
              <w:t>投诉及突发事件处理方案：丧户投诉处理及突发事件应急预案及处理方案，突发事件应对能力，临时任务应急能力、突发事件应急预案、方案完整、合理，有针对性视为符合要求，符合得2分，部分符合得1.5分，少部分符合得1分，不符合或未提供不得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产品技术指标响应程度</w:t>
            </w:r>
          </w:p>
        </w:tc>
        <w:tc>
          <w:tcPr>
            <w:tcW w:type="dxa" w:w="2492"/>
          </w:tcPr>
          <w:p>
            <w:pPr>
              <w:pStyle w:val="null3"/>
            </w:pPr>
            <w:r>
              <w:rPr>
                <w:rFonts w:ascii="仿宋_GB2312" w:hAnsi="仿宋_GB2312" w:cs="仿宋_GB2312" w:eastAsia="仿宋_GB2312"/>
              </w:rPr>
              <w:t>根据供应商所投产品技术参数满足程度赋分：1、产品技术参数清晰明确，优于或完全满足采购文件全部要求计 11分；2、产品参数每负偏离一项扣2分，扣完本项分值为止；3、非实质性参数负偏离数量达到本包全部技术参数总数量的50%及以上的，本项得 0 分；4、未逐条填写产品技术参数表，未对全部产品参数逐项应答的，本项直接得0分。 备注：供应商应逐条对技术参数进行应答，并提交技术参数偏离表证明参数的技术响应性。未提供检测报告、产品样册、第三方检验资料等材料作为辅助佐证材料，本项不得分。</w:t>
            </w:r>
          </w:p>
        </w:tc>
        <w:tc>
          <w:tcPr>
            <w:tcW w:type="dxa" w:w="831"/>
          </w:tcPr>
          <w:p>
            <w:pPr>
              <w:pStyle w:val="null3"/>
              <w:jc w:val="right"/>
            </w:pPr>
            <w:r>
              <w:rPr>
                <w:rFonts w:ascii="仿宋_GB2312" w:hAnsi="仿宋_GB2312" w:cs="仿宋_GB2312" w:eastAsia="仿宋_GB2312"/>
              </w:rPr>
              <w:t>11.0000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专业技术人员及技术工人情况</w:t>
            </w:r>
          </w:p>
        </w:tc>
        <w:tc>
          <w:tcPr>
            <w:tcW w:type="dxa" w:w="2492"/>
          </w:tcPr>
          <w:p>
            <w:pPr>
              <w:pStyle w:val="null3"/>
            </w:pPr>
            <w:r>
              <w:rPr>
                <w:rFonts w:ascii="仿宋_GB2312" w:hAnsi="仿宋_GB2312" w:cs="仿宋_GB2312" w:eastAsia="仿宋_GB2312"/>
              </w:rPr>
              <w:t>供应商提供专业技能的服务人员：墓碑设计师、石材制品护理工、石材制品质检员、石材制品影雕工、石材工艺品雕刻工、石材制品安装工、石材制品打磨工，每个技能岗位每提供1人得2分，不重复计分。 备注：提供各人员距离开标截止时间前三个月内任意一个月在本单位就职的证明材料，并提供各人员相关证书的复印件或扫描件，否则不得分。。</w:t>
            </w:r>
          </w:p>
        </w:tc>
        <w:tc>
          <w:tcPr>
            <w:tcW w:type="dxa" w:w="831"/>
          </w:tcPr>
          <w:p>
            <w:pPr>
              <w:pStyle w:val="null3"/>
              <w:jc w:val="right"/>
            </w:pPr>
            <w:r>
              <w:rPr>
                <w:rFonts w:ascii="仿宋_GB2312" w:hAnsi="仿宋_GB2312" w:cs="仿宋_GB2312" w:eastAsia="仿宋_GB2312"/>
              </w:rPr>
              <w:t>14.0000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一、评审内容： 供应商提供本次生产及设计的墓园墓碑产品。评审内容包含：①外观；②设计；③工艺；④实用性。 二、评审标准： 1.完整性：方案必须全面，对评审内容中的各项要求有详细描述； 2.可实施性：切合本项目实际情况，提出步骤清晰、合理的方案； 3.针对性：方案能够紧扣项目实际情况，内容科学合理。 根据对每一项内容其针对性、完整性、可实施性，得0-5分。缺一项扣5分。</w:t>
            </w:r>
          </w:p>
        </w:tc>
        <w:tc>
          <w:tcPr>
            <w:tcW w:type="dxa" w:w="831"/>
          </w:tcPr>
          <w:p>
            <w:pPr>
              <w:pStyle w:val="null3"/>
              <w:jc w:val="right"/>
            </w:pPr>
            <w:r>
              <w:rPr>
                <w:rFonts w:ascii="仿宋_GB2312" w:hAnsi="仿宋_GB2312" w:cs="仿宋_GB2312" w:eastAsia="仿宋_GB2312"/>
              </w:rPr>
              <w:t>20.0000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供应商提供投标截止之日起前3年内签订的同类供货业绩，每份完整有效业绩材料得1分，本项最高5分，业绩时效以合同签订日期为准。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投标方案.docx</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价格分采用低价优先法计算，即满足招标文件要求且投标报价最低的投标报价(单价合计金额)为评标基准价，其价格分为满分。其他供应商的价格分统一按照下列公式计算： 投标报价得分=（评标基准价/投标报价）×价格权值</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2、评分标准中要求提供复印件的证明材料须清晰可辨。</w:t>
      </w:r>
    </w:p>
    <w:p>
      <w:pPr>
        <w:pStyle w:val="null3"/>
        <w:ind w:firstLine="480"/>
      </w:pPr>
      <w:r>
        <w:rPr>
          <w:rFonts w:ascii="仿宋_GB2312" w:hAnsi="仿宋_GB2312" w:cs="仿宋_GB2312" w:eastAsia="仿宋_GB2312"/>
        </w:rPr>
        <w:t xml:space="preserve"> 若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 不得发表倾向性、引导性意见，不得修改或细化采购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（五）在评审过程中和评审结束后，不得记录、复制或带走任何评审资料，除因配合答复处理供应商的询问、质疑和投诉等事项外，不得向外界透露评审内容。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（七）遵守有关廉洁自律规定，不得私下接触供应商， 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详见附件：投标方案.docx</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详见附件：投标方案.docx</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详见附件：投标方案.docx</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详见附件：投标方案.docx</w:t>
      </w:r>
    </w:p>
    <w:p>
      <w:pPr>
        <w:pStyle w:val="null3"/>
      </w:pPr>
      <w:r>
        <w:rPr>
          <w:rFonts w:ascii="仿宋_GB2312" w:hAnsi="仿宋_GB2312" w:cs="仿宋_GB2312" w:eastAsia="仿宋_GB2312"/>
        </w:rPr>
        <w:t>采购包5：</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详见附件：投标方案.docx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拟签订采购合同文本</w:t>
      </w:r>
    </w:p>
    <w:p>
      <w:pPr>
        <w:pStyle w:val="null3"/>
      </w:pPr>
      <w:r>
        <w:rPr>
          <w:rFonts w:ascii="仿宋_GB2312" w:hAnsi="仿宋_GB2312" w:cs="仿宋_GB2312" w:eastAsia="仿宋_GB2312"/>
        </w:rPr>
        <w:t>详见附件：合同文本.docx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14" Target="media/image9.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jpe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