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供应商为具有独立承担民事责任能力的企业法人或其他组织或自然人，并出具有效的营业执照（事业法人证）或证明文件或自然人的身份证明；</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BCB73B">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0DF6D99F">
      <w:pPr>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投标产品属于第二类医疗器械管理的，投标人需提供第二类医疗器械经营备案凭证（投标产品须在经营范围内）；投标产品属于第三类医疗器械管理的，投标人需提供医疗器械经营许可证（投标产品须在经营范围内）。投标人为产品制造厂家的，须提供医疗器械生产许可证（投标产品须在生产许可范围内）；投标产品属于医疗器械管理范围的，须提供有效的</w:t>
      </w:r>
      <w:bookmarkStart w:id="1" w:name="_GoBack"/>
      <w:bookmarkEnd w:id="1"/>
      <w:r>
        <w:rPr>
          <w:rFonts w:hint="eastAsia" w:ascii="宋体" w:hAnsi="宋体" w:cs="宋体"/>
          <w:b/>
          <w:bCs/>
          <w:sz w:val="28"/>
          <w:szCs w:val="28"/>
          <w:u w:val="none"/>
          <w:lang w:val="en-US" w:eastAsia="zh-CN"/>
        </w:rPr>
        <w:t>医疗器械注册证（含附件）。</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869BE"/>
    <w:rsid w:val="08EF454F"/>
    <w:rsid w:val="17006300"/>
    <w:rsid w:val="32A95258"/>
    <w:rsid w:val="45437DBB"/>
    <w:rsid w:val="544E2F80"/>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934</Words>
  <Characters>976</Characters>
  <Lines>0</Lines>
  <Paragraphs>0</Paragraphs>
  <TotalTime>3</TotalTime>
  <ScaleCrop>false</ScaleCrop>
  <LinksUpToDate>false</LinksUpToDate>
  <CharactersWithSpaces>1484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2026-05-29T07:44:28Z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3BF2B2722527412A96BD058F54376FEB_13</vt:lpwstr>
  </property>
</Properties>
</file>