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版本号：SXKR2026083120260903001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机房基础环境改造提升服务项目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SXKR20260831</w:t>
      </w:r>
      <w:r>
        <w:br/>
      </w:r>
      <w:r>
        <w:br/>
      </w:r>
      <w:r>
        <w:br/>
      </w:r>
    </w:p>
    <w:p>
      <w:pPr>
        <w:pStyle w:val="null3"/>
        <w:jc w:val="center"/>
        <w:outlineLvl w:val="2"/>
      </w:pPr>
      <w:r>
        <w:rPr>
          <w:rFonts w:ascii="仿宋_GB2312" w:hAnsi="仿宋_GB2312" w:cs="仿宋_GB2312" w:eastAsia="仿宋_GB2312"/>
          <w:sz w:val="28"/>
          <w:b/>
        </w:rPr>
        <w:t>陕西省环境信息中心</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陕西省环境信息中心</w:t>
      </w:r>
      <w:r>
        <w:rPr>
          <w:rFonts w:ascii="仿宋_GB2312" w:hAnsi="仿宋_GB2312" w:cs="仿宋_GB2312" w:eastAsia="仿宋_GB2312"/>
        </w:rPr>
        <w:t>委托，拟对</w:t>
      </w:r>
      <w:r>
        <w:rPr>
          <w:rFonts w:ascii="仿宋_GB2312" w:hAnsi="仿宋_GB2312" w:cs="仿宋_GB2312" w:eastAsia="仿宋_GB2312"/>
        </w:rPr>
        <w:t>机房基础环境改造提升服务项目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SXKR20260831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机房基础环境改造提升服务项目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环境信息中心核心机房建筑面积约220平方米，因投用年限较长，机房现有基础环境配套、综合布线、制冷系统、供配电等核心基础设施普遍存在老化、性能衰减等问题，滋生供电过载、通信布线混乱、冷通道密封失效、精密空调积水及机房水淹等多项重大安全运行隐患。当前机房设施的安全性、稳定性已无法满足现有业务系统长期、连续、可靠的运行要求，开展机房基础环境专项提升服务极具必要性、紧迫性。本次服务以彻底消除机房安全运行隐患、规范基础设施运维管控标准、提升机房标准化运维管控能力为总体目标，服务实施全过程严格落实不停机作业保障机制，确保全省生态环境各类在运业务系统不间断稳定运行。项目服务完成后，机房整体运维保障水平将全面符合国家数据中心机房相关建设规范及标准要求，进一步夯实信息化基础设施支撑能力，保障全省生态环境业务系统长期安全、稳定、高效运转。详见磋商文件第三章磋商项目技术、服务、商务及其他要求，具体要求以磋商文件全部内容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采购包1（陕西省环境信息中心机房基础环境改造提升服务项目）：属于专门面向中小企业采购。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关联关系：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pPr>
        <w:pStyle w:val="null3"/>
      </w:pPr>
      <w:r>
        <w:rPr>
          <w:rFonts w:ascii="仿宋_GB2312" w:hAnsi="仿宋_GB2312" w:cs="仿宋_GB2312" w:eastAsia="仿宋_GB2312"/>
        </w:rPr>
        <w:t>2、授权代表：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提供法定代表人授权书及授权代表合法有效的身份证扫描件；</w:t>
      </w:r>
    </w:p>
    <w:p>
      <w:pPr>
        <w:pStyle w:val="null3"/>
      </w:pPr>
      <w:r>
        <w:rPr>
          <w:rFonts w:ascii="仿宋_GB2312" w:hAnsi="仿宋_GB2312" w:cs="仿宋_GB2312" w:eastAsia="仿宋_GB2312"/>
        </w:rPr>
        <w:t>3、是否接受联合体投标：本项目不接受联合体投标。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陕西省环境信息中心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西影路112号环保大厦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029-85429312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姚瑶、代光艳、刘昆、王昭、王森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15805192953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采购包1：433,000.00元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按成交金额作为收费的计算基数，收取标准参照《招标代理服务收费管理暂行办法》（计价格〔2002〕1980号）和《关于降低部分建设项目收费标准规范收费行为等有关问题的通知》（发改价格〔2011〕534号）的有关规定向采购代理机构一次付清代理服务费，不足8000元按8000元计取。（招标代理服务费在缴付时需备注xxxx项目简称+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陕西省环境信息中心</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陕西省环境信息中心</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陕西省环境信息中心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联系人：姚瑶、刘昆</w:t>
      </w:r>
    </w:p>
    <w:p>
      <w:pPr>
        <w:pStyle w:val="null3"/>
      </w:pPr>
      <w:r>
        <w:rPr>
          <w:rFonts w:ascii="仿宋_GB2312" w:hAnsi="仿宋_GB2312" w:cs="仿宋_GB2312" w:eastAsia="仿宋_GB2312"/>
        </w:rPr>
        <w:t>联系电话：15805192953</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环境信息中心核心机房建筑面积约220平方米，因投用年限较长，机房现有基础环境配套、综合布线、制冷系统、供配电等核心基础设施普遍存在老化、性能衰减等问题，滋生供电过载、通信布线混乱、冷通道密封失效、精密空调积水及机房水淹等多项重大安全运行隐患。当前机房设施的安全性、稳定性已无法满足现有业务系统长期、连续、可靠的运行要求，开展机房基础环境专项提升服务极具必要性、紧迫性。本次服务以彻底消除机房安全运行隐患、规范基础设施运维管控标准、提升机房标准化运维管控能力为总体目标，服务实施全过程严格落实不停机作业保障机制，确保全省生态环境各类在运业务系统不间断稳定运行。项目服务完成后，机房整体运维保障水平将全面符合国家数据中心机房相关建设规范及标准要求，进一步夯实信息化基础设施支撑能力，保障全省生态环境业务系统长期安全、稳定、高效运转。详见磋商文件第三章磋商项目技术、服务、商务及其他要求，具体要求以磋商文件全部内容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433,000.00</w:t>
      </w:r>
    </w:p>
    <w:p>
      <w:pPr>
        <w:pStyle w:val="null3"/>
      </w:pPr>
      <w:r>
        <w:rPr>
          <w:rFonts w:ascii="仿宋_GB2312" w:hAnsi="仿宋_GB2312" w:cs="仿宋_GB2312" w:eastAsia="仿宋_GB2312"/>
        </w:rPr>
        <w:t>采购包最高限价（元）: 433,000.00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陕西省环境信息中心机房基础环境改造提升服务项目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标的名称：陕西省环境信息中心机房基础环境改造提升服务项目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一、项目概况及服务内容</w:t>
            </w:r>
          </w:p>
          <w:p>
            <w:pPr>
              <w:pStyle w:val="null3"/>
              <w:ind w:firstLine="400"/>
            </w:pPr>
            <w:r>
              <w:rPr>
                <w:rFonts w:ascii="仿宋_GB2312" w:hAnsi="仿宋_GB2312" w:cs="仿宋_GB2312" w:eastAsia="仿宋_GB2312"/>
                <w:sz w:val="24"/>
              </w:rPr>
              <w:t>陕西省环境信息中心核心机房建筑面积约220平方米，因投用年限较长，机房现有基础环境配套、综合布线、制冷系统、供配电等核心基础设施普遍存在老化、性能衰减等问题，滋生供电过载、通信布线混乱、冷通道密封失效、精密空调积水及机房水淹等多项重大安全运行隐患。当前机房设施的安全性、稳定性已无法满足现有业务系统长期、连续、可靠的运行要求，开展机房基础环境专项提升服务极具必要性、紧迫性。本次服务以彻底消除机房安全运行隐患、规范基础设施运维管控标准、提升机房标准化运维管控能力为总体目标，服务实施全过程严格落实不停机作业保障机制，确保全省生态环境各类在运业务系统不间断稳定运行。项目服务完成后，机房整体运维保障水平将全面符合国家数据中心机房相关建设规范及标准要求，进一步夯实信息化基础设施支撑能力，保障全省生态环境业务系统长期安全、稳定、高效运转。</w:t>
            </w:r>
          </w:p>
          <w:p>
            <w:pPr>
              <w:pStyle w:val="null3"/>
              <w:ind w:firstLine="400"/>
            </w:pPr>
            <w:r>
              <w:rPr>
                <w:rFonts w:ascii="仿宋_GB2312" w:hAnsi="仿宋_GB2312" w:cs="仿宋_GB2312" w:eastAsia="仿宋_GB2312"/>
                <w:sz w:val="24"/>
              </w:rPr>
              <w:t>基础环境改造提升服务内容包括以下几个部分：</w:t>
            </w:r>
          </w:p>
          <w:p>
            <w:pPr>
              <w:pStyle w:val="null3"/>
              <w:ind w:firstLine="400"/>
            </w:pPr>
            <w:r>
              <w:rPr>
                <w:rFonts w:ascii="仿宋_GB2312" w:hAnsi="仿宋_GB2312" w:cs="仿宋_GB2312" w:eastAsia="仿宋_GB2312"/>
                <w:sz w:val="24"/>
              </w:rPr>
              <w:t>1.机房网线光纤桥架规整梳理服务</w:t>
            </w:r>
          </w:p>
          <w:p>
            <w:pPr>
              <w:pStyle w:val="null3"/>
              <w:ind w:firstLine="400"/>
            </w:pPr>
            <w:r>
              <w:rPr>
                <w:rFonts w:ascii="仿宋_GB2312" w:hAnsi="仿宋_GB2312" w:cs="仿宋_GB2312" w:eastAsia="仿宋_GB2312"/>
                <w:sz w:val="24"/>
              </w:rPr>
              <w:t>2.机柜配电模块升级部署与单机柜功率监测服务</w:t>
            </w:r>
          </w:p>
          <w:p>
            <w:pPr>
              <w:pStyle w:val="null3"/>
              <w:ind w:firstLine="400"/>
            </w:pPr>
            <w:r>
              <w:rPr>
                <w:rFonts w:ascii="仿宋_GB2312" w:hAnsi="仿宋_GB2312" w:cs="仿宋_GB2312" w:eastAsia="仿宋_GB2312"/>
                <w:sz w:val="24"/>
              </w:rPr>
              <w:t>3.冷通道轨道维修更换、及密封构件定制安装服务</w:t>
            </w:r>
          </w:p>
          <w:p>
            <w:pPr>
              <w:pStyle w:val="null3"/>
              <w:ind w:firstLine="400"/>
            </w:pPr>
            <w:r>
              <w:rPr>
                <w:rFonts w:ascii="仿宋_GB2312" w:hAnsi="仿宋_GB2312" w:cs="仿宋_GB2312" w:eastAsia="仿宋_GB2312"/>
                <w:sz w:val="24"/>
              </w:rPr>
              <w:t>4.精密空调防水围堰部署及排水系统优化服务</w:t>
            </w:r>
          </w:p>
          <w:p>
            <w:pPr>
              <w:pStyle w:val="null3"/>
            </w:pPr>
            <w:r>
              <w:rPr>
                <w:rFonts w:ascii="仿宋_GB2312" w:hAnsi="仿宋_GB2312" w:cs="仿宋_GB2312" w:eastAsia="仿宋_GB2312"/>
                <w:sz w:val="24"/>
              </w:rPr>
              <w:t>二、技术服务要求</w:t>
            </w:r>
          </w:p>
          <w:p>
            <w:pPr>
              <w:pStyle w:val="null3"/>
              <w:ind w:firstLine="400"/>
            </w:pPr>
            <w:r>
              <w:rPr>
                <w:rFonts w:ascii="仿宋_GB2312" w:hAnsi="仿宋_GB2312" w:cs="仿宋_GB2312" w:eastAsia="仿宋_GB2312"/>
                <w:sz w:val="24"/>
              </w:rPr>
              <w:t>（一）机房网线光纤桥架规整梳理服务</w:t>
            </w:r>
          </w:p>
          <w:p>
            <w:pPr>
              <w:pStyle w:val="null3"/>
              <w:ind w:firstLine="400"/>
            </w:pPr>
            <w:r>
              <w:rPr>
                <w:rFonts w:ascii="仿宋_GB2312" w:hAnsi="仿宋_GB2312" w:cs="仿宋_GB2312" w:eastAsia="仿宋_GB2312"/>
                <w:sz w:val="24"/>
              </w:rPr>
              <w:t>针对机房60台机柜网络线缆、光纤链路、强弱电桥架实施梳理、更换与标准化服务，清理废弃冗余线缆，规范机房走线体系，保障全机房业务设备稳定互联互通。</w:t>
            </w:r>
          </w:p>
          <w:p>
            <w:pPr>
              <w:pStyle w:val="null3"/>
              <w:ind w:firstLine="400"/>
            </w:pPr>
            <w:r>
              <w:rPr>
                <w:rFonts w:ascii="仿宋_GB2312" w:hAnsi="仿宋_GB2312" w:cs="仿宋_GB2312" w:eastAsia="仿宋_GB2312"/>
                <w:sz w:val="24"/>
              </w:rPr>
              <w:t>1.机柜内网线、光纤全程分仓走线，同一桥架内隔板永久分隔，严禁铜缆网线与光纤混杂堆叠、交叉缠绕。</w:t>
            </w:r>
          </w:p>
          <w:p>
            <w:pPr>
              <w:pStyle w:val="null3"/>
              <w:ind w:firstLine="400"/>
            </w:pPr>
            <w:r>
              <w:rPr>
                <w:rFonts w:ascii="仿宋_GB2312" w:hAnsi="仿宋_GB2312" w:cs="仿宋_GB2312" w:eastAsia="仿宋_GB2312"/>
                <w:sz w:val="24"/>
              </w:rPr>
              <w:t>2.服务完成后废弃冗余网线、闲置旧跳线、报废线缆全部清退出场，桥架内部无杂乱废弃线缆堆积，保持全通道通透整洁。</w:t>
            </w:r>
          </w:p>
          <w:p>
            <w:pPr>
              <w:pStyle w:val="null3"/>
              <w:ind w:firstLine="400"/>
            </w:pPr>
            <w:r>
              <w:rPr>
                <w:rFonts w:ascii="仿宋_GB2312" w:hAnsi="仿宋_GB2312" w:cs="仿宋_GB2312" w:eastAsia="仿宋_GB2312"/>
                <w:sz w:val="24"/>
              </w:rPr>
              <w:t>3.所有线缆沿桥架顺直敷设，无斜拉、悬空、扭曲挤压现象，光纤全程满足最小曲率半径规范，无硬折、受压点位。</w:t>
            </w:r>
          </w:p>
          <w:p>
            <w:pPr>
              <w:pStyle w:val="null3"/>
              <w:ind w:firstLine="400"/>
            </w:pPr>
            <w:r>
              <w:rPr>
                <w:rFonts w:ascii="仿宋_GB2312" w:hAnsi="仿宋_GB2312" w:cs="仿宋_GB2312" w:eastAsia="仿宋_GB2312"/>
                <w:sz w:val="24"/>
              </w:rPr>
              <w:t>（二）机柜配电模块升级部署与单机柜功率监测服务</w:t>
            </w:r>
          </w:p>
          <w:p>
            <w:pPr>
              <w:pStyle w:val="null3"/>
              <w:ind w:firstLine="400"/>
            </w:pPr>
            <w:r>
              <w:rPr>
                <w:rFonts w:ascii="仿宋_GB2312" w:hAnsi="仿宋_GB2312" w:cs="仿宋_GB2312" w:eastAsia="仿宋_GB2312"/>
                <w:sz w:val="24"/>
              </w:rPr>
              <w:t>对60台机柜配电单元整体升级服务，部分线缆更换，加装智能配电监测模块，实现单台机柜电压、电流、功率、温度等用电数据实时采集、异常告警，强化机房供电安全管控能力。同步定制配套机柜前封板，统一机房机柜外观，优化散热与防尘效果。</w:t>
            </w:r>
          </w:p>
          <w:p>
            <w:pPr>
              <w:pStyle w:val="null3"/>
              <w:ind w:firstLine="400"/>
            </w:pPr>
            <w:r>
              <w:rPr>
                <w:rFonts w:ascii="仿宋_GB2312" w:hAnsi="仿宋_GB2312" w:cs="仿宋_GB2312" w:eastAsia="仿宋_GB2312"/>
                <w:sz w:val="24"/>
              </w:rPr>
              <w:t>机柜功率计量监测型PDU主体材料规格指标：</w:t>
            </w:r>
          </w:p>
          <w:p>
            <w:pPr>
              <w:pStyle w:val="null3"/>
              <w:ind w:firstLine="400"/>
            </w:pPr>
            <w:r>
              <w:rPr>
                <w:rFonts w:ascii="仿宋_GB2312" w:hAnsi="仿宋_GB2312" w:cs="仿宋_GB2312" w:eastAsia="仿宋_GB2312"/>
                <w:sz w:val="24"/>
              </w:rPr>
              <w:t>1.智能机架PDU</w:t>
            </w:r>
          </w:p>
          <w:p>
            <w:pPr>
              <w:pStyle w:val="null3"/>
              <w:ind w:firstLine="400"/>
            </w:pPr>
            <w:r>
              <w:rPr>
                <w:rFonts w:ascii="仿宋_GB2312" w:hAnsi="仿宋_GB2312" w:cs="仿宋_GB2312" w:eastAsia="仿宋_GB2312"/>
                <w:sz w:val="24"/>
              </w:rPr>
              <w:t>核心技术参数：额定电压AC220V，精度等级：1级，测量范围： 0.5A~63A, 100～300V AC/DC；电流分辨率：0.01A，报警功能：电流过流报警，过流报警值可通过菜单或通讯设置常规额定电流10A/16A/32A可选，耐压强度符合低压电气规范。</w:t>
            </w:r>
          </w:p>
          <w:p>
            <w:pPr>
              <w:pStyle w:val="null3"/>
              <w:ind w:firstLine="400"/>
            </w:pPr>
            <w:r>
              <w:rPr>
                <w:rFonts w:ascii="仿宋_GB2312" w:hAnsi="仿宋_GB2312" w:cs="仿宋_GB2312" w:eastAsia="仿宋_GB2312"/>
                <w:sz w:val="24"/>
              </w:rPr>
              <w:t>2.双路冗余供电PDU</w:t>
            </w:r>
          </w:p>
          <w:p>
            <w:pPr>
              <w:pStyle w:val="null3"/>
              <w:ind w:firstLine="400"/>
            </w:pPr>
            <w:r>
              <w:rPr>
                <w:rFonts w:ascii="仿宋_GB2312" w:hAnsi="仿宋_GB2312" w:cs="仿宋_GB2312" w:eastAsia="仿宋_GB2312"/>
                <w:sz w:val="24"/>
              </w:rPr>
              <w:t>单机柜配置两路独立PDU，两路PDU分别引自机房RPDC列头柜内两组相互独立的配电空开，两路供电回路物理完全分离，实现机柜设备双路冗余供电。机柜内服务器、网络设备等双电源设备，电源模块分别插接至两台PDU，当其中一路RPDC空开、供电线路或单台PDU发生故障时，另一路供电回路可正常持续供电，保障机柜内业务设备不中断运行。</w:t>
            </w:r>
          </w:p>
          <w:p>
            <w:pPr>
              <w:pStyle w:val="null3"/>
              <w:ind w:firstLine="400"/>
            </w:pPr>
            <w:r>
              <w:rPr>
                <w:rFonts w:ascii="仿宋_GB2312" w:hAnsi="仿宋_GB2312" w:cs="仿宋_GB2312" w:eastAsia="仿宋_GB2312"/>
                <w:sz w:val="24"/>
              </w:rPr>
              <w:t>3.标配多种通用运维协议，可接入机房动环监控平台，机房内网稳定传输电力数据，无丢包、断联现象。</w:t>
            </w:r>
          </w:p>
          <w:p>
            <w:pPr>
              <w:pStyle w:val="null3"/>
              <w:ind w:firstLine="400"/>
            </w:pPr>
            <w:r>
              <w:rPr>
                <w:rFonts w:ascii="仿宋_GB2312" w:hAnsi="仿宋_GB2312" w:cs="仿宋_GB2312" w:eastAsia="仿宋_GB2312"/>
                <w:sz w:val="24"/>
              </w:rPr>
              <w:t>4.告警功能指标</w:t>
            </w:r>
          </w:p>
          <w:p>
            <w:pPr>
              <w:pStyle w:val="null3"/>
              <w:ind w:firstLine="400"/>
            </w:pPr>
            <w:r>
              <w:rPr>
                <w:rFonts w:ascii="仿宋_GB2312" w:hAnsi="仿宋_GB2312" w:cs="仿宋_GB2312" w:eastAsia="仿宋_GB2312"/>
                <w:sz w:val="24"/>
              </w:rPr>
              <w:t>可后台自定义配置阈值，可主动上传告警信号至监控平台。</w:t>
            </w:r>
          </w:p>
          <w:p>
            <w:pPr>
              <w:pStyle w:val="null3"/>
              <w:ind w:firstLine="400"/>
            </w:pPr>
            <w:r>
              <w:rPr>
                <w:rFonts w:ascii="仿宋_GB2312" w:hAnsi="仿宋_GB2312" w:cs="仿宋_GB2312" w:eastAsia="仿宋_GB2312"/>
                <w:sz w:val="24"/>
              </w:rPr>
              <w:t>（三）冷通道轨道维修及更换服务</w:t>
            </w:r>
          </w:p>
          <w:p>
            <w:pPr>
              <w:pStyle w:val="null3"/>
              <w:ind w:firstLine="400"/>
            </w:pPr>
            <w:r>
              <w:rPr>
                <w:rFonts w:ascii="仿宋_GB2312" w:hAnsi="仿宋_GB2312" w:cs="仿宋_GB2312" w:eastAsia="仿宋_GB2312"/>
                <w:sz w:val="24"/>
              </w:rPr>
              <w:t>更换6套老化卡顿的冷通道平开电动门轨道；定制安装机柜1U盲板600块、冷通道下封板50套、冷通道前封板18套，完善冷通道密闭结构，保障冷通道门体开合顺畅，减少冷量流失，提升机房制冷效率。</w:t>
            </w:r>
          </w:p>
          <w:p>
            <w:pPr>
              <w:pStyle w:val="null3"/>
              <w:ind w:firstLine="400"/>
            </w:pPr>
            <w:r>
              <w:rPr>
                <w:rFonts w:ascii="仿宋_GB2312" w:hAnsi="仿宋_GB2312" w:cs="仿宋_GB2312" w:eastAsia="仿宋_GB2312"/>
                <w:sz w:val="24"/>
              </w:rPr>
              <w:t>1.冷通道维修及更换服务要求：</w:t>
            </w:r>
          </w:p>
          <w:p>
            <w:pPr>
              <w:pStyle w:val="null3"/>
              <w:ind w:firstLine="400"/>
            </w:pPr>
            <w:r>
              <w:rPr>
                <w:rFonts w:ascii="仿宋_GB2312" w:hAnsi="仿宋_GB2312" w:cs="仿宋_GB2312" w:eastAsia="仿宋_GB2312"/>
                <w:sz w:val="24"/>
              </w:rPr>
              <w:t>更换满足现有冷通道自动轨道，可沿用原有吊架安装点位，全部滑轮做防尘密封处理，杜绝轴承进灰卡顿，贴合机柜槽口封堵冷气外泄。</w:t>
            </w:r>
          </w:p>
          <w:p>
            <w:pPr>
              <w:pStyle w:val="null3"/>
              <w:ind w:firstLine="400"/>
            </w:pPr>
            <w:r>
              <w:rPr>
                <w:rFonts w:ascii="仿宋_GB2312" w:hAnsi="仿宋_GB2312" w:cs="仿宋_GB2312" w:eastAsia="仿宋_GB2312"/>
                <w:sz w:val="24"/>
              </w:rPr>
              <w:t>2.盲板主体规格：</w:t>
            </w:r>
          </w:p>
          <w:p>
            <w:pPr>
              <w:pStyle w:val="null3"/>
              <w:ind w:firstLine="400"/>
            </w:pPr>
            <w:r>
              <w:rPr>
                <w:rFonts w:ascii="仿宋_GB2312" w:hAnsi="仿宋_GB2312" w:cs="仿宋_GB2312" w:eastAsia="仿宋_GB2312"/>
                <w:sz w:val="24"/>
              </w:rPr>
              <w:t>全封闭板面，用于冷通道非进风空置机位，最大化封堵冷风外泄通道。</w:t>
            </w:r>
          </w:p>
          <w:p>
            <w:pPr>
              <w:pStyle w:val="null3"/>
              <w:ind w:firstLine="400"/>
            </w:pPr>
            <w:r>
              <w:rPr>
                <w:rFonts w:ascii="仿宋_GB2312" w:hAnsi="仿宋_GB2312" w:cs="仿宋_GB2312" w:eastAsia="仿宋_GB2312"/>
                <w:sz w:val="24"/>
              </w:rPr>
              <w:t>3.机柜带保温层金属下封板规格：</w:t>
            </w:r>
          </w:p>
          <w:p>
            <w:pPr>
              <w:pStyle w:val="null3"/>
              <w:ind w:firstLine="400"/>
            </w:pPr>
            <w:r>
              <w:rPr>
                <w:rFonts w:ascii="仿宋_GB2312" w:hAnsi="仿宋_GB2312" w:cs="仿宋_GB2312" w:eastAsia="仿宋_GB2312"/>
                <w:sz w:val="24"/>
              </w:rPr>
              <w:t>（1）下封板基材</w:t>
            </w:r>
          </w:p>
          <w:p>
            <w:pPr>
              <w:pStyle w:val="null3"/>
              <w:ind w:firstLine="400"/>
            </w:pPr>
            <w:r>
              <w:rPr>
                <w:rFonts w:ascii="仿宋_GB2312" w:hAnsi="仿宋_GB2312" w:cs="仿宋_GB2312" w:eastAsia="仿宋_GB2312"/>
                <w:sz w:val="24"/>
              </w:rPr>
              <w:t>采用整体下封板，外表面同机房机柜同色喷塑，边缘做折边加固防形变处理，适配对应机柜底部外框尺寸，阻燃性能A级。</w:t>
            </w:r>
          </w:p>
          <w:p>
            <w:pPr>
              <w:pStyle w:val="null3"/>
              <w:ind w:firstLine="400"/>
            </w:pPr>
            <w:r>
              <w:rPr>
                <w:rFonts w:ascii="仿宋_GB2312" w:hAnsi="仿宋_GB2312" w:cs="仿宋_GB2312" w:eastAsia="仿宋_GB2312"/>
                <w:sz w:val="24"/>
              </w:rPr>
              <w:t>（2）</w:t>
            </w:r>
            <w:r>
              <w:rPr>
                <w:rFonts w:ascii="仿宋_GB2312" w:hAnsi="仿宋_GB2312" w:cs="仿宋_GB2312" w:eastAsia="仿宋_GB2312"/>
                <w:sz w:val="24"/>
              </w:rPr>
              <w:t>内层保温阻燃内衬</w:t>
            </w:r>
          </w:p>
          <w:p>
            <w:pPr>
              <w:pStyle w:val="null3"/>
              <w:ind w:firstLine="400"/>
            </w:pPr>
            <w:r>
              <w:rPr>
                <w:rFonts w:ascii="仿宋_GB2312" w:hAnsi="仿宋_GB2312" w:cs="仿宋_GB2312" w:eastAsia="仿宋_GB2312"/>
                <w:sz w:val="24"/>
              </w:rPr>
              <w:t>封板内侧满贴B级橡塑保温板，保温层兼具隔热隔冷、消音降噪效果，阻断机柜底部冷量向下渗透流失、外部热气从底部倒灌侵入冷通道。</w:t>
            </w:r>
          </w:p>
          <w:p>
            <w:pPr>
              <w:pStyle w:val="null3"/>
              <w:ind w:firstLine="400"/>
            </w:pPr>
            <w:r>
              <w:rPr>
                <w:rFonts w:ascii="仿宋_GB2312" w:hAnsi="仿宋_GB2312" w:cs="仿宋_GB2312" w:eastAsia="仿宋_GB2312"/>
                <w:sz w:val="24"/>
              </w:rPr>
              <w:t>（3）</w:t>
            </w:r>
            <w:r>
              <w:rPr>
                <w:rFonts w:ascii="仿宋_GB2312" w:hAnsi="仿宋_GB2312" w:cs="仿宋_GB2312" w:eastAsia="仿宋_GB2312"/>
                <w:sz w:val="24"/>
              </w:rPr>
              <w:t>密封收口结构</w:t>
            </w:r>
          </w:p>
          <w:p>
            <w:pPr>
              <w:pStyle w:val="null3"/>
              <w:ind w:firstLine="400"/>
            </w:pPr>
            <w:r>
              <w:rPr>
                <w:rFonts w:ascii="仿宋_GB2312" w:hAnsi="仿宋_GB2312" w:cs="仿宋_GB2312" w:eastAsia="仿宋_GB2312"/>
                <w:sz w:val="24"/>
              </w:rPr>
              <w:t>下封板顶面四周预装一圈高密度阻燃聚氨酯海绵密封胶条，封板扣合机柜底部后全周压紧密封，消除板体与机柜底框的缝隙漏风点位；便于后期掀开检修机柜底部线路。</w:t>
            </w:r>
          </w:p>
          <w:p>
            <w:pPr>
              <w:pStyle w:val="null3"/>
              <w:ind w:firstLine="400"/>
            </w:pPr>
            <w:r>
              <w:rPr>
                <w:rFonts w:ascii="仿宋_GB2312" w:hAnsi="仿宋_GB2312" w:cs="仿宋_GB2312" w:eastAsia="仿宋_GB2312"/>
                <w:sz w:val="24"/>
              </w:rPr>
              <w:t>（4）</w:t>
            </w:r>
            <w:r>
              <w:rPr>
                <w:rFonts w:ascii="仿宋_GB2312" w:hAnsi="仿宋_GB2312" w:cs="仿宋_GB2312" w:eastAsia="仿宋_GB2312"/>
                <w:sz w:val="24"/>
              </w:rPr>
              <w:t>预留开孔</w:t>
            </w:r>
          </w:p>
          <w:p>
            <w:pPr>
              <w:pStyle w:val="null3"/>
              <w:ind w:firstLine="400"/>
            </w:pPr>
            <w:r>
              <w:rPr>
                <w:rFonts w:ascii="仿宋_GB2312" w:hAnsi="仿宋_GB2312" w:cs="仿宋_GB2312" w:eastAsia="仿宋_GB2312"/>
                <w:sz w:val="24"/>
              </w:rPr>
              <w:t>按需定制预留线缆出线圆孔，开孔处配套阻燃橡胶护线圈，防护线缆外皮割损并封堵开孔冷风缝隙。</w:t>
            </w:r>
          </w:p>
          <w:p>
            <w:pPr>
              <w:pStyle w:val="null3"/>
              <w:ind w:firstLine="400"/>
            </w:pPr>
            <w:r>
              <w:rPr>
                <w:rFonts w:ascii="仿宋_GB2312" w:hAnsi="仿宋_GB2312" w:cs="仿宋_GB2312" w:eastAsia="仿宋_GB2312"/>
                <w:sz w:val="24"/>
              </w:rPr>
              <w:t>（四）精密空调防水围堰部署及排水系统优化服务</w:t>
            </w:r>
          </w:p>
          <w:p>
            <w:pPr>
              <w:pStyle w:val="null3"/>
              <w:ind w:firstLine="400"/>
            </w:pPr>
            <w:r>
              <w:rPr>
                <w:rFonts w:ascii="仿宋_GB2312" w:hAnsi="仿宋_GB2312" w:cs="仿宋_GB2312" w:eastAsia="仿宋_GB2312"/>
                <w:sz w:val="24"/>
              </w:rPr>
              <w:t>为机房11台精密空调独立增设防水围堰，同步升级排水管路，完善排水防渗漏体系，彻底消除空调排水渗漏引发机房设备水淹的重大安全风险。</w:t>
            </w:r>
          </w:p>
          <w:p>
            <w:pPr>
              <w:pStyle w:val="null3"/>
              <w:ind w:firstLine="400"/>
            </w:pPr>
            <w:r>
              <w:rPr>
                <w:rFonts w:ascii="仿宋_GB2312" w:hAnsi="仿宋_GB2312" w:cs="仿宋_GB2312" w:eastAsia="仿宋_GB2312"/>
                <w:sz w:val="24"/>
              </w:rPr>
              <w:t>防水围堰主体材料规格：围堰高统一100mm。</w:t>
            </w:r>
          </w:p>
          <w:p>
            <w:pPr>
              <w:pStyle w:val="null3"/>
              <w:ind w:firstLine="400"/>
            </w:pPr>
            <w:r>
              <w:rPr>
                <w:rFonts w:ascii="仿宋_GB2312" w:hAnsi="仿宋_GB2312" w:cs="仿宋_GB2312" w:eastAsia="仿宋_GB2312"/>
                <w:sz w:val="24"/>
              </w:rPr>
              <w:t>冷凝水排水管路管材：国标加厚PPR给水管，主流规格De50，管材抗结露、耐酸碱腐蚀，耐高温。</w:t>
            </w:r>
          </w:p>
          <w:p>
            <w:pPr>
              <w:pStyle w:val="null3"/>
            </w:pPr>
            <w:r>
              <w:rPr>
                <w:rFonts w:ascii="仿宋_GB2312" w:hAnsi="仿宋_GB2312" w:cs="仿宋_GB2312" w:eastAsia="仿宋_GB2312"/>
                <w:sz w:val="24"/>
              </w:rPr>
              <w:t>三、服务清单</w:t>
            </w:r>
          </w:p>
          <w:tbl>
            <w:tblPr>
              <w:tblInd w:type="dxa" w:w="210"/>
              <w:tblBorders>
                <w:top w:val="none" w:color="000000" w:sz="4"/>
                <w:left w:val="none" w:color="000000" w:sz="4"/>
                <w:bottom w:val="none" w:color="000000" w:sz="4"/>
                <w:right w:val="none" w:color="000000" w:sz="4"/>
                <w:insideH w:val="none"/>
                <w:insideV w:val="none"/>
              </w:tblBorders>
            </w:tblPr>
            <w:tblGrid>
              <w:gridCol w:w="313"/>
              <w:gridCol w:w="826"/>
              <w:gridCol w:w="1436"/>
              <w:gridCol w:w="279"/>
              <w:gridCol w:w="319"/>
            </w:tblGrid>
            <w:tr>
              <w:tc>
                <w:tcPr>
                  <w:tcW w:type="dxa" w:w="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8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1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规格型号</w:t>
                  </w:r>
                </w:p>
              </w:tc>
              <w:tc>
                <w:tcPr>
                  <w:tcW w:type="dxa" w:w="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317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一、设备保护及旧件处置服务</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设备防护服务</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服务实时前，对机房设备进行全面保护</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旧设备材料处置</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桥架、线路拆除、配电线路、冷通道等设施清理处置</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317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二、机房网线光纤桥架规整服务</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桥架/架构规整服务</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机柜总高42U</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网线/光纤专项规整服务</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成束捆扎、替换老化、光纤保护、ODF优化和收纳</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r>
            <w:tr>
              <w:tc>
                <w:tcPr>
                  <w:tcW w:type="dxa" w:w="317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三、机柜配电模块升级部署服务</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智能PDU</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实现单台机柜计量</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w:t>
                  </w:r>
                </w:p>
              </w:tc>
            </w:tr>
            <w:tr>
              <w:tc>
                <w:tcPr>
                  <w:tcW w:type="dxa" w:w="317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四、冷通道轨道配件及密封构件部署服务</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冷通道自动轨道</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原有吊架安装点位</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r>
            <w:tr>
              <w:tc>
                <w:tcPr>
                  <w:tcW w:type="dxa" w:w="31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2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盲板</w:t>
                  </w:r>
                </w:p>
              </w:tc>
              <w:tc>
                <w:tcPr>
                  <w:tcW w:type="dxa" w:w="143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1U（封闭前面板）</w:t>
                  </w:r>
                </w:p>
              </w:tc>
              <w:tc>
                <w:tcPr>
                  <w:tcW w:type="dxa" w:w="27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1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r>
            <w:tr>
              <w:tc>
                <w:tcPr>
                  <w:tcW w:type="dxa" w:w="313"/>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82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下封板</w:t>
                  </w:r>
                </w:p>
              </w:tc>
              <w:tc>
                <w:tcPr>
                  <w:tcW w:type="dxa" w:w="14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含保温（封闭机柜底板）</w:t>
                  </w:r>
                </w:p>
              </w:tc>
              <w:tc>
                <w:tcPr>
                  <w:tcW w:type="dxa" w:w="27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1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r>
            <w:tr>
              <w:tc>
                <w:tcPr>
                  <w:tcW w:type="dxa" w:w="313"/>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82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前封板</w:t>
                  </w:r>
                </w:p>
              </w:tc>
              <w:tc>
                <w:tcPr>
                  <w:tcW w:type="dxa" w:w="14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金属（封闭前面板）</w:t>
                  </w:r>
                </w:p>
              </w:tc>
              <w:tc>
                <w:tcPr>
                  <w:tcW w:type="dxa" w:w="27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1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r>
            <w:tr>
              <w:tc>
                <w:tcPr>
                  <w:tcW w:type="dxa" w:w="317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五、精密空调防水围堰及排水优化服务</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精密空调防水围堰</w:t>
                  </w:r>
                </w:p>
              </w:tc>
              <w:tc>
                <w:tcPr>
                  <w:tcW w:type="dxa" w:w="1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高度≤100mm</w:t>
                  </w:r>
                </w:p>
              </w:tc>
              <w:tc>
                <w:tcPr>
                  <w:tcW w:type="dxa" w:w="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空调排水管路优化服务</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采用PPR D50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317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六、辅材：提供本次服务提升基础环境所需的所有辅材，采购人不再单独付费采购任何辅料</w:t>
                  </w:r>
                </w:p>
                <w:p>
                  <w:pPr>
                    <w:pStyle w:val="null3"/>
                    <w:jc w:val="both"/>
                  </w:pPr>
                  <w:r>
                    <w:rPr>
                      <w:rFonts w:ascii="仿宋_GB2312" w:hAnsi="仿宋_GB2312" w:cs="仿宋_GB2312" w:eastAsia="仿宋_GB2312"/>
                      <w:sz w:val="24"/>
                    </w:rPr>
                    <w:t xml:space="preserve">  1.所有辅材均为全新原厂合格品，涉及阻燃、绝缘、电气、保温密封类辅材需满足国家数据中心机房相关规范；阻燃类辅材阻燃等级不低于V0级，适配机房7×24小时不间断运行环境，具备耐高低温、抗老化、不易开裂变形性能；</w:t>
                  </w:r>
                </w:p>
                <w:p>
                  <w:pPr>
                    <w:pStyle w:val="null3"/>
                    <w:jc w:val="both"/>
                  </w:pPr>
                  <w:r>
                    <w:rPr>
                      <w:rFonts w:ascii="仿宋_GB2312" w:hAnsi="仿宋_GB2312" w:cs="仿宋_GB2312" w:eastAsia="仿宋_GB2312"/>
                      <w:sz w:val="24"/>
                    </w:rPr>
                    <w:t xml:space="preserve">  2.所有辅材规格、尺寸、性能匹配现场机柜、桥架、冷通道、精密空调、排水管路等，不得使用非标、劣质、尺寸不匹配辅材；</w:t>
                  </w:r>
                </w:p>
                <w:p>
                  <w:pPr>
                    <w:pStyle w:val="null3"/>
                    <w:jc w:val="both"/>
                  </w:pPr>
                  <w:r>
                    <w:rPr>
                      <w:rFonts w:ascii="仿宋_GB2312" w:hAnsi="仿宋_GB2312" w:cs="仿宋_GB2312" w:eastAsia="仿宋_GB2312"/>
                      <w:sz w:val="24"/>
                    </w:rPr>
                    <w:t xml:space="preserve">  3.服务完成后，产生的废弃辅材、破损配件、废料全部由供应商清运出场，保持机房整洁；</w:t>
                  </w:r>
                </w:p>
              </w:tc>
            </w:tr>
          </w:tbl>
          <w:p>
            <w:pPr>
              <w:pStyle w:val="null3"/>
            </w:pPr>
            <w:r>
              <w:rPr>
                <w:rFonts w:ascii="仿宋_GB2312" w:hAnsi="仿宋_GB2312" w:cs="仿宋_GB2312" w:eastAsia="仿宋_GB2312"/>
                <w:sz w:val="24"/>
              </w:rPr>
              <w:t>四、服务要求</w:t>
            </w:r>
          </w:p>
          <w:p>
            <w:pPr>
              <w:pStyle w:val="null3"/>
              <w:ind w:firstLine="200"/>
              <w:jc w:val="both"/>
            </w:pPr>
            <w:r>
              <w:rPr>
                <w:rFonts w:ascii="仿宋_GB2312" w:hAnsi="仿宋_GB2312" w:cs="仿宋_GB2312" w:eastAsia="仿宋_GB2312"/>
                <w:sz w:val="24"/>
              </w:rPr>
              <w:t>（一）质量保障</w:t>
            </w:r>
          </w:p>
          <w:p>
            <w:pPr>
              <w:pStyle w:val="null3"/>
              <w:ind w:firstLine="400"/>
              <w:jc w:val="both"/>
            </w:pPr>
            <w:r>
              <w:rPr>
                <w:rFonts w:ascii="仿宋_GB2312" w:hAnsi="仿宋_GB2312" w:cs="仿宋_GB2312" w:eastAsia="仿宋_GB2312"/>
                <w:sz w:val="24"/>
              </w:rPr>
              <w:t>供应商应建立完善的质量控制体系，确保服务过程和成果符合国家、陕西省及行业相关规定，且内容真实、准确、完整。</w:t>
            </w:r>
          </w:p>
          <w:p>
            <w:pPr>
              <w:pStyle w:val="null3"/>
              <w:ind w:firstLine="200"/>
              <w:jc w:val="both"/>
            </w:pPr>
            <w:r>
              <w:rPr>
                <w:rFonts w:ascii="仿宋_GB2312" w:hAnsi="仿宋_GB2312" w:cs="仿宋_GB2312" w:eastAsia="仿宋_GB2312"/>
                <w:sz w:val="24"/>
              </w:rPr>
              <w:t>（二）保密要求</w:t>
            </w:r>
          </w:p>
          <w:p>
            <w:pPr>
              <w:pStyle w:val="null3"/>
              <w:ind w:firstLine="400"/>
              <w:jc w:val="both"/>
            </w:pPr>
            <w:r>
              <w:rPr>
                <w:rFonts w:ascii="仿宋_GB2312" w:hAnsi="仿宋_GB2312" w:cs="仿宋_GB2312" w:eastAsia="仿宋_GB2312"/>
                <w:sz w:val="24"/>
              </w:rPr>
              <w:t>供应商需严格遵守国家保密法律法规及省市相关保密规定，对服务过程中接触的敏感信息和数据履行保密义务，不得泄露或用于其他用途。</w:t>
            </w:r>
          </w:p>
          <w:p>
            <w:pPr>
              <w:pStyle w:val="null3"/>
              <w:ind w:left="195"/>
              <w:jc w:val="both"/>
            </w:pPr>
            <w:r>
              <w:rPr>
                <w:rFonts w:ascii="仿宋_GB2312" w:hAnsi="仿宋_GB2312" w:cs="仿宋_GB2312" w:eastAsia="仿宋_GB2312"/>
                <w:sz w:val="24"/>
              </w:rPr>
              <w:t>五、需要由供应商提供的设计方案、解决方案或者组织方案</w:t>
            </w:r>
            <w:r>
              <w:br/>
            </w:r>
            <w:r>
              <w:rPr>
                <w:rFonts w:ascii="仿宋_GB2312" w:hAnsi="仿宋_GB2312" w:cs="仿宋_GB2312" w:eastAsia="仿宋_GB2312"/>
                <w:sz w:val="24"/>
              </w:rPr>
              <w:t xml:space="preserve"> （一）重点难点分析及解决方案</w:t>
            </w:r>
          </w:p>
          <w:p>
            <w:pPr>
              <w:pStyle w:val="null3"/>
              <w:ind w:firstLine="400"/>
              <w:jc w:val="both"/>
            </w:pPr>
            <w:r>
              <w:rPr>
                <w:rFonts w:ascii="仿宋_GB2312" w:hAnsi="仿宋_GB2312" w:cs="仿宋_GB2312" w:eastAsia="仿宋_GB2312"/>
                <w:sz w:val="24"/>
              </w:rPr>
              <w:t xml:space="preserve">供应商应针对本项目实际情况结合过往经验分析并指出项目实施过程中潜在的困难点、风险点，并能够给出妥善的解决方案。  </w:t>
            </w:r>
          </w:p>
          <w:p>
            <w:pPr>
              <w:pStyle w:val="null3"/>
              <w:ind w:firstLine="200"/>
              <w:jc w:val="both"/>
            </w:pPr>
            <w:r>
              <w:rPr>
                <w:rFonts w:ascii="仿宋_GB2312" w:hAnsi="仿宋_GB2312" w:cs="仿宋_GB2312" w:eastAsia="仿宋_GB2312"/>
                <w:sz w:val="24"/>
              </w:rPr>
              <w:t>（二）应急保障组织方案</w:t>
            </w:r>
          </w:p>
          <w:p>
            <w:pPr>
              <w:pStyle w:val="null3"/>
              <w:ind w:firstLine="400"/>
              <w:jc w:val="both"/>
            </w:pPr>
            <w:r>
              <w:rPr>
                <w:rFonts w:ascii="仿宋_GB2312" w:hAnsi="仿宋_GB2312" w:cs="仿宋_GB2312" w:eastAsia="仿宋_GB2312"/>
                <w:sz w:val="24"/>
              </w:rPr>
              <w:t>供应商应制定合理可行的应急保障组织方案，通过优化组织程序，提高不可预见事件的处理效率、加强控制保障等多种手段，确保项目顺利进行。</w:t>
            </w:r>
          </w:p>
          <w:p>
            <w:pPr>
              <w:pStyle w:val="null3"/>
              <w:ind w:firstLine="200"/>
              <w:jc w:val="both"/>
            </w:pPr>
            <w:r>
              <w:rPr>
                <w:rFonts w:ascii="仿宋_GB2312" w:hAnsi="仿宋_GB2312" w:cs="仿宋_GB2312" w:eastAsia="仿宋_GB2312"/>
                <w:sz w:val="24"/>
              </w:rPr>
              <w:t>（三）增值服务组织方案及合理化建议</w:t>
            </w:r>
          </w:p>
          <w:p>
            <w:pPr>
              <w:pStyle w:val="null3"/>
              <w:ind w:firstLine="400"/>
              <w:jc w:val="both"/>
            </w:pPr>
            <w:r>
              <w:rPr>
                <w:rFonts w:ascii="仿宋_GB2312" w:hAnsi="仿宋_GB2312" w:cs="仿宋_GB2312" w:eastAsia="仿宋_GB2312"/>
                <w:sz w:val="24"/>
              </w:rPr>
              <w:t>供应商根据自身情况提供组织方案及合理化建议。</w:t>
            </w:r>
          </w:p>
          <w:p>
            <w:pPr>
              <w:pStyle w:val="null3"/>
              <w:ind w:firstLine="200"/>
              <w:jc w:val="both"/>
            </w:pPr>
            <w:r>
              <w:rPr>
                <w:rFonts w:ascii="仿宋_GB2312" w:hAnsi="仿宋_GB2312" w:cs="仿宋_GB2312" w:eastAsia="仿宋_GB2312"/>
                <w:sz w:val="24"/>
              </w:rPr>
              <w:t>（四）服务支持和保障方案</w:t>
            </w:r>
          </w:p>
          <w:p>
            <w:pPr>
              <w:pStyle w:val="null3"/>
              <w:ind w:firstLine="400"/>
              <w:jc w:val="both"/>
            </w:pPr>
            <w:r>
              <w:rPr>
                <w:rFonts w:ascii="仿宋_GB2312" w:hAnsi="仿宋_GB2312" w:cs="仿宋_GB2312" w:eastAsia="仿宋_GB2312"/>
                <w:sz w:val="24"/>
              </w:rPr>
              <w:t>供应商应制定完善的本项目服务支持与保障方案，涵盖服务响应、技术支持、运营保障、问题解决以及持续优化等措施，以确保项目顺利推进。</w:t>
            </w:r>
          </w:p>
          <w:p>
            <w:pPr>
              <w:pStyle w:val="null3"/>
              <w:ind w:firstLine="200"/>
              <w:jc w:val="both"/>
            </w:pPr>
            <w:r>
              <w:rPr>
                <w:rFonts w:ascii="仿宋_GB2312" w:hAnsi="仿宋_GB2312" w:cs="仿宋_GB2312" w:eastAsia="仿宋_GB2312"/>
                <w:sz w:val="24"/>
              </w:rPr>
              <w:t>（五）服务承诺</w:t>
            </w:r>
          </w:p>
          <w:p>
            <w:pPr>
              <w:pStyle w:val="null3"/>
            </w:pPr>
            <w:r>
              <w:rPr>
                <w:rFonts w:ascii="仿宋_GB2312" w:hAnsi="仿宋_GB2312" w:cs="仿宋_GB2312" w:eastAsia="仿宋_GB2312"/>
                <w:sz w:val="24"/>
              </w:rPr>
              <w:t>供应商应根据本项目服务要求，针对本项目服务工作中的常见质量和服务问题进行梳理，供应商可根据自身情况对服务标准、过程管理、质量保证、人员培训、后续服务等方面作出有利于本项目开展的承诺。</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1.供应商应提供满足本项目服务需求的人员配置。 2.服务人员在工作期间发生任何经济赔偿、劳动纠纷、法律纠纷、安全事故、疾病等等有关问题均由成交人负责处理并承担相应责任，采购人不承担连带责任。</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供应商应提供满足本项目服务需求的设施设备。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自双方合同签订之日起1年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由采购人自行组织验收。验收标准符合国家相关标准、行业验收标准及磋商文件要求。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预付款，合同签订后，成交人向采购人开具相应额度增值税发票，达到付款条件起10个工作日内，支付合同总金额的60.0%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进度款，成交人完成服务内容，并通过甲方验收合格后，提出付款申请，并开具剩余相应额度的增值税发票，，达到付款条件起10个工作日内，支付合同总金额的40.0%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3.4.1本采购项目需落实的政府采购政策： 1.《关于在政府采购活动中查询及使用信用记录有关问题的通知》（财库〔2016〕125号）； 2.《政府采购促进中小企业发展管理办法》（财库〔2020〕46号）、《关于进一步加大政府采购支持中小企业力度的通知》（财库〔2022〕 19 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场监督管理总局联合印发《关于调整优化节能产品、环境标志产品政府采购执行机制的通知》（财库〔2019〕9号）； 4.《陕西省财政厅关于加快推进我省中小企业政府采购信用融资工作的通知》（陕财办采〔2020〕15 号）； 5.陕西省财政厅关于印发《陕西省中小企业政府采购信用融资办法》（陕财办采〔2018〕23 号）； 6.《关于推动解决政府采购异常低价问题的通知》（财库〔2026〕2号）； 7.如有颁布最新的政策，以最新已生效的政策为准。 3.4.2保证金的收取与退回 1.本项目的保证金是否收取、收取金额及缴交渠道详见投标人须知前附表，其他要求如下： （1）如同时参与多个采购包，分别递交。 （2）投标保证金到账时间：投标文件提交截止时间前。 （3）投标人缴交保证金时须在支付凭据附言栏写明项目编号、采购包号（如有）及用途（保证金）。 （4）保证金应当采用对公转账、支票、汇票、本票或者金融机构、担保机构出具的保函等非现金形式交纳。 2.保证金的退还 采购代理机构应当在采购活动结束后及时退还投标人的投标保证金，但因投标人自身原因导致无法及时退还的除外。未中标人的投标保证金应当在中标通知书发出后5个工作日内退还，中标人的投标保证金应当在采购合同签订后5个工作日内退还投标保证金或者转为中标人的履约保证金。 投标人在投标截止时间前撤回已提交的投标文件的，采购人或者采购代理机构应当自收到投标人书面撤回通知之日起5个工作日内，退还已收取的投标保证金，但因投标人自身原因导致无法及时退还的除外。 3.有下列情形之一的，投标保证金不予退还： （1）投标人在提交投标文件截止时间后撤回投标文件的； （2）投标人在投标文件中提供虚假材料的； （3）除因不可抗力或招标文件认可的情形以外，中标人不与采购人签订合同的； （4）投标人与采购人、其他供应商或者采购代理机构恶意串通的； （5）招标文件规定的其他情形 3.4.3评分标准释义 1、内容不足或存在缺陷是指：方案内容不完整或缺少关键要素；对同一问题的阐述前后矛盾；存在逻辑漏洞、科学原理错误或违背常识；不利于实现本项目采购目标等任意一种情形，包括但不限于：关键要素缺失：对项目实施起决定性作用的关键要素有遗漏，致使方案完整性与可操作性严重不足，无法为项目开展提供充分指导，严重影响采购目标实现。 前后表述矛盾：针对关键问题或重要事项，方案不同章节、段落、条款的阐述相互冲突，破坏逻辑连贯性与准确性，严重影响方案可信度与有效性。 逻辑性、科学性或常识性错误：方案存在明显逻辑推理错误，如前提与结论脱节、论证不合理；涉及专业技术、科学原理、行业常识时，表述与公认标准、理论相悖；或者出现常识性错误，脱离实际，难以付诸实践。不利于采购目标实现：方案未围绕本项目采购核心需求响应，在项目范围、质量标准、交付成果等关键方面，与采购预期方向和实际要求偏差过大，无法保障采购目标达成，甚至对项目实施产生负面影响。 2、内容存在部分瑕疵是指：方案内容大体上完备，具备一定的可行性，但在某些方面与项目的实际需求不符；商务技术方案的响应内容与评分标准中的评分点未能完全对应；或存在细节上的错误；不利于项目等任意一种情形，包括但不限于： 适配性问题：方案整体框架完整，主要内容可行，有实施基础，但部分细节未结合项目特定环境、资源条件、业务流程等进行针对性设计，实际应用可能出现适配问题，影响项目采购目标实现。 细节错误：方案存在数据精度不准、商务技术方案响应与评分标准未能完全对应、格式不合项目规范、文字表述有歧义或错别字等细节问题。这些虽不改变方案整体方向与可行性，但降低专业性和严谨性，对采购目标实现和高质量实施产生不利影响。</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1-资格证明文件.docx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本采购包专门面向中小企业采购。服务全部由符合政策要求的中小企业承接。中小企业参加政府采购活动，应当出具政策规定的《中小企业声明函》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提供法定代表人授权书及授权代表合法有效的身份证扫描件；</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1-资格证明文件.docx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（一）根据财政部《关于推动解决政府采购异常低价问题的通知》（财库〔2026〕2号），政府采购评审中出现下列情形之一的，磋商小组应当启动异常低价响应审查程序：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2.响应报价低于通过符合性审查的次低报价供应商投标响应报价50%的，即响应报价&lt;通过符合性审查的次低报价供应商响应报价×50%；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二）磋商小组启动异常低价响应审查后，属于前述第1项至第4项情形的，应当要求相关供应商在评审现场合理的时间内对响应价格作出解释，通过项目电子化交易系统提交项目具体成本测算等与报价合理性相关的书面说明及必要的证明材料并加盖供应商（法定名称）电子印章，包括但不限于原材料成本、人工成本、制造费用等，给予相关供应商的合理时间为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 响应供应商不能提供书面说明、证明材料，或者提供的书面说明、证明材料不能证明其报价合理性的，磋商小组应当将其作为无效响应处理。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异常低价响应审查的启动原因、审查意见报告中记录，并随和审查结果应当在评审供应商提供的相关书面说明及证明材料，以及评审委员会有关互联网浏览、查询历史一并归档。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标的清单 报价表 2-分项报价明细表.docx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按磋商文件的规定缴纳保证金（若有）</w:t>
            </w:r>
          </w:p>
        </w:tc>
        <w:tc>
          <w:tcPr>
            <w:tcW w:type="dxa" w:w="1661"/>
          </w:tcPr>
          <w:p>
            <w:pPr>
              <w:pStyle w:val="null3"/>
            </w:pPr>
            <w:r>
              <w:rPr>
                <w:rFonts w:ascii="仿宋_GB2312" w:hAnsi="仿宋_GB2312" w:cs="仿宋_GB2312" w:eastAsia="仿宋_GB2312"/>
              </w:rPr>
              <w:t>6-保证金缴纳凭证.docx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按磋商文件要求方式签署、盖章</w:t>
            </w:r>
          </w:p>
        </w:tc>
        <w:tc>
          <w:tcPr>
            <w:tcW w:type="dxa" w:w="1661"/>
          </w:tcPr>
          <w:p>
            <w:pPr>
              <w:pStyle w:val="null3"/>
            </w:pPr>
            <w:r>
              <w:rPr>
                <w:rFonts w:ascii="仿宋_GB2312" w:hAnsi="仿宋_GB2312" w:cs="仿宋_GB2312" w:eastAsia="仿宋_GB2312"/>
              </w:rPr>
              <w:t>响应文件封面 4-评分细则相应的商务技术资料.docx 中小企业声明函 残疾人福利性单位声明函 3-商务技术偏离表.docx 标的清单 报价表 5-政府采购拒绝商业贿赂书.docx 1-资格证明文件.docx 2-分项报价明细表.docx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响应报价未超过磋商文件中规定的预算金额和最高限价</w:t>
            </w:r>
          </w:p>
        </w:tc>
        <w:tc>
          <w:tcPr>
            <w:tcW w:type="dxa" w:w="1661"/>
          </w:tcPr>
          <w:p>
            <w:pPr>
              <w:pStyle w:val="null3"/>
            </w:pPr>
            <w:r>
              <w:rPr>
                <w:rFonts w:ascii="仿宋_GB2312" w:hAnsi="仿宋_GB2312" w:cs="仿宋_GB2312" w:eastAsia="仿宋_GB2312"/>
              </w:rPr>
              <w:t>标的清单 报价表 2-分项报价明细表.docx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响应文件符合磋商文件中标注 “★”的实质性条款要求</w:t>
            </w:r>
          </w:p>
        </w:tc>
        <w:tc>
          <w:tcPr>
            <w:tcW w:type="dxa" w:w="1661"/>
          </w:tcPr>
          <w:p>
            <w:pPr>
              <w:pStyle w:val="null3"/>
            </w:pPr>
            <w:r>
              <w:rPr>
                <w:rFonts w:ascii="仿宋_GB2312" w:hAnsi="仿宋_GB2312" w:cs="仿宋_GB2312" w:eastAsia="仿宋_GB2312"/>
              </w:rPr>
              <w:t>响应文件封面 4-评分细则相应的商务技术资料.docx 中小企业声明函 残疾人福利性单位声明函 3-商务技术偏离表.docx 标的清单 报价表 5-政府采购拒绝商业贿赂书.docx 1-资格证明文件.docx 2-分项报价明细表.docx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供应商应提供针对本项目采购需求的理解，至少应包括：①工作重点；②关键点分析；③工作难点；④服务优势；⑤合理化建议。包含但不限于上述全部内容，且方案详细，清晰有利于项目的得满分。(如有缺陷或不足在此分数基础上进行扣分)，以上5项中： （1）每有1项缺失或内容无法满足项目需求的扣3分； （2）有1项中内容存在缺陷或不足（是指内容方案缺少关键点；对同一问题前后表述矛盾；存在逻辑漏洞、科学原理或常识错误；不利于本项目采购目标实现等任意一种情形）扣2分；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应提供针对本项目详细的服务方案，至少应包括：①机房改造整体实施方案；②光纤链路整改组织方案；③空调排水管路改造方案；④机柜改造优化方案；⑤现有设备保护方案。包含但不限于上述全部内容，且方案详细，清晰有利于项目的得满分(如有缺陷或不足在此分数基础上进行扣分)，以上5项中： （1）每有1项缺失或内容无法满足项目需求的扣3分； （2）有1项中内容存在缺陷或不足（是指内容方案缺少关键点；对同一问题前后表述矛盾；存在逻辑漏洞、科学原理或常识错误；不利于本项目采购目标实现等任意一种情形）扣2分；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服务支持和保障方案</w:t>
            </w:r>
          </w:p>
        </w:tc>
        <w:tc>
          <w:tcPr>
            <w:tcW w:type="dxa" w:w="2492"/>
          </w:tcPr>
          <w:p>
            <w:pPr>
              <w:pStyle w:val="null3"/>
            </w:pPr>
            <w:r>
              <w:rPr>
                <w:rFonts w:ascii="仿宋_GB2312" w:hAnsi="仿宋_GB2312" w:cs="仿宋_GB2312" w:eastAsia="仿宋_GB2312"/>
              </w:rPr>
              <w:t>供应商应提供针对本项目的服务支持和保障方案，至少应包含：①服务保障方案；②应急保障措施；③响应与解决时效方案。包含但不限于上述全部内容，且方案详细，清晰有利于项目的得9分(如有缺陷或不足在此分数基础上进行扣分)。以上3项中： （1）每有1项缺失或内容无法满足项目需求的扣3分； （2）有1项中内容存在缺陷或不足（是指内容方案缺少关键点；对同一问题前后表述矛盾；存在逻辑漏洞、科学原理或常识错误；不利于本项目采购目标实现等任意一种情形）扣2分；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供应商承诺服务期内接受采购人的考核、监督与管理，围绕服务标准、过程管理、质量保证、后续服务4个方面分别提供实质性、可落地的有效承诺，每提供1项有效承诺得2.5分，本项最高得10分。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供应商须提供针对本项目的保密承诺，承诺对本项目实施过程中接触的机房图纸、网络架构、设备账户等敏感信息严格保密，提供完整承诺书得4分；未提供或内容缺失关键保密条款不得分。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项目人员</w:t>
            </w:r>
          </w:p>
        </w:tc>
        <w:tc>
          <w:tcPr>
            <w:tcW w:type="dxa" w:w="2492"/>
          </w:tcPr>
          <w:p>
            <w:pPr>
              <w:pStyle w:val="null3"/>
            </w:pPr>
            <w:r>
              <w:rPr>
                <w:rFonts w:ascii="仿宋_GB2312" w:hAnsi="仿宋_GB2312" w:cs="仿宋_GB2312" w:eastAsia="仿宋_GB2312"/>
              </w:rPr>
              <w:t>供应商须提供项目服务人员配置清单或人员配置承诺函，其中项目人员： （1）具有计算机技术与软件专业技术资格类（不限专业）中级及以上证书人员，每有1人得2分 ； （2）具有机电专业二级建造师证书人员，每有1人得2分； （3）具有电工特种作业操作证，每有1人得2分； 同一人员不重复计分，累计最高得6分。 供应商仅提供项目服务人员配置清单或人员配置承诺函未提供证明材料的，最高得0.5分。 注：供应商应提供上述人员职称证或资格证，磋商前六个月内在本单位任意一个月任意社保缴纳证明文件，未提供或提供不全不得分。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供应商应可根据自身情况提供其他利于本项目的增值服务，每提供1条有效增值服务，得2分，最高得6分。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供应商提供2023年1月1日至响应截止日期承接的类似项目业绩，每份合格业绩计4分，满分20分。 备注：供应商需提供业绩合同证明材料（至少应包含内容关键页、签订日期与签章页、对应业绩合同任意发票复印件），提供不全或无法辨识的不得分。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根据《政府采购竞争性磋商采购方式管理暂行办法》规定，综合评分法中的价格分统一采用低价优先法计算，即满足磋商文件要求且最后响应报价最低的报价为评审基准价，其价格分为满分。其他供应商的价格分统一按照下列公式计算：响应报价得分=（评审基准价/最后报价）×15。若落实政府采购政策的，以调整后的价格参与评审。</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详见附件：1-资格证明文件.docx</w:t>
      </w:r>
    </w:p>
    <w:p>
      <w:pPr>
        <w:pStyle w:val="null3"/>
        <w:ind w:firstLine="960"/>
      </w:pPr>
      <w:r>
        <w:rPr>
          <w:rFonts w:ascii="仿宋_GB2312" w:hAnsi="仿宋_GB2312" w:cs="仿宋_GB2312" w:eastAsia="仿宋_GB2312"/>
        </w:rPr>
        <w:t>详见附件：2-分项报价明细表.docx</w:t>
      </w:r>
    </w:p>
    <w:p>
      <w:pPr>
        <w:pStyle w:val="null3"/>
        <w:ind w:firstLine="960"/>
      </w:pPr>
      <w:r>
        <w:rPr>
          <w:rFonts w:ascii="仿宋_GB2312" w:hAnsi="仿宋_GB2312" w:cs="仿宋_GB2312" w:eastAsia="仿宋_GB2312"/>
        </w:rPr>
        <w:t>详见附件：3-商务技术偏离表.docx</w:t>
      </w:r>
    </w:p>
    <w:p>
      <w:pPr>
        <w:pStyle w:val="null3"/>
        <w:ind w:firstLine="960"/>
      </w:pPr>
      <w:r>
        <w:rPr>
          <w:rFonts w:ascii="仿宋_GB2312" w:hAnsi="仿宋_GB2312" w:cs="仿宋_GB2312" w:eastAsia="仿宋_GB2312"/>
        </w:rPr>
        <w:t>详见附件：4-评分细则相应的商务技术资料.docx</w:t>
      </w:r>
    </w:p>
    <w:p>
      <w:pPr>
        <w:pStyle w:val="null3"/>
        <w:ind w:firstLine="960"/>
      </w:pPr>
      <w:r>
        <w:rPr>
          <w:rFonts w:ascii="仿宋_GB2312" w:hAnsi="仿宋_GB2312" w:cs="仿宋_GB2312" w:eastAsia="仿宋_GB2312"/>
        </w:rPr>
        <w:t>详见附件：5-政府采购拒绝商业贿赂书.docx</w:t>
      </w:r>
    </w:p>
    <w:p>
      <w:pPr>
        <w:pStyle w:val="null3"/>
        <w:ind w:firstLine="960"/>
      </w:pPr>
      <w:r>
        <w:rPr>
          <w:rFonts w:ascii="仿宋_GB2312" w:hAnsi="仿宋_GB2312" w:cs="仿宋_GB2312" w:eastAsia="仿宋_GB2312"/>
        </w:rPr>
        <w:t>详见附件：6-保证金缴纳凭证.docx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详见附件：7-拟签订的合同文本.docx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