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D0B224">
      <w:pPr>
        <w:widowControl/>
        <w:jc w:val="left"/>
        <w:rPr>
          <w:rFonts w:hint="default"/>
          <w:lang w:val="en-US"/>
        </w:rPr>
      </w:pPr>
      <w:r>
        <w:rPr>
          <w:rFonts w:hint="eastAsia" w:ascii="宋体" w:hAnsi="宋体" w:eastAsia="宋体" w:cs="宋体"/>
          <w:b/>
          <w:bCs w:val="0"/>
          <w:kern w:val="0"/>
          <w:sz w:val="32"/>
          <w:szCs w:val="32"/>
          <w:lang w:val="en-US" w:eastAsia="zh-CN"/>
        </w:rPr>
        <w:t>阎良区西飞第一中学改扩建工程施工监理服务项目需求书</w:t>
      </w:r>
    </w:p>
    <w:tbl>
      <w:tblPr>
        <w:tblStyle w:val="9"/>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9"/>
        <w:gridCol w:w="1556"/>
        <w:gridCol w:w="7067"/>
      </w:tblGrid>
      <w:tr w14:paraId="43710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0A9CB420">
            <w:pPr>
              <w:snapToGrid w:val="0"/>
              <w:jc w:val="center"/>
              <w:rPr>
                <w:rFonts w:ascii="宋体" w:hAnsi="宋体"/>
                <w:b/>
                <w:sz w:val="24"/>
              </w:rPr>
            </w:pPr>
            <w:r>
              <w:rPr>
                <w:rFonts w:hint="eastAsia" w:ascii="宋体" w:hAnsi="宋体"/>
                <w:b/>
                <w:sz w:val="28"/>
                <w:szCs w:val="28"/>
                <w:lang w:val="zh-CN"/>
              </w:rPr>
              <w:t>序号</w:t>
            </w:r>
          </w:p>
        </w:tc>
        <w:tc>
          <w:tcPr>
            <w:tcW w:w="1556" w:type="dxa"/>
            <w:vAlign w:val="center"/>
          </w:tcPr>
          <w:p w14:paraId="0E1C1516">
            <w:pPr>
              <w:pStyle w:val="32"/>
              <w:jc w:val="center"/>
              <w:rPr>
                <w:rFonts w:hint="eastAsia"/>
                <w:b/>
                <w:kern w:val="2"/>
                <w:sz w:val="28"/>
                <w:szCs w:val="28"/>
                <w:lang w:val="zh-CN"/>
              </w:rPr>
            </w:pPr>
            <w:r>
              <w:rPr>
                <w:rFonts w:hint="eastAsia"/>
                <w:b/>
                <w:kern w:val="2"/>
                <w:sz w:val="28"/>
                <w:szCs w:val="28"/>
                <w:lang w:val="zh-CN"/>
              </w:rPr>
              <w:t>关键事项</w:t>
            </w:r>
          </w:p>
        </w:tc>
        <w:tc>
          <w:tcPr>
            <w:tcW w:w="7067" w:type="dxa"/>
            <w:vAlign w:val="center"/>
          </w:tcPr>
          <w:p w14:paraId="16D2BA83">
            <w:pPr>
              <w:pStyle w:val="32"/>
              <w:jc w:val="center"/>
              <w:rPr>
                <w:rFonts w:hint="eastAsia"/>
                <w:b/>
                <w:kern w:val="2"/>
                <w:sz w:val="28"/>
                <w:szCs w:val="28"/>
                <w:lang w:val="zh-CN"/>
              </w:rPr>
            </w:pPr>
            <w:r>
              <w:rPr>
                <w:rFonts w:hint="eastAsia"/>
                <w:b/>
                <w:kern w:val="2"/>
                <w:sz w:val="28"/>
                <w:szCs w:val="28"/>
                <w:lang w:val="zh-CN"/>
              </w:rPr>
              <w:t>说明和要求</w:t>
            </w:r>
          </w:p>
        </w:tc>
      </w:tr>
      <w:tr w14:paraId="7F44E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99BCAF4">
            <w:pPr>
              <w:snapToGrid w:val="0"/>
              <w:spacing w:after="200"/>
              <w:jc w:val="center"/>
              <w:rPr>
                <w:rFonts w:ascii="宋体" w:hAnsi="宋体"/>
                <w:sz w:val="28"/>
                <w:szCs w:val="28"/>
                <w:lang w:val="zh-CN"/>
              </w:rPr>
            </w:pPr>
            <w:r>
              <w:rPr>
                <w:rFonts w:ascii="宋体" w:hAnsi="宋体"/>
                <w:sz w:val="28"/>
                <w:szCs w:val="28"/>
                <w:lang w:val="zh-CN"/>
              </w:rPr>
              <w:t>1</w:t>
            </w:r>
          </w:p>
        </w:tc>
        <w:tc>
          <w:tcPr>
            <w:tcW w:w="1556" w:type="dxa"/>
            <w:vAlign w:val="center"/>
          </w:tcPr>
          <w:p w14:paraId="26269985">
            <w:pPr>
              <w:pStyle w:val="32"/>
              <w:ind w:left="38"/>
              <w:jc w:val="center"/>
              <w:rPr>
                <w:kern w:val="2"/>
                <w:lang w:val="zh-CN"/>
              </w:rPr>
            </w:pPr>
            <w:r>
              <w:rPr>
                <w:rFonts w:hint="eastAsia"/>
                <w:kern w:val="2"/>
                <w:lang w:val="zh-CN"/>
              </w:rPr>
              <w:t>采购预算</w:t>
            </w:r>
          </w:p>
        </w:tc>
        <w:tc>
          <w:tcPr>
            <w:tcW w:w="7067" w:type="dxa"/>
            <w:vAlign w:val="center"/>
          </w:tcPr>
          <w:p w14:paraId="6EF600FC">
            <w:pPr>
              <w:pStyle w:val="32"/>
              <w:jc w:val="both"/>
              <w:rPr>
                <w:b/>
                <w:kern w:val="2"/>
                <w:lang w:val="zh-CN"/>
              </w:rPr>
            </w:pPr>
            <w:r>
              <w:rPr>
                <w:rFonts w:hint="eastAsia"/>
                <w:b/>
                <w:kern w:val="2"/>
                <w:lang w:val="zh-CN"/>
              </w:rPr>
              <w:t>人民币</w:t>
            </w:r>
            <w:r>
              <w:rPr>
                <w:rFonts w:hint="eastAsia"/>
                <w:b/>
                <w:kern w:val="2"/>
                <w:u w:val="single"/>
                <w:lang w:val="en-US" w:eastAsia="zh-CN"/>
              </w:rPr>
              <w:t xml:space="preserve"> 650000.00</w:t>
            </w:r>
            <w:r>
              <w:rPr>
                <w:rFonts w:hint="eastAsia"/>
                <w:b/>
                <w:kern w:val="2"/>
                <w:lang w:val="zh-CN"/>
              </w:rPr>
              <w:t>元</w:t>
            </w:r>
          </w:p>
          <w:p w14:paraId="2C5F735A">
            <w:pPr>
              <w:pStyle w:val="32"/>
              <w:jc w:val="both"/>
              <w:rPr>
                <w:b/>
                <w:kern w:val="2"/>
                <w:lang w:val="zh-CN"/>
              </w:rPr>
            </w:pPr>
            <w:r>
              <w:rPr>
                <w:rFonts w:hint="eastAsia"/>
                <w:kern w:val="2"/>
                <w:sz w:val="21"/>
                <w:szCs w:val="21"/>
                <w:lang w:val="zh-CN"/>
              </w:rPr>
              <w:t>仅指与本次采购标的直接相关的费用，前期勘察费等已发生的费用，以及监理费、接口费等为未来预留费用，不应当包含在本项目采购预算内，甲方须向本级财政部门经费业务处室申请办理经费剥离手续。</w:t>
            </w:r>
          </w:p>
        </w:tc>
      </w:tr>
      <w:tr w14:paraId="3A021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1705BB74">
            <w:pPr>
              <w:snapToGrid w:val="0"/>
              <w:spacing w:after="200"/>
              <w:jc w:val="center"/>
              <w:rPr>
                <w:rFonts w:ascii="宋体" w:hAnsi="宋体"/>
                <w:sz w:val="28"/>
                <w:szCs w:val="28"/>
                <w:lang w:val="zh-CN"/>
              </w:rPr>
            </w:pPr>
            <w:r>
              <w:rPr>
                <w:rFonts w:ascii="宋体" w:hAnsi="宋体"/>
                <w:sz w:val="28"/>
                <w:szCs w:val="28"/>
                <w:lang w:val="zh-CN"/>
              </w:rPr>
              <w:t>2</w:t>
            </w:r>
          </w:p>
        </w:tc>
        <w:tc>
          <w:tcPr>
            <w:tcW w:w="1556" w:type="dxa"/>
            <w:vAlign w:val="center"/>
          </w:tcPr>
          <w:p w14:paraId="08FAFE92">
            <w:pPr>
              <w:pStyle w:val="32"/>
              <w:ind w:left="38"/>
              <w:jc w:val="center"/>
              <w:rPr>
                <w:kern w:val="2"/>
                <w:lang w:val="zh-CN"/>
              </w:rPr>
            </w:pPr>
            <w:r>
              <w:rPr>
                <w:rFonts w:hint="eastAsia"/>
                <w:kern w:val="2"/>
                <w:lang w:val="zh-CN"/>
              </w:rPr>
              <w:t>最高限价</w:t>
            </w:r>
          </w:p>
        </w:tc>
        <w:tc>
          <w:tcPr>
            <w:tcW w:w="7067" w:type="dxa"/>
            <w:vAlign w:val="center"/>
          </w:tcPr>
          <w:p w14:paraId="064C71A3">
            <w:pPr>
              <w:pStyle w:val="32"/>
              <w:jc w:val="both"/>
              <w:rPr>
                <w:b/>
                <w:kern w:val="2"/>
                <w:lang w:val="zh-CN"/>
              </w:rPr>
            </w:pPr>
            <w:r>
              <w:rPr>
                <w:rFonts w:hint="eastAsia"/>
                <w:b/>
                <w:kern w:val="2"/>
                <w:lang w:val="zh-CN"/>
              </w:rPr>
              <w:t>人民币</w:t>
            </w:r>
            <w:r>
              <w:rPr>
                <w:rFonts w:hint="eastAsia"/>
                <w:b/>
                <w:kern w:val="2"/>
                <w:u w:val="single"/>
                <w:lang w:val="en-US" w:eastAsia="zh-CN"/>
              </w:rPr>
              <w:t xml:space="preserve"> 650000.00</w:t>
            </w:r>
            <w:r>
              <w:rPr>
                <w:rFonts w:hint="eastAsia"/>
                <w:b/>
                <w:kern w:val="2"/>
                <w:lang w:val="zh-CN"/>
              </w:rPr>
              <w:t>元</w:t>
            </w:r>
          </w:p>
          <w:p w14:paraId="2E1115D1">
            <w:pPr>
              <w:pStyle w:val="32"/>
              <w:ind w:left="38"/>
              <w:jc w:val="both"/>
              <w:rPr>
                <w:b/>
                <w:kern w:val="2"/>
                <w:lang w:val="zh-CN"/>
              </w:rPr>
            </w:pPr>
            <w:r>
              <w:rPr>
                <w:rFonts w:hint="eastAsia"/>
                <w:kern w:val="2"/>
                <w:sz w:val="21"/>
                <w:szCs w:val="21"/>
                <w:lang w:val="zh-CN"/>
              </w:rPr>
              <w:t>供应商投标报价高于最高限价的则其投标文件将按无效投标文件处理。</w:t>
            </w:r>
          </w:p>
        </w:tc>
      </w:tr>
      <w:tr w14:paraId="2E5D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13" w:hRule="atLeast"/>
          <w:jc w:val="center"/>
        </w:trPr>
        <w:tc>
          <w:tcPr>
            <w:tcW w:w="689" w:type="dxa"/>
            <w:vMerge w:val="restart"/>
            <w:vAlign w:val="center"/>
          </w:tcPr>
          <w:p w14:paraId="75BFC7F6">
            <w:pPr>
              <w:snapToGrid w:val="0"/>
              <w:spacing w:after="200"/>
              <w:jc w:val="center"/>
              <w:rPr>
                <w:rFonts w:ascii="宋体" w:hAnsi="宋体"/>
                <w:sz w:val="28"/>
                <w:szCs w:val="28"/>
                <w:lang w:val="zh-CN"/>
              </w:rPr>
            </w:pPr>
            <w:r>
              <w:rPr>
                <w:rFonts w:ascii="宋体" w:hAnsi="宋体"/>
                <w:sz w:val="28"/>
                <w:szCs w:val="28"/>
                <w:lang w:val="zh-CN"/>
              </w:rPr>
              <w:t>3</w:t>
            </w:r>
          </w:p>
        </w:tc>
        <w:tc>
          <w:tcPr>
            <w:tcW w:w="1556" w:type="dxa"/>
            <w:vMerge w:val="restart"/>
            <w:vAlign w:val="center"/>
          </w:tcPr>
          <w:p w14:paraId="3180F537">
            <w:pPr>
              <w:pStyle w:val="32"/>
              <w:ind w:left="38"/>
              <w:jc w:val="center"/>
              <w:rPr>
                <w:rFonts w:hint="eastAsia"/>
                <w:kern w:val="2"/>
                <w:lang w:val="zh-CN"/>
              </w:rPr>
            </w:pPr>
            <w:r>
              <w:rPr>
                <w:rFonts w:hint="eastAsia"/>
                <w:kern w:val="2"/>
                <w:lang w:val="zh-CN"/>
              </w:rPr>
              <w:t>项目性质</w:t>
            </w:r>
          </w:p>
        </w:tc>
        <w:tc>
          <w:tcPr>
            <w:tcW w:w="7067" w:type="dxa"/>
            <w:vAlign w:val="center"/>
          </w:tcPr>
          <w:p w14:paraId="10BBD0BC">
            <w:pPr>
              <w:pStyle w:val="32"/>
              <w:jc w:val="both"/>
              <w:rPr>
                <w:b/>
                <w:kern w:val="2"/>
                <w:highlight w:val="none"/>
                <w:lang w:val="zh-CN"/>
              </w:rPr>
            </w:pPr>
            <w:r>
              <w:rPr>
                <w:rFonts w:hint="eastAsia" w:ascii="宋体" w:hAnsi="宋体" w:eastAsia="宋体" w:cs="宋体"/>
                <w:b/>
                <w:kern w:val="2"/>
                <w:highlight w:val="none"/>
                <w:lang w:val="zh-CN"/>
              </w:rPr>
              <w:t>●</w:t>
            </w:r>
            <w:r>
              <w:rPr>
                <w:rFonts w:hint="eastAsia"/>
                <w:b/>
                <w:kern w:val="2"/>
                <w:highlight w:val="none"/>
                <w:lang w:val="zh-CN"/>
              </w:rPr>
              <w:t>专门面向中小企业采购</w:t>
            </w:r>
          </w:p>
          <w:p w14:paraId="4E889D06">
            <w:pPr>
              <w:pStyle w:val="32"/>
              <w:ind w:left="38"/>
              <w:jc w:val="both"/>
              <w:rPr>
                <w:rFonts w:hint="eastAsia"/>
                <w:b/>
                <w:kern w:val="2"/>
                <w:lang w:val="zh-CN"/>
              </w:rPr>
            </w:pPr>
            <w:r>
              <w:rPr>
                <w:rFonts w:hint="eastAsia"/>
                <w:kern w:val="2"/>
                <w:sz w:val="21"/>
                <w:szCs w:val="21"/>
                <w:lang w:val="zh-CN"/>
              </w:rPr>
              <w:t>仅允许中小企业或小型、微型企业参与投标。</w:t>
            </w:r>
          </w:p>
        </w:tc>
      </w:tr>
      <w:tr w14:paraId="7958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6ED7A2BE">
            <w:pPr>
              <w:snapToGrid w:val="0"/>
              <w:spacing w:after="200"/>
              <w:ind w:left="142"/>
              <w:jc w:val="center"/>
              <w:rPr>
                <w:rFonts w:ascii="宋体" w:hAnsi="宋体"/>
                <w:b/>
                <w:sz w:val="28"/>
                <w:szCs w:val="28"/>
                <w:lang w:val="zh-CN"/>
              </w:rPr>
            </w:pPr>
          </w:p>
        </w:tc>
        <w:tc>
          <w:tcPr>
            <w:tcW w:w="1556" w:type="dxa"/>
            <w:vMerge w:val="continue"/>
            <w:vAlign w:val="center"/>
          </w:tcPr>
          <w:p w14:paraId="374C7572">
            <w:pPr>
              <w:pStyle w:val="32"/>
              <w:ind w:left="96"/>
              <w:jc w:val="center"/>
              <w:rPr>
                <w:kern w:val="2"/>
                <w:lang w:val="zh-CN"/>
              </w:rPr>
            </w:pPr>
          </w:p>
        </w:tc>
        <w:tc>
          <w:tcPr>
            <w:tcW w:w="7067" w:type="dxa"/>
            <w:vAlign w:val="center"/>
          </w:tcPr>
          <w:p w14:paraId="411A5676">
            <w:pPr>
              <w:rPr>
                <w:rFonts w:ascii="宋体" w:hAnsi="宋体" w:cs="宋体"/>
                <w:b/>
                <w:sz w:val="24"/>
                <w:szCs w:val="24"/>
                <w:lang w:val="zh-CN"/>
              </w:rPr>
            </w:pPr>
            <w:r>
              <w:rPr>
                <w:rFonts w:ascii="宋体" w:hAnsi="宋体" w:cs="宋体"/>
                <w:b/>
                <w:sz w:val="24"/>
                <w:szCs w:val="24"/>
                <w:lang w:val="zh-CN"/>
              </w:rPr>
              <w:t>○</w:t>
            </w:r>
            <w:r>
              <w:rPr>
                <w:rFonts w:hint="eastAsia" w:ascii="宋体" w:hAnsi="宋体" w:cs="宋体"/>
                <w:b/>
                <w:sz w:val="24"/>
                <w:szCs w:val="24"/>
                <w:lang w:val="zh-CN"/>
              </w:rPr>
              <w:t>非专门面向中小企业采购</w:t>
            </w:r>
          </w:p>
          <w:p w14:paraId="4EF0EBA2">
            <w:pPr>
              <w:ind w:right="94" w:rightChars="45"/>
              <w:rPr>
                <w:rFonts w:ascii="宋体" w:hAnsi="宋体"/>
                <w:b/>
                <w:szCs w:val="21"/>
              </w:rPr>
            </w:pPr>
            <w:r>
              <w:rPr>
                <w:rFonts w:hint="eastAsia" w:ascii="宋体" w:hAnsi="宋体" w:cs="宋体"/>
                <w:color w:val="000000" w:themeColor="text1"/>
                <w:kern w:val="0"/>
                <w:szCs w:val="21"/>
                <w:lang w:val="zh-CN"/>
                <w14:textFill>
                  <w14:solidFill>
                    <w14:schemeClr w14:val="tx1"/>
                  </w14:solidFill>
                </w14:textFill>
              </w:rPr>
              <w:t>对符合《政府采购促进中小企业发展管理办法》（财库〔2020〕46号）规定的小微企业（监狱企业视同小型、微型企业）的报价</w:t>
            </w:r>
            <w:r>
              <w:rPr>
                <w:rFonts w:hint="eastAsia" w:ascii="宋体" w:hAnsi="宋体" w:cs="宋体"/>
                <w:b/>
                <w:color w:val="000000" w:themeColor="text1"/>
                <w:kern w:val="0"/>
                <w:szCs w:val="21"/>
                <w:lang w:val="zh-CN"/>
                <w14:textFill>
                  <w14:solidFill>
                    <w14:schemeClr w14:val="tx1"/>
                  </w14:solidFill>
                </w14:textFill>
              </w:rPr>
              <w:t>给予___%（</w:t>
            </w:r>
            <w:r>
              <w:rPr>
                <w:rFonts w:hint="eastAsia" w:ascii="宋体" w:hAnsi="宋体" w:cs="宋体"/>
                <w:b/>
                <w:color w:val="000000" w:themeColor="text1"/>
                <w:kern w:val="0"/>
                <w:szCs w:val="21"/>
                <w:lang w:val="en-US" w:eastAsia="zh-CN"/>
                <w14:textFill>
                  <w14:solidFill>
                    <w14:schemeClr w14:val="tx1"/>
                  </w14:solidFill>
                </w14:textFill>
              </w:rPr>
              <w:t>10</w:t>
            </w:r>
            <w:r>
              <w:rPr>
                <w:rFonts w:hint="eastAsia" w:ascii="宋体" w:hAnsi="宋体" w:cs="宋体"/>
                <w:b/>
                <w:color w:val="000000" w:themeColor="text1"/>
                <w:kern w:val="0"/>
                <w:szCs w:val="21"/>
                <w:lang w:val="zh-CN"/>
                <w14:textFill>
                  <w14:solidFill>
                    <w14:schemeClr w14:val="tx1"/>
                  </w14:solidFill>
                </w14:textFill>
              </w:rPr>
              <w:t>%-</w:t>
            </w:r>
            <w:r>
              <w:rPr>
                <w:rFonts w:hint="eastAsia" w:ascii="宋体" w:hAnsi="宋体" w:cs="宋体"/>
                <w:b/>
                <w:color w:val="000000" w:themeColor="text1"/>
                <w:kern w:val="0"/>
                <w:szCs w:val="21"/>
                <w:lang w:val="en-US" w:eastAsia="zh-CN"/>
                <w14:textFill>
                  <w14:solidFill>
                    <w14:schemeClr w14:val="tx1"/>
                  </w14:solidFill>
                </w14:textFill>
              </w:rPr>
              <w:t>2</w:t>
            </w:r>
            <w:r>
              <w:rPr>
                <w:rFonts w:ascii="宋体" w:hAnsi="宋体" w:cs="宋体"/>
                <w:b/>
                <w:color w:val="000000" w:themeColor="text1"/>
                <w:kern w:val="0"/>
                <w:szCs w:val="21"/>
                <w:lang w:val="zh-CN"/>
                <w14:textFill>
                  <w14:solidFill>
                    <w14:schemeClr w14:val="tx1"/>
                  </w14:solidFill>
                </w14:textFill>
              </w:rPr>
              <w:t>0%</w:t>
            </w:r>
            <w:r>
              <w:rPr>
                <w:rFonts w:hint="eastAsia" w:ascii="宋体" w:hAnsi="宋体" w:cs="宋体"/>
                <w:b/>
                <w:color w:val="000000" w:themeColor="text1"/>
                <w:kern w:val="0"/>
                <w:szCs w:val="21"/>
                <w:lang w:val="zh-CN"/>
                <w14:textFill>
                  <w14:solidFill>
                    <w14:schemeClr w14:val="tx1"/>
                  </w14:solidFill>
                </w14:textFill>
              </w:rPr>
              <w:t>）的扣除</w:t>
            </w:r>
            <w:r>
              <w:rPr>
                <w:rFonts w:hint="eastAsia" w:ascii="宋体" w:hAnsi="宋体" w:cs="宋体"/>
                <w:color w:val="000000" w:themeColor="text1"/>
                <w:kern w:val="0"/>
                <w:szCs w:val="21"/>
                <w:lang w:val="zh-CN"/>
                <w14:textFill>
                  <w14:solidFill>
                    <w14:schemeClr w14:val="tx1"/>
                  </w14:solidFill>
                </w14:textFill>
              </w:rPr>
              <w:t>，用扣除后的价格参加评审。</w:t>
            </w:r>
          </w:p>
        </w:tc>
      </w:tr>
      <w:tr w14:paraId="0D06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0" w:hRule="atLeast"/>
          <w:jc w:val="center"/>
        </w:trPr>
        <w:tc>
          <w:tcPr>
            <w:tcW w:w="689" w:type="dxa"/>
            <w:vMerge w:val="restart"/>
            <w:vAlign w:val="center"/>
          </w:tcPr>
          <w:p w14:paraId="243D60AB">
            <w:pPr>
              <w:snapToGrid w:val="0"/>
              <w:spacing w:after="200"/>
              <w:jc w:val="center"/>
              <w:rPr>
                <w:rFonts w:ascii="宋体" w:hAnsi="宋体"/>
                <w:sz w:val="24"/>
              </w:rPr>
            </w:pPr>
            <w:r>
              <w:rPr>
                <w:rFonts w:ascii="宋体" w:hAnsi="宋体"/>
                <w:sz w:val="24"/>
              </w:rPr>
              <w:t>4</w:t>
            </w:r>
          </w:p>
        </w:tc>
        <w:tc>
          <w:tcPr>
            <w:tcW w:w="1556" w:type="dxa"/>
            <w:vMerge w:val="restart"/>
            <w:vAlign w:val="center"/>
          </w:tcPr>
          <w:p w14:paraId="71249B59">
            <w:pPr>
              <w:pStyle w:val="32"/>
              <w:ind w:left="96"/>
              <w:jc w:val="center"/>
              <w:rPr>
                <w:kern w:val="2"/>
                <w:lang w:val="zh-CN"/>
              </w:rPr>
            </w:pPr>
            <w:r>
              <w:rPr>
                <w:kern w:val="2"/>
                <w:lang w:val="zh-CN"/>
              </w:rPr>
              <w:t>对供应商的</w:t>
            </w:r>
            <w:r>
              <w:rPr>
                <w:kern w:val="2"/>
                <w:lang w:val="zh-CN"/>
              </w:rPr>
              <w:br w:type="textWrapping"/>
            </w:r>
            <w:r>
              <w:rPr>
                <w:kern w:val="2"/>
                <w:lang w:val="zh-CN"/>
              </w:rPr>
              <w:t>资格要求</w:t>
            </w:r>
          </w:p>
        </w:tc>
        <w:tc>
          <w:tcPr>
            <w:tcW w:w="7067" w:type="dxa"/>
            <w:vAlign w:val="center"/>
          </w:tcPr>
          <w:p w14:paraId="2D2792E2">
            <w:pPr>
              <w:pStyle w:val="32"/>
              <w:numPr>
                <w:ilvl w:val="0"/>
                <w:numId w:val="0"/>
              </w:numPr>
              <w:jc w:val="both"/>
              <w:rPr>
                <w:rFonts w:hint="eastAsia" w:ascii="宋体" w:hAnsi="宋体" w:eastAsia="宋体" w:cs="宋体"/>
                <w:b/>
                <w:bCs/>
                <w:kern w:val="2"/>
                <w:sz w:val="21"/>
                <w:szCs w:val="21"/>
                <w:lang w:val="zh-CN"/>
              </w:rPr>
            </w:pPr>
            <w:r>
              <w:rPr>
                <w:rFonts w:hint="eastAsia" w:ascii="宋体" w:hAnsi="宋体" w:eastAsia="宋体" w:cs="宋体"/>
                <w:b/>
                <w:bCs/>
                <w:kern w:val="2"/>
                <w:sz w:val="21"/>
                <w:szCs w:val="21"/>
                <w:lang w:val="zh-CN" w:eastAsia="zh-CN" w:bidi="ar-SA"/>
              </w:rPr>
              <w:t>1、</w:t>
            </w:r>
            <w:r>
              <w:rPr>
                <w:rFonts w:hint="eastAsia" w:ascii="宋体" w:hAnsi="宋体" w:eastAsia="宋体" w:cs="宋体"/>
                <w:b/>
                <w:bCs/>
                <w:kern w:val="2"/>
                <w:sz w:val="21"/>
                <w:szCs w:val="21"/>
                <w:lang w:val="zh-CN"/>
              </w:rPr>
              <w:t>满足《中华人民共和国政府采购法》第二十二条规定</w:t>
            </w:r>
          </w:p>
          <w:p w14:paraId="0B409139">
            <w:pPr>
              <w:pStyle w:val="32"/>
              <w:jc w:val="both"/>
              <w:rPr>
                <w:rFonts w:hint="eastAsia"/>
                <w:b w:val="0"/>
                <w:bCs/>
                <w:kern w:val="2"/>
                <w:sz w:val="21"/>
                <w:szCs w:val="21"/>
                <w:u w:val="none"/>
                <w:lang w:val="zh-CN" w:eastAsia="zh-CN"/>
              </w:rPr>
            </w:pPr>
            <w:r>
              <w:rPr>
                <w:rFonts w:hint="eastAsia"/>
                <w:b/>
                <w:kern w:val="2"/>
                <w:lang w:val="zh-CN"/>
              </w:rPr>
              <w:t>2、</w:t>
            </w:r>
            <w:r>
              <w:rPr>
                <w:rFonts w:hint="eastAsia"/>
                <w:b/>
                <w:kern w:val="2"/>
                <w:lang w:val="en-US" w:eastAsia="zh-CN"/>
              </w:rPr>
              <w:t>特定资格要求</w:t>
            </w:r>
          </w:p>
          <w:p w14:paraId="0D05DEB0">
            <w:pPr>
              <w:pStyle w:val="32"/>
              <w:jc w:val="both"/>
              <w:rPr>
                <w:rFonts w:hint="eastAsia"/>
                <w:b w:val="0"/>
                <w:bCs/>
                <w:kern w:val="2"/>
                <w:sz w:val="21"/>
                <w:szCs w:val="21"/>
                <w:u w:val="none"/>
                <w:lang w:val="zh-CN" w:eastAsia="zh-CN"/>
              </w:rPr>
            </w:pPr>
            <w:r>
              <w:rPr>
                <w:rFonts w:hint="eastAsia"/>
                <w:b w:val="0"/>
                <w:bCs/>
                <w:kern w:val="2"/>
                <w:sz w:val="21"/>
                <w:szCs w:val="21"/>
                <w:u w:val="none"/>
                <w:lang w:val="zh-CN" w:eastAsia="zh-CN"/>
              </w:rPr>
              <w:t>（1）具有独立承担民事责任能力的法人、其他组织或自然人，并出具合法有效的营业执照或事业单位法人证书等国家规定的相关证明，自然人参与的提供其身份证明；</w:t>
            </w:r>
          </w:p>
          <w:p w14:paraId="10AE53AE">
            <w:pPr>
              <w:pStyle w:val="32"/>
              <w:jc w:val="both"/>
              <w:rPr>
                <w:rFonts w:hint="eastAsia"/>
                <w:b w:val="0"/>
                <w:bCs/>
                <w:kern w:val="2"/>
                <w:sz w:val="21"/>
                <w:szCs w:val="21"/>
                <w:u w:val="none"/>
                <w:lang w:val="zh-CN" w:eastAsia="zh-CN"/>
              </w:rPr>
            </w:pPr>
            <w:r>
              <w:rPr>
                <w:rFonts w:hint="eastAsia"/>
                <w:b w:val="0"/>
                <w:bCs/>
                <w:kern w:val="2"/>
                <w:sz w:val="21"/>
                <w:szCs w:val="21"/>
                <w:u w:val="none"/>
                <w:lang w:val="zh-CN" w:eastAsia="zh-CN"/>
              </w:rPr>
              <w:t>（2）提供法定代表人授权书及法定代表人证明书（法定代表人</w:t>
            </w:r>
            <w:r>
              <w:rPr>
                <w:rFonts w:hint="eastAsia"/>
                <w:b w:val="0"/>
                <w:bCs/>
                <w:kern w:val="2"/>
                <w:sz w:val="21"/>
                <w:szCs w:val="21"/>
                <w:u w:val="none"/>
                <w:lang w:val="en-US" w:eastAsia="zh-CN"/>
              </w:rPr>
              <w:t>投标</w:t>
            </w:r>
            <w:r>
              <w:rPr>
                <w:rFonts w:hint="eastAsia"/>
                <w:b w:val="0"/>
                <w:bCs/>
                <w:kern w:val="2"/>
                <w:sz w:val="21"/>
                <w:szCs w:val="21"/>
                <w:u w:val="none"/>
                <w:lang w:val="zh-CN" w:eastAsia="zh-CN"/>
              </w:rPr>
              <w:t>时不需提供授权书，须出具法人身份证，并与营业执照上信息一致）；</w:t>
            </w:r>
          </w:p>
          <w:p w14:paraId="4C965A46">
            <w:pPr>
              <w:pStyle w:val="32"/>
              <w:jc w:val="both"/>
              <w:rPr>
                <w:rFonts w:hint="eastAsia"/>
                <w:b w:val="0"/>
                <w:bCs/>
                <w:kern w:val="2"/>
                <w:sz w:val="21"/>
                <w:szCs w:val="21"/>
                <w:u w:val="none"/>
                <w:lang w:val="zh-CN" w:eastAsia="zh-CN"/>
              </w:rPr>
            </w:pPr>
            <w:r>
              <w:rPr>
                <w:rFonts w:hint="eastAsia"/>
                <w:b w:val="0"/>
                <w:bCs/>
                <w:kern w:val="2"/>
                <w:sz w:val="21"/>
                <w:szCs w:val="21"/>
                <w:u w:val="none"/>
                <w:lang w:val="zh-CN" w:eastAsia="zh-CN"/>
              </w:rPr>
              <w:t>（</w:t>
            </w:r>
            <w:r>
              <w:rPr>
                <w:rFonts w:hint="eastAsia"/>
                <w:b w:val="0"/>
                <w:bCs/>
                <w:kern w:val="2"/>
                <w:sz w:val="21"/>
                <w:szCs w:val="21"/>
                <w:u w:val="none"/>
                <w:lang w:val="en-US" w:eastAsia="zh-CN"/>
              </w:rPr>
              <w:t>3</w:t>
            </w:r>
            <w:r>
              <w:rPr>
                <w:rFonts w:hint="eastAsia"/>
                <w:b w:val="0"/>
                <w:bCs/>
                <w:kern w:val="2"/>
                <w:sz w:val="21"/>
                <w:szCs w:val="21"/>
                <w:u w:val="none"/>
                <w:lang w:val="zh-CN" w:eastAsia="zh-CN"/>
              </w:rPr>
              <w:t>）提供2024年度或2025年度的财务报告（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且审计报告应当经过注册会计师行业统一监管平台备案赋码，成立时间至提交响应文件截止时间不足一年的可提供成立后任意时段的资产负债表），或其开标前三个月内基本存款账户开户银行出具的资信证明及基本存款账户开户许可证（或基本账户信息）。</w:t>
            </w:r>
          </w:p>
          <w:p w14:paraId="37F3502E">
            <w:pPr>
              <w:pStyle w:val="32"/>
              <w:jc w:val="both"/>
              <w:rPr>
                <w:rFonts w:hint="eastAsia"/>
                <w:b w:val="0"/>
                <w:bCs/>
                <w:kern w:val="2"/>
                <w:sz w:val="21"/>
                <w:szCs w:val="21"/>
                <w:u w:val="none"/>
                <w:lang w:val="zh-CN" w:eastAsia="zh-CN"/>
              </w:rPr>
            </w:pPr>
            <w:r>
              <w:rPr>
                <w:rFonts w:hint="eastAsia"/>
                <w:b w:val="0"/>
                <w:bCs/>
                <w:kern w:val="2"/>
                <w:sz w:val="21"/>
                <w:szCs w:val="21"/>
                <w:u w:val="none"/>
                <w:lang w:val="zh-CN" w:eastAsia="zh-CN"/>
              </w:rPr>
              <w:t>（</w:t>
            </w:r>
            <w:r>
              <w:rPr>
                <w:rFonts w:hint="eastAsia"/>
                <w:b w:val="0"/>
                <w:bCs/>
                <w:kern w:val="2"/>
                <w:sz w:val="21"/>
                <w:szCs w:val="21"/>
                <w:u w:val="none"/>
                <w:lang w:val="en-US" w:eastAsia="zh-CN"/>
              </w:rPr>
              <w:t>4</w:t>
            </w:r>
            <w:r>
              <w:rPr>
                <w:rFonts w:hint="eastAsia"/>
                <w:b w:val="0"/>
                <w:bCs/>
                <w:kern w:val="2"/>
                <w:sz w:val="21"/>
                <w:szCs w:val="21"/>
                <w:u w:val="none"/>
                <w:lang w:val="zh-CN" w:eastAsia="zh-CN"/>
              </w:rPr>
              <w:t>）提供2025年6月至今已缴存的至少三个月的社会保障资金缴存单据或社保机构开具的社会保险参保缴费情况证明，依法不需要缴纳社会保障资金的单位应提供相关证明材料。</w:t>
            </w:r>
          </w:p>
          <w:p w14:paraId="61211A7E">
            <w:pPr>
              <w:pStyle w:val="32"/>
              <w:jc w:val="both"/>
              <w:rPr>
                <w:rFonts w:hint="eastAsia"/>
                <w:b w:val="0"/>
                <w:bCs/>
                <w:kern w:val="2"/>
                <w:sz w:val="21"/>
                <w:szCs w:val="21"/>
                <w:u w:val="none"/>
                <w:lang w:val="zh-CN" w:eastAsia="zh-CN"/>
              </w:rPr>
            </w:pPr>
            <w:r>
              <w:rPr>
                <w:rFonts w:hint="eastAsia"/>
                <w:b w:val="0"/>
                <w:bCs/>
                <w:kern w:val="2"/>
                <w:sz w:val="21"/>
                <w:szCs w:val="21"/>
                <w:u w:val="none"/>
                <w:lang w:val="zh-CN" w:eastAsia="zh-CN"/>
              </w:rPr>
              <w:t>（</w:t>
            </w:r>
            <w:r>
              <w:rPr>
                <w:rFonts w:hint="eastAsia"/>
                <w:b w:val="0"/>
                <w:bCs/>
                <w:kern w:val="2"/>
                <w:sz w:val="21"/>
                <w:szCs w:val="21"/>
                <w:u w:val="none"/>
                <w:lang w:val="en-US" w:eastAsia="zh-CN"/>
              </w:rPr>
              <w:t>5</w:t>
            </w:r>
            <w:r>
              <w:rPr>
                <w:rFonts w:hint="eastAsia"/>
                <w:b w:val="0"/>
                <w:bCs/>
                <w:kern w:val="2"/>
                <w:sz w:val="21"/>
                <w:szCs w:val="21"/>
                <w:u w:val="none"/>
                <w:lang w:val="zh-CN" w:eastAsia="zh-CN"/>
              </w:rPr>
              <w:t>）提供2025年6月至今已缴纳的至少三个月的纳税证明或完税证明，依法免税的单位应提供相关证明材料；</w:t>
            </w:r>
          </w:p>
          <w:p w14:paraId="2D1F4EB9">
            <w:pPr>
              <w:pStyle w:val="32"/>
              <w:jc w:val="both"/>
              <w:rPr>
                <w:rFonts w:hint="eastAsia"/>
                <w:b w:val="0"/>
                <w:bCs/>
                <w:kern w:val="2"/>
                <w:sz w:val="21"/>
                <w:szCs w:val="21"/>
                <w:u w:val="none"/>
                <w:lang w:val="zh-CN" w:eastAsia="zh-CN"/>
              </w:rPr>
            </w:pPr>
            <w:r>
              <w:rPr>
                <w:rFonts w:hint="eastAsia"/>
                <w:b w:val="0"/>
                <w:bCs/>
                <w:kern w:val="2"/>
                <w:sz w:val="21"/>
                <w:szCs w:val="21"/>
                <w:u w:val="none"/>
                <w:lang w:val="zh-CN" w:eastAsia="zh-CN"/>
              </w:rPr>
              <w:t>（</w:t>
            </w:r>
            <w:r>
              <w:rPr>
                <w:rFonts w:hint="eastAsia"/>
                <w:b w:val="0"/>
                <w:bCs/>
                <w:kern w:val="2"/>
                <w:sz w:val="21"/>
                <w:szCs w:val="21"/>
                <w:u w:val="none"/>
                <w:lang w:val="en-US" w:eastAsia="zh-CN"/>
              </w:rPr>
              <w:t>6</w:t>
            </w:r>
            <w:r>
              <w:rPr>
                <w:rFonts w:hint="eastAsia"/>
                <w:b w:val="0"/>
                <w:bCs/>
                <w:kern w:val="2"/>
                <w:sz w:val="21"/>
                <w:szCs w:val="21"/>
                <w:u w:val="none"/>
                <w:lang w:val="zh-CN" w:eastAsia="zh-CN"/>
              </w:rPr>
              <w:t>）</w:t>
            </w:r>
            <w:r>
              <w:rPr>
                <w:rFonts w:hint="eastAsia"/>
                <w:b w:val="0"/>
                <w:bCs/>
                <w:kern w:val="2"/>
                <w:sz w:val="21"/>
                <w:szCs w:val="21"/>
                <w:u w:val="none"/>
                <w:lang w:val="en-US" w:eastAsia="zh-CN"/>
              </w:rPr>
              <w:t>企业资质：供应商具有建设行政主管部门颁发的工程监理综合资质或房屋建筑工程专业监理乙级及以上资质</w:t>
            </w:r>
            <w:r>
              <w:rPr>
                <w:rFonts w:hint="eastAsia"/>
                <w:b w:val="0"/>
                <w:bCs/>
                <w:kern w:val="2"/>
                <w:sz w:val="21"/>
                <w:szCs w:val="21"/>
                <w:u w:val="none"/>
                <w:lang w:val="zh-CN" w:eastAsia="zh-CN"/>
              </w:rPr>
              <w:t>；</w:t>
            </w:r>
          </w:p>
          <w:p w14:paraId="1BD9997F">
            <w:pPr>
              <w:pStyle w:val="32"/>
              <w:jc w:val="both"/>
              <w:rPr>
                <w:rFonts w:hint="eastAsia"/>
                <w:b w:val="0"/>
                <w:bCs/>
                <w:kern w:val="2"/>
                <w:sz w:val="21"/>
                <w:szCs w:val="21"/>
                <w:u w:val="none"/>
                <w:lang w:val="zh-CN" w:eastAsia="zh-CN"/>
              </w:rPr>
            </w:pPr>
            <w:r>
              <w:rPr>
                <w:rFonts w:hint="eastAsia"/>
                <w:b w:val="0"/>
                <w:bCs/>
                <w:kern w:val="2"/>
                <w:sz w:val="21"/>
                <w:szCs w:val="21"/>
                <w:u w:val="none"/>
                <w:lang w:val="zh-CN" w:eastAsia="zh-CN"/>
              </w:rPr>
              <w:t>（</w:t>
            </w:r>
            <w:r>
              <w:rPr>
                <w:rFonts w:hint="eastAsia"/>
                <w:b w:val="0"/>
                <w:bCs/>
                <w:kern w:val="2"/>
                <w:sz w:val="21"/>
                <w:szCs w:val="21"/>
                <w:u w:val="none"/>
                <w:lang w:val="en-US" w:eastAsia="zh-CN"/>
              </w:rPr>
              <w:t>7</w:t>
            </w:r>
            <w:r>
              <w:rPr>
                <w:rFonts w:hint="eastAsia"/>
                <w:b w:val="0"/>
                <w:bCs/>
                <w:kern w:val="2"/>
                <w:sz w:val="21"/>
                <w:szCs w:val="21"/>
                <w:u w:val="none"/>
                <w:lang w:val="zh-CN" w:eastAsia="zh-CN"/>
              </w:rPr>
              <w:t>）拟派项目总监理工程师：拟派项目总监理工程师须具备房屋建筑工程专业注册监理工程师，在本单位注册且未担任其他在建工程项目的总监理工程师；</w:t>
            </w:r>
          </w:p>
          <w:p w14:paraId="09A0DB2E">
            <w:pPr>
              <w:pStyle w:val="32"/>
              <w:jc w:val="both"/>
              <w:rPr>
                <w:rFonts w:hint="eastAsia"/>
                <w:b w:val="0"/>
                <w:bCs/>
                <w:kern w:val="2"/>
                <w:sz w:val="21"/>
                <w:szCs w:val="21"/>
                <w:u w:val="none"/>
                <w:lang w:val="zh-CN" w:eastAsia="zh-CN"/>
              </w:rPr>
            </w:pPr>
            <w:r>
              <w:rPr>
                <w:rFonts w:hint="eastAsia"/>
                <w:b w:val="0"/>
                <w:bCs/>
                <w:kern w:val="2"/>
                <w:sz w:val="21"/>
                <w:szCs w:val="21"/>
                <w:u w:val="none"/>
                <w:lang w:val="zh-CN" w:eastAsia="zh-CN"/>
              </w:rPr>
              <w:t>(8)参加本次政府采购活动前三年内，在经营活动中没有重大违法记录的书面声明。</w:t>
            </w:r>
          </w:p>
          <w:p w14:paraId="6D15A0B5">
            <w:pPr>
              <w:pStyle w:val="32"/>
              <w:jc w:val="both"/>
              <w:rPr>
                <w:rFonts w:hint="eastAsia"/>
                <w:b w:val="0"/>
                <w:bCs/>
                <w:kern w:val="2"/>
                <w:sz w:val="21"/>
                <w:szCs w:val="21"/>
                <w:u w:val="none"/>
                <w:lang w:val="zh-CN" w:eastAsia="zh-CN"/>
              </w:rPr>
            </w:pPr>
            <w:r>
              <w:rPr>
                <w:rFonts w:hint="eastAsia"/>
                <w:b w:val="0"/>
                <w:bCs/>
                <w:kern w:val="2"/>
                <w:sz w:val="21"/>
                <w:szCs w:val="21"/>
                <w:u w:val="none"/>
                <w:lang w:val="zh-CN" w:eastAsia="zh-CN"/>
              </w:rPr>
              <w:t>(9)供应商具有履行本合同所必需的专业技术能力的说明及承诺。</w:t>
            </w:r>
          </w:p>
          <w:p w14:paraId="1C54CC7C">
            <w:pPr>
              <w:pStyle w:val="32"/>
              <w:jc w:val="both"/>
              <w:rPr>
                <w:rFonts w:hint="eastAsia"/>
                <w:b w:val="0"/>
                <w:bCs/>
                <w:kern w:val="2"/>
                <w:sz w:val="21"/>
                <w:szCs w:val="21"/>
                <w:u w:val="none"/>
                <w:lang w:val="zh-CN" w:eastAsia="zh-CN"/>
              </w:rPr>
            </w:pPr>
            <w:r>
              <w:rPr>
                <w:rFonts w:hint="eastAsia"/>
                <w:b w:val="0"/>
                <w:bCs/>
                <w:kern w:val="2"/>
                <w:sz w:val="21"/>
                <w:szCs w:val="21"/>
                <w:u w:val="none"/>
                <w:lang w:val="zh-CN" w:eastAsia="zh-CN"/>
              </w:rPr>
              <w:t>(10)供应商不得为“信用中国”网站中被列入失信被执行人、重大税收违法失信主体名单，不得被列为“中国政府采购网”中政府采购严重违法失信行为记录名单（不强制要求供应商提供查询截图，以开标现场查询结果为评审依据）。</w:t>
            </w:r>
          </w:p>
          <w:p w14:paraId="694A5E45">
            <w:pPr>
              <w:pStyle w:val="32"/>
              <w:jc w:val="both"/>
              <w:rPr>
                <w:kern w:val="2"/>
                <w:lang w:val="zh-CN"/>
              </w:rPr>
            </w:pPr>
            <w:r>
              <w:rPr>
                <w:rFonts w:hint="eastAsia"/>
                <w:b w:val="0"/>
                <w:bCs/>
                <w:kern w:val="2"/>
                <w:sz w:val="21"/>
                <w:szCs w:val="21"/>
                <w:u w:val="none"/>
                <w:lang w:val="zh-CN" w:eastAsia="zh-CN"/>
              </w:rPr>
              <w:t>(11)单位负责人为同一人或者存在直接控股、管理关系的不同供应商，不得参加本次采购活动。</w:t>
            </w:r>
          </w:p>
        </w:tc>
      </w:tr>
      <w:tr w14:paraId="711DC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369" w:hRule="atLeast"/>
          <w:jc w:val="center"/>
        </w:trPr>
        <w:tc>
          <w:tcPr>
            <w:tcW w:w="689" w:type="dxa"/>
            <w:vMerge w:val="continue"/>
            <w:vAlign w:val="center"/>
          </w:tcPr>
          <w:p w14:paraId="264A3014">
            <w:pPr>
              <w:snapToGrid w:val="0"/>
              <w:spacing w:after="200"/>
              <w:jc w:val="center"/>
              <w:rPr>
                <w:rFonts w:ascii="宋体" w:hAnsi="宋体"/>
                <w:sz w:val="24"/>
              </w:rPr>
            </w:pPr>
          </w:p>
        </w:tc>
        <w:tc>
          <w:tcPr>
            <w:tcW w:w="1556" w:type="dxa"/>
            <w:vMerge w:val="continue"/>
            <w:vAlign w:val="center"/>
          </w:tcPr>
          <w:p w14:paraId="78138B83">
            <w:pPr>
              <w:pStyle w:val="32"/>
              <w:ind w:left="96"/>
              <w:jc w:val="center"/>
              <w:rPr>
                <w:kern w:val="2"/>
                <w:lang w:val="zh-CN"/>
              </w:rPr>
            </w:pPr>
          </w:p>
        </w:tc>
        <w:tc>
          <w:tcPr>
            <w:tcW w:w="7067" w:type="dxa"/>
            <w:vAlign w:val="center"/>
          </w:tcPr>
          <w:p w14:paraId="1E67A21A">
            <w:pPr>
              <w:pStyle w:val="32"/>
              <w:jc w:val="both"/>
              <w:rPr>
                <w:rFonts w:hint="eastAsia"/>
                <w:kern w:val="2"/>
                <w:sz w:val="21"/>
                <w:szCs w:val="21"/>
                <w:lang w:val="zh-CN"/>
              </w:rPr>
            </w:pPr>
            <w:r>
              <w:rPr>
                <w:rFonts w:hint="eastAsia"/>
                <w:kern w:val="2"/>
                <w:sz w:val="21"/>
                <w:szCs w:val="21"/>
                <w:lang w:val="zh-CN"/>
              </w:rPr>
              <w:t>根据《政府采购促进中小企业发展管理办法》（财库〔2020〕46号）的规定,不得以企业注册资本、资产总额、营业收入、从业人员、利润、纳税额等规模条件和财务指标作为供应商的资格要求或者评审因素，不得在企业股权结构、经营年限等方面对中小企业实行差别待遇或者歧视待遇。</w:t>
            </w:r>
          </w:p>
        </w:tc>
      </w:tr>
      <w:tr w14:paraId="5FC52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29A07E3C">
            <w:pPr>
              <w:snapToGrid w:val="0"/>
              <w:spacing w:after="200"/>
              <w:jc w:val="center"/>
              <w:rPr>
                <w:rFonts w:ascii="宋体" w:hAnsi="宋体"/>
                <w:sz w:val="24"/>
              </w:rPr>
            </w:pPr>
            <w:r>
              <w:rPr>
                <w:rFonts w:ascii="宋体" w:hAnsi="宋体"/>
                <w:sz w:val="24"/>
              </w:rPr>
              <w:t>5</w:t>
            </w:r>
          </w:p>
        </w:tc>
        <w:tc>
          <w:tcPr>
            <w:tcW w:w="1556" w:type="dxa"/>
            <w:vMerge w:val="restart"/>
            <w:vAlign w:val="center"/>
          </w:tcPr>
          <w:p w14:paraId="567200EF">
            <w:pPr>
              <w:pStyle w:val="32"/>
              <w:ind w:left="96"/>
              <w:jc w:val="center"/>
              <w:rPr>
                <w:rFonts w:hint="eastAsia"/>
                <w:kern w:val="2"/>
                <w:lang w:val="zh-CN"/>
              </w:rPr>
            </w:pPr>
            <w:r>
              <w:rPr>
                <w:kern w:val="2"/>
                <w:lang w:val="zh-CN"/>
              </w:rPr>
              <w:t>是否</w:t>
            </w:r>
            <w:r>
              <w:rPr>
                <w:rFonts w:hint="eastAsia"/>
                <w:kern w:val="2"/>
                <w:lang w:val="zh-CN"/>
              </w:rPr>
              <w:t>接受</w:t>
            </w:r>
            <w:r>
              <w:rPr>
                <w:kern w:val="2"/>
                <w:lang w:val="zh-CN"/>
              </w:rPr>
              <w:br w:type="textWrapping"/>
            </w:r>
            <w:r>
              <w:rPr>
                <w:kern w:val="2"/>
                <w:lang w:val="zh-CN"/>
              </w:rPr>
              <w:t>联合体投标</w:t>
            </w:r>
          </w:p>
        </w:tc>
        <w:tc>
          <w:tcPr>
            <w:tcW w:w="7067" w:type="dxa"/>
            <w:vAlign w:val="center"/>
          </w:tcPr>
          <w:p w14:paraId="43C4FF2F">
            <w:pPr>
              <w:pStyle w:val="32"/>
              <w:jc w:val="both"/>
              <w:rPr>
                <w:b/>
                <w:kern w:val="2"/>
                <w:lang w:val="zh-CN"/>
              </w:rPr>
            </w:pPr>
            <w:r>
              <w:rPr>
                <w:rFonts w:hint="eastAsia"/>
                <w:b/>
                <w:kern w:val="2"/>
                <w:lang w:val="zh-CN"/>
              </w:rPr>
              <w:t>○接受</w:t>
            </w:r>
          </w:p>
          <w:p w14:paraId="62358373">
            <w:pPr>
              <w:pStyle w:val="32"/>
              <w:jc w:val="both"/>
              <w:rPr>
                <w:rFonts w:hint="eastAsia"/>
                <w:b/>
                <w:kern w:val="2"/>
                <w:lang w:val="zh-CN"/>
              </w:rPr>
            </w:pPr>
            <w:r>
              <w:rPr>
                <w:rFonts w:hint="eastAsia"/>
                <w:kern w:val="2"/>
                <w:sz w:val="21"/>
                <w:szCs w:val="21"/>
                <w:lang w:val="zh-CN"/>
              </w:rPr>
              <w:t>对于联合体协议或者分包意向协议约定小微企业的合同份额占到合同总金额30%以上的，对联合体或者大中型企业的报价</w:t>
            </w:r>
            <w:r>
              <w:rPr>
                <w:rFonts w:hint="eastAsia"/>
                <w:b/>
                <w:kern w:val="2"/>
                <w:sz w:val="21"/>
                <w:szCs w:val="21"/>
                <w:lang w:val="zh-CN"/>
              </w:rPr>
              <w:t>给予___%（</w:t>
            </w:r>
            <w:r>
              <w:rPr>
                <w:rFonts w:hint="eastAsia"/>
                <w:b/>
                <w:kern w:val="2"/>
                <w:sz w:val="21"/>
                <w:szCs w:val="21"/>
                <w:lang w:val="en-US" w:eastAsia="zh-CN"/>
              </w:rPr>
              <w:t>4</w:t>
            </w:r>
            <w:r>
              <w:rPr>
                <w:rFonts w:hint="eastAsia"/>
                <w:b/>
                <w:kern w:val="2"/>
                <w:sz w:val="21"/>
                <w:szCs w:val="21"/>
                <w:lang w:val="zh-CN"/>
              </w:rPr>
              <w:t>%-</w:t>
            </w:r>
            <w:r>
              <w:rPr>
                <w:rFonts w:hint="eastAsia"/>
                <w:b/>
                <w:kern w:val="2"/>
                <w:sz w:val="21"/>
                <w:szCs w:val="21"/>
                <w:lang w:val="en-US" w:eastAsia="zh-CN"/>
              </w:rPr>
              <w:t>6</w:t>
            </w:r>
            <w:r>
              <w:rPr>
                <w:b/>
                <w:kern w:val="2"/>
                <w:sz w:val="21"/>
                <w:szCs w:val="21"/>
                <w:lang w:val="zh-CN"/>
              </w:rPr>
              <w:t>%</w:t>
            </w:r>
            <w:r>
              <w:rPr>
                <w:rFonts w:hint="eastAsia"/>
                <w:b/>
                <w:kern w:val="2"/>
                <w:sz w:val="21"/>
                <w:szCs w:val="21"/>
                <w:lang w:val="zh-CN"/>
              </w:rPr>
              <w:t>）的扣除</w:t>
            </w:r>
            <w:r>
              <w:rPr>
                <w:rFonts w:hint="eastAsia"/>
                <w:kern w:val="2"/>
                <w:sz w:val="21"/>
                <w:szCs w:val="21"/>
                <w:lang w:val="zh-CN"/>
              </w:rPr>
              <w:t>，用扣除后的报价参加评审。</w:t>
            </w:r>
          </w:p>
        </w:tc>
      </w:tr>
      <w:tr w14:paraId="62E28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2D620BDC">
            <w:pPr>
              <w:snapToGrid w:val="0"/>
              <w:spacing w:after="200"/>
              <w:ind w:left="142"/>
              <w:jc w:val="center"/>
              <w:rPr>
                <w:rFonts w:ascii="宋体" w:hAnsi="宋体"/>
                <w:sz w:val="24"/>
              </w:rPr>
            </w:pPr>
          </w:p>
        </w:tc>
        <w:tc>
          <w:tcPr>
            <w:tcW w:w="1556" w:type="dxa"/>
            <w:vMerge w:val="continue"/>
            <w:vAlign w:val="center"/>
          </w:tcPr>
          <w:p w14:paraId="4113B924">
            <w:pPr>
              <w:pStyle w:val="32"/>
              <w:ind w:left="96"/>
              <w:jc w:val="center"/>
              <w:rPr>
                <w:kern w:val="2"/>
                <w:lang w:val="zh-CN"/>
              </w:rPr>
            </w:pPr>
          </w:p>
        </w:tc>
        <w:tc>
          <w:tcPr>
            <w:tcW w:w="7067" w:type="dxa"/>
            <w:vAlign w:val="center"/>
          </w:tcPr>
          <w:p w14:paraId="7D76C133">
            <w:pPr>
              <w:pStyle w:val="32"/>
              <w:jc w:val="both"/>
              <w:rPr>
                <w:rFonts w:hint="eastAsia"/>
                <w:b/>
                <w:kern w:val="2"/>
                <w:lang w:val="zh-CN"/>
              </w:rPr>
            </w:pPr>
            <w:r>
              <w:rPr>
                <w:rFonts w:hint="eastAsia" w:ascii="宋体" w:hAnsi="宋体" w:eastAsia="宋体" w:cs="宋体"/>
                <w:b/>
                <w:kern w:val="2"/>
                <w:lang w:val="zh-CN"/>
              </w:rPr>
              <w:t>●</w:t>
            </w:r>
            <w:r>
              <w:rPr>
                <w:rFonts w:hint="eastAsia"/>
                <w:b/>
                <w:kern w:val="2"/>
                <w:lang w:val="zh-CN"/>
              </w:rPr>
              <w:t>不接受</w:t>
            </w:r>
          </w:p>
        </w:tc>
      </w:tr>
      <w:tr w14:paraId="58D63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50A46DC3">
            <w:pPr>
              <w:snapToGrid w:val="0"/>
              <w:spacing w:after="200"/>
              <w:jc w:val="center"/>
              <w:rPr>
                <w:rFonts w:ascii="宋体" w:hAnsi="宋体"/>
                <w:sz w:val="24"/>
              </w:rPr>
            </w:pPr>
            <w:r>
              <w:rPr>
                <w:rFonts w:ascii="宋体" w:hAnsi="宋体"/>
                <w:sz w:val="24"/>
              </w:rPr>
              <w:t>6</w:t>
            </w:r>
          </w:p>
        </w:tc>
        <w:tc>
          <w:tcPr>
            <w:tcW w:w="1556" w:type="dxa"/>
            <w:vMerge w:val="restart"/>
            <w:vAlign w:val="center"/>
          </w:tcPr>
          <w:p w14:paraId="5B966D43">
            <w:pPr>
              <w:pStyle w:val="32"/>
              <w:ind w:left="96"/>
              <w:jc w:val="center"/>
              <w:rPr>
                <w:kern w:val="2"/>
                <w:lang w:val="zh-CN"/>
              </w:rPr>
            </w:pPr>
            <w:r>
              <w:rPr>
                <w:kern w:val="2"/>
                <w:lang w:val="zh-CN"/>
              </w:rPr>
              <w:t>履约保证金</w:t>
            </w:r>
          </w:p>
        </w:tc>
        <w:tc>
          <w:tcPr>
            <w:tcW w:w="7067" w:type="dxa"/>
            <w:vAlign w:val="center"/>
          </w:tcPr>
          <w:p w14:paraId="7F32E8E7">
            <w:pPr>
              <w:ind w:right="94" w:rightChars="45"/>
              <w:rPr>
                <w:rFonts w:ascii="宋体" w:hAnsi="宋体"/>
                <w:b/>
                <w:sz w:val="24"/>
              </w:rPr>
            </w:pPr>
            <w:r>
              <w:rPr>
                <w:rFonts w:ascii="宋体" w:hAnsi="宋体"/>
                <w:b/>
                <w:sz w:val="24"/>
              </w:rPr>
              <w:t>占政府采购合同金额的</w:t>
            </w:r>
            <w:r>
              <w:rPr>
                <w:rFonts w:hint="eastAsia" w:ascii="宋体" w:hAnsi="宋体"/>
                <w:b/>
                <w:sz w:val="24"/>
                <w:u w:val="single"/>
                <w:lang w:val="en-US" w:eastAsia="zh-CN"/>
              </w:rPr>
              <w:t xml:space="preserve">  /  </w:t>
            </w:r>
            <w:r>
              <w:rPr>
                <w:rFonts w:hint="eastAsia" w:ascii="宋体" w:hAnsi="宋体"/>
                <w:b/>
                <w:sz w:val="24"/>
              </w:rPr>
              <w:t>%</w:t>
            </w:r>
          </w:p>
          <w:p w14:paraId="395236B6">
            <w:pPr>
              <w:ind w:right="94" w:rightChars="45"/>
              <w:rPr>
                <w:rFonts w:hint="eastAsia" w:ascii="宋体" w:hAnsi="宋体"/>
                <w:szCs w:val="21"/>
              </w:rPr>
            </w:pPr>
            <w:r>
              <w:rPr>
                <w:rFonts w:hint="eastAsia" w:ascii="宋体" w:hAnsi="宋体"/>
                <w:szCs w:val="21"/>
              </w:rPr>
              <w:t>履约保证金的数额不得超过政府采购合同金额的10%；对于单价合同，其数额不得超过采购预算的10%</w:t>
            </w:r>
          </w:p>
        </w:tc>
      </w:tr>
      <w:tr w14:paraId="63795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5FB843EC">
            <w:pPr>
              <w:snapToGrid w:val="0"/>
              <w:spacing w:after="200"/>
              <w:ind w:left="142"/>
              <w:jc w:val="center"/>
              <w:rPr>
                <w:rFonts w:ascii="宋体" w:hAnsi="宋体"/>
                <w:sz w:val="24"/>
              </w:rPr>
            </w:pPr>
          </w:p>
        </w:tc>
        <w:tc>
          <w:tcPr>
            <w:tcW w:w="1556" w:type="dxa"/>
            <w:vMerge w:val="continue"/>
            <w:vAlign w:val="center"/>
          </w:tcPr>
          <w:p w14:paraId="2596C8EF">
            <w:pPr>
              <w:pStyle w:val="32"/>
              <w:ind w:left="96"/>
              <w:jc w:val="center"/>
              <w:rPr>
                <w:kern w:val="2"/>
                <w:lang w:val="zh-CN"/>
              </w:rPr>
            </w:pPr>
          </w:p>
        </w:tc>
        <w:tc>
          <w:tcPr>
            <w:tcW w:w="7067" w:type="dxa"/>
            <w:vAlign w:val="center"/>
          </w:tcPr>
          <w:p w14:paraId="7D978448">
            <w:pPr>
              <w:ind w:right="94" w:rightChars="45"/>
              <w:rPr>
                <w:rFonts w:ascii="宋体" w:hAnsi="宋体"/>
                <w:b/>
                <w:sz w:val="24"/>
              </w:rPr>
            </w:pPr>
            <w:r>
              <w:rPr>
                <w:rFonts w:ascii="宋体" w:hAnsi="宋体"/>
                <w:b/>
                <w:sz w:val="24"/>
              </w:rPr>
              <w:t>○由采购单位自行收退</w:t>
            </w:r>
          </w:p>
          <w:p w14:paraId="5534B002">
            <w:pPr>
              <w:ind w:right="94" w:rightChars="45"/>
              <w:rPr>
                <w:rFonts w:hint="eastAsia" w:ascii="宋体" w:hAnsi="宋体"/>
                <w:b/>
                <w:sz w:val="24"/>
              </w:rPr>
            </w:pPr>
            <w:r>
              <w:rPr>
                <w:rFonts w:ascii="宋体" w:hAnsi="宋体"/>
                <w:b/>
                <w:sz w:val="24"/>
              </w:rPr>
              <w:t>○由代理机构负责收退</w:t>
            </w:r>
          </w:p>
        </w:tc>
      </w:tr>
      <w:tr w14:paraId="66398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6F523D08">
            <w:pPr>
              <w:snapToGrid w:val="0"/>
              <w:spacing w:after="200"/>
              <w:jc w:val="center"/>
              <w:rPr>
                <w:rFonts w:ascii="宋体" w:hAnsi="宋体"/>
                <w:sz w:val="24"/>
              </w:rPr>
            </w:pPr>
            <w:r>
              <w:rPr>
                <w:rFonts w:ascii="宋体" w:hAnsi="宋体"/>
                <w:sz w:val="24"/>
              </w:rPr>
              <w:t>7</w:t>
            </w:r>
          </w:p>
        </w:tc>
        <w:tc>
          <w:tcPr>
            <w:tcW w:w="1556" w:type="dxa"/>
            <w:vAlign w:val="center"/>
          </w:tcPr>
          <w:p w14:paraId="242C4952">
            <w:pPr>
              <w:pStyle w:val="32"/>
              <w:ind w:left="96"/>
              <w:jc w:val="center"/>
              <w:rPr>
                <w:kern w:val="2"/>
                <w:lang w:val="zh-CN"/>
              </w:rPr>
            </w:pPr>
            <w:r>
              <w:rPr>
                <w:kern w:val="2"/>
                <w:lang w:val="zh-CN"/>
              </w:rPr>
              <w:t>集中答疑</w:t>
            </w:r>
          </w:p>
        </w:tc>
        <w:tc>
          <w:tcPr>
            <w:tcW w:w="7067" w:type="dxa"/>
            <w:vAlign w:val="center"/>
          </w:tcPr>
          <w:p w14:paraId="1830094B">
            <w:pPr>
              <w:ind w:right="94" w:rightChars="45"/>
              <w:rPr>
                <w:rFonts w:hint="eastAsia" w:ascii="宋体" w:hAnsi="宋体"/>
                <w:b/>
                <w:sz w:val="24"/>
              </w:rPr>
            </w:pPr>
            <w:r>
              <w:rPr>
                <w:rFonts w:ascii="宋体" w:hAnsi="宋体"/>
                <w:b/>
                <w:sz w:val="24"/>
              </w:rPr>
              <w:t>○组织，答疑地点为：</w:t>
            </w:r>
            <w:r>
              <w:rPr>
                <w:rFonts w:hint="eastAsia" w:ascii="宋体" w:hAnsi="宋体"/>
                <w:b/>
                <w:sz w:val="24"/>
              </w:rPr>
              <w:t>_______________________</w:t>
            </w:r>
          </w:p>
          <w:p w14:paraId="0B5A100C">
            <w:pPr>
              <w:ind w:right="94" w:rightChars="45"/>
              <w:rPr>
                <w:rFonts w:ascii="宋体" w:hAnsi="宋体"/>
                <w:b/>
                <w:sz w:val="24"/>
              </w:rPr>
            </w:pPr>
            <w:r>
              <w:rPr>
                <w:rFonts w:hint="eastAsia" w:ascii="宋体" w:hAnsi="宋体" w:eastAsia="宋体" w:cs="宋体"/>
                <w:b/>
                <w:sz w:val="24"/>
              </w:rPr>
              <w:t>●</w:t>
            </w:r>
            <w:r>
              <w:rPr>
                <w:rFonts w:ascii="宋体" w:hAnsi="宋体"/>
                <w:b/>
                <w:sz w:val="24"/>
              </w:rPr>
              <w:t>不组织</w:t>
            </w:r>
          </w:p>
        </w:tc>
      </w:tr>
      <w:tr w14:paraId="26C98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320E501">
            <w:pPr>
              <w:snapToGrid w:val="0"/>
              <w:spacing w:after="200"/>
              <w:jc w:val="center"/>
              <w:rPr>
                <w:rFonts w:ascii="宋体" w:hAnsi="宋体"/>
                <w:sz w:val="24"/>
              </w:rPr>
            </w:pPr>
            <w:r>
              <w:rPr>
                <w:rFonts w:ascii="宋体" w:hAnsi="宋体"/>
                <w:sz w:val="24"/>
              </w:rPr>
              <w:t>8</w:t>
            </w:r>
          </w:p>
        </w:tc>
        <w:tc>
          <w:tcPr>
            <w:tcW w:w="1556" w:type="dxa"/>
            <w:vAlign w:val="center"/>
          </w:tcPr>
          <w:p w14:paraId="401EEBDA">
            <w:pPr>
              <w:pStyle w:val="32"/>
              <w:ind w:left="96"/>
              <w:jc w:val="center"/>
              <w:rPr>
                <w:kern w:val="2"/>
                <w:lang w:val="zh-CN"/>
              </w:rPr>
            </w:pPr>
            <w:r>
              <w:rPr>
                <w:kern w:val="2"/>
                <w:lang w:val="zh-CN"/>
              </w:rPr>
              <w:t>价格分比重</w:t>
            </w:r>
          </w:p>
        </w:tc>
        <w:tc>
          <w:tcPr>
            <w:tcW w:w="7067" w:type="dxa"/>
            <w:vAlign w:val="center"/>
          </w:tcPr>
          <w:p w14:paraId="05086F6B">
            <w:pPr>
              <w:widowControl/>
              <w:rPr>
                <w:rFonts w:hint="eastAsia" w:ascii="宋体" w:hAnsi="宋体" w:cs="宋体"/>
                <w:b/>
                <w:kern w:val="0"/>
                <w:sz w:val="24"/>
                <w:szCs w:val="24"/>
                <w:lang w:val="zh-CN"/>
              </w:rPr>
            </w:pPr>
            <w:r>
              <w:rPr>
                <w:rFonts w:ascii="宋体" w:hAnsi="宋体" w:cs="宋体"/>
                <w:b/>
                <w:kern w:val="0"/>
                <w:sz w:val="24"/>
                <w:szCs w:val="24"/>
                <w:lang w:val="zh-CN"/>
              </w:rPr>
              <w:t>占总分值的</w:t>
            </w:r>
            <w:r>
              <w:rPr>
                <w:rFonts w:hint="eastAsia" w:ascii="宋体" w:hAnsi="宋体" w:cs="宋体"/>
                <w:b/>
                <w:kern w:val="0"/>
                <w:sz w:val="24"/>
                <w:szCs w:val="24"/>
                <w:u w:val="single"/>
                <w:lang w:val="en-US" w:eastAsia="zh-CN"/>
              </w:rPr>
              <w:t xml:space="preserve"> 10 </w:t>
            </w:r>
            <w:r>
              <w:rPr>
                <w:rFonts w:hint="eastAsia" w:ascii="宋体" w:hAnsi="宋体" w:cs="宋体"/>
                <w:b/>
                <w:kern w:val="0"/>
                <w:sz w:val="24"/>
                <w:szCs w:val="24"/>
                <w:lang w:val="zh-CN"/>
              </w:rPr>
              <w:t>%</w:t>
            </w:r>
          </w:p>
          <w:p w14:paraId="4176B1AD">
            <w:pPr>
              <w:widowControl/>
              <w:rPr>
                <w:rFonts w:ascii="宋体" w:hAnsi="宋体" w:cs="宋体"/>
                <w:kern w:val="0"/>
                <w:szCs w:val="21"/>
                <w:lang w:val="zh-CN"/>
              </w:rPr>
            </w:pPr>
            <w:r>
              <w:rPr>
                <w:rFonts w:hint="eastAsia" w:ascii="宋体" w:hAnsi="宋体" w:cs="宋体"/>
                <w:kern w:val="0"/>
                <w:szCs w:val="21"/>
                <w:lang w:val="zh-CN"/>
              </w:rPr>
              <w:t>[招标]根据《政府采购货物和服务招标投标管理办法》（财政部87号令）的规定，综合</w:t>
            </w:r>
            <w:r>
              <w:rPr>
                <w:rFonts w:ascii="宋体" w:hAnsi="宋体" w:cs="宋体"/>
                <w:kern w:val="0"/>
                <w:szCs w:val="21"/>
                <w:lang w:val="zh-CN"/>
              </w:rPr>
              <w:t>评分法服务</w:t>
            </w:r>
            <w:r>
              <w:rPr>
                <w:rFonts w:hint="eastAsia" w:ascii="宋体" w:hAnsi="宋体" w:cs="宋体"/>
                <w:kern w:val="0"/>
                <w:szCs w:val="21"/>
                <w:lang w:val="zh-CN"/>
              </w:rPr>
              <w:t>项目的价格分值占总分值的比重不得低于</w:t>
            </w:r>
            <w:r>
              <w:rPr>
                <w:rFonts w:ascii="宋体" w:hAnsi="宋体" w:cs="宋体"/>
                <w:kern w:val="0"/>
                <w:szCs w:val="21"/>
                <w:lang w:val="zh-CN"/>
              </w:rPr>
              <w:t>1</w:t>
            </w:r>
            <w:r>
              <w:rPr>
                <w:rFonts w:hint="eastAsia" w:ascii="宋体" w:hAnsi="宋体" w:cs="宋体"/>
                <w:kern w:val="0"/>
                <w:szCs w:val="21"/>
                <w:lang w:val="zh-CN"/>
              </w:rPr>
              <w:t>0%。执行国家统一定价标准和采用固定价格采购的项目，其价格不列为评审因素。</w:t>
            </w:r>
          </w:p>
          <w:p w14:paraId="0988DF16">
            <w:pPr>
              <w:widowControl/>
              <w:rPr>
                <w:rFonts w:hint="eastAsia" w:ascii="宋体" w:hAnsi="宋体" w:cs="宋体"/>
                <w:kern w:val="0"/>
                <w:szCs w:val="21"/>
                <w:lang w:val="zh-CN"/>
              </w:rPr>
            </w:pPr>
            <w:r>
              <w:rPr>
                <w:rFonts w:ascii="宋体" w:hAnsi="宋体" w:cs="宋体"/>
                <w:kern w:val="0"/>
                <w:szCs w:val="21"/>
                <w:lang w:val="zh-CN"/>
              </w:rPr>
              <w:t>[磋商</w:t>
            </w:r>
            <w:r>
              <w:rPr>
                <w:rFonts w:hint="eastAsia" w:ascii="宋体" w:hAnsi="宋体" w:cs="宋体"/>
                <w:kern w:val="0"/>
                <w:szCs w:val="21"/>
                <w:lang w:val="zh-CN"/>
              </w:rPr>
              <w:t>]根据《政府采购竞争性磋商采购方式管理暂行办法》（财库〔2014〕214号）的规定，服务项目的价格分值占总分值的比重(即权值)为</w:t>
            </w:r>
            <w:r>
              <w:rPr>
                <w:rFonts w:ascii="宋体" w:hAnsi="宋体" w:cs="宋体"/>
                <w:kern w:val="0"/>
                <w:szCs w:val="21"/>
                <w:lang w:val="zh-CN"/>
              </w:rPr>
              <w:t>1</w:t>
            </w:r>
            <w:r>
              <w:rPr>
                <w:rFonts w:hint="eastAsia" w:ascii="宋体" w:hAnsi="宋体" w:cs="宋体"/>
                <w:kern w:val="0"/>
                <w:szCs w:val="21"/>
                <w:lang w:val="zh-CN"/>
              </w:rPr>
              <w:t>0%-</w:t>
            </w:r>
            <w:r>
              <w:rPr>
                <w:rFonts w:ascii="宋体" w:hAnsi="宋体" w:cs="宋体"/>
                <w:kern w:val="0"/>
                <w:szCs w:val="21"/>
                <w:lang w:val="zh-CN"/>
              </w:rPr>
              <w:t>3</w:t>
            </w:r>
            <w:r>
              <w:rPr>
                <w:rFonts w:hint="eastAsia" w:ascii="宋体" w:hAnsi="宋体" w:cs="宋体"/>
                <w:kern w:val="0"/>
                <w:szCs w:val="21"/>
                <w:lang w:val="zh-CN"/>
              </w:rPr>
              <w:t>0%。</w:t>
            </w:r>
          </w:p>
          <w:p w14:paraId="397ED506">
            <w:pPr>
              <w:widowControl/>
              <w:rPr>
                <w:rFonts w:hint="eastAsia" w:ascii="宋体" w:hAnsi="宋体" w:cs="宋体"/>
                <w:kern w:val="0"/>
                <w:szCs w:val="21"/>
                <w:lang w:val="zh-CN"/>
              </w:rPr>
            </w:pPr>
            <w:r>
              <w:rPr>
                <w:rFonts w:hint="eastAsia" w:ascii="宋体" w:hAnsi="宋体" w:cs="宋体"/>
                <w:kern w:val="0"/>
                <w:szCs w:val="21"/>
                <w:lang w:val="zh-CN"/>
              </w:rPr>
              <w:t>[其他采购方式]无须设置。</w:t>
            </w:r>
          </w:p>
        </w:tc>
      </w:tr>
      <w:tr w14:paraId="22F1C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33AB5F88">
            <w:pPr>
              <w:snapToGrid w:val="0"/>
              <w:spacing w:after="200"/>
              <w:jc w:val="center"/>
              <w:rPr>
                <w:rFonts w:ascii="宋体" w:hAnsi="宋体"/>
                <w:sz w:val="24"/>
              </w:rPr>
            </w:pPr>
            <w:r>
              <w:rPr>
                <w:rFonts w:ascii="宋体" w:hAnsi="宋体"/>
                <w:sz w:val="24"/>
              </w:rPr>
              <w:t>9</w:t>
            </w:r>
          </w:p>
        </w:tc>
        <w:tc>
          <w:tcPr>
            <w:tcW w:w="1556" w:type="dxa"/>
            <w:vAlign w:val="center"/>
          </w:tcPr>
          <w:p w14:paraId="0FA316BA">
            <w:pPr>
              <w:pStyle w:val="32"/>
              <w:ind w:left="96"/>
              <w:jc w:val="center"/>
              <w:rPr>
                <w:kern w:val="2"/>
                <w:lang w:val="zh-CN"/>
              </w:rPr>
            </w:pPr>
            <w:r>
              <w:rPr>
                <w:kern w:val="2"/>
                <w:lang w:val="zh-CN"/>
              </w:rPr>
              <w:t>合同类型</w:t>
            </w:r>
          </w:p>
        </w:tc>
        <w:tc>
          <w:tcPr>
            <w:tcW w:w="7067" w:type="dxa"/>
            <w:vAlign w:val="center"/>
          </w:tcPr>
          <w:p w14:paraId="6C2FA2F1">
            <w:pPr>
              <w:rPr>
                <w:rFonts w:ascii="宋体" w:hAnsi="宋体"/>
                <w:b/>
                <w:sz w:val="24"/>
                <w:lang w:val="zh-CN"/>
              </w:rPr>
            </w:pPr>
            <w:r>
              <w:rPr>
                <w:rFonts w:hint="eastAsia" w:ascii="宋体" w:hAnsi="宋体" w:eastAsia="宋体" w:cs="宋体"/>
                <w:b/>
                <w:sz w:val="24"/>
                <w:lang w:val="zh-CN"/>
              </w:rPr>
              <w:t>●</w:t>
            </w:r>
            <w:r>
              <w:rPr>
                <w:rFonts w:ascii="宋体" w:hAnsi="宋体"/>
                <w:b/>
                <w:sz w:val="24"/>
                <w:lang w:val="zh-CN"/>
              </w:rPr>
              <w:t>固定总价</w:t>
            </w:r>
          </w:p>
          <w:p w14:paraId="6D4BEA76">
            <w:pPr>
              <w:rPr>
                <w:rFonts w:ascii="宋体" w:hAnsi="宋体"/>
                <w:b/>
                <w:sz w:val="24"/>
                <w:lang w:val="zh-CN"/>
              </w:rPr>
            </w:pPr>
            <w:r>
              <w:rPr>
                <w:rFonts w:ascii="宋体" w:hAnsi="宋体"/>
                <w:b/>
                <w:sz w:val="24"/>
                <w:lang w:val="zh-CN"/>
              </w:rPr>
              <w:t>○固定单价（适用于采购数量不定的情形）</w:t>
            </w:r>
          </w:p>
          <w:p w14:paraId="4F5E7841">
            <w:pPr>
              <w:rPr>
                <w:rFonts w:hint="eastAsia" w:ascii="宋体" w:hAnsi="宋体"/>
                <w:sz w:val="24"/>
                <w:lang w:val="zh-CN"/>
              </w:rPr>
            </w:pPr>
            <w:r>
              <w:rPr>
                <w:rFonts w:ascii="宋体" w:hAnsi="宋体"/>
                <w:b/>
                <w:sz w:val="24"/>
                <w:lang w:val="zh-CN"/>
              </w:rPr>
              <w:t>○其他</w:t>
            </w:r>
            <w:r>
              <w:rPr>
                <w:rFonts w:hint="eastAsia" w:ascii="宋体" w:hAnsi="宋体"/>
                <w:b/>
                <w:sz w:val="24"/>
                <w:lang w:val="zh-CN"/>
              </w:rPr>
              <w:t>：_____________________________</w:t>
            </w:r>
          </w:p>
        </w:tc>
      </w:tr>
      <w:tr w14:paraId="13DEC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1F1BA14">
            <w:pPr>
              <w:snapToGrid w:val="0"/>
              <w:spacing w:after="200"/>
              <w:jc w:val="center"/>
              <w:rPr>
                <w:rFonts w:ascii="宋体" w:hAnsi="宋体"/>
                <w:sz w:val="24"/>
              </w:rPr>
            </w:pPr>
            <w:r>
              <w:rPr>
                <w:rFonts w:ascii="宋体" w:hAnsi="宋体"/>
                <w:sz w:val="24"/>
              </w:rPr>
              <w:t>10</w:t>
            </w:r>
          </w:p>
        </w:tc>
        <w:tc>
          <w:tcPr>
            <w:tcW w:w="1556" w:type="dxa"/>
            <w:vAlign w:val="center"/>
          </w:tcPr>
          <w:p w14:paraId="01363573">
            <w:pPr>
              <w:tabs>
                <w:tab w:val="left" w:pos="7665"/>
              </w:tabs>
              <w:snapToGrid w:val="0"/>
              <w:jc w:val="center"/>
              <w:rPr>
                <w:rFonts w:ascii="宋体" w:hAnsi="宋体"/>
                <w:sz w:val="24"/>
              </w:rPr>
            </w:pPr>
            <w:r>
              <w:rPr>
                <w:rFonts w:ascii="宋体" w:hAnsi="宋体"/>
                <w:sz w:val="24"/>
              </w:rPr>
              <w:t>争议解决途径</w:t>
            </w:r>
          </w:p>
        </w:tc>
        <w:tc>
          <w:tcPr>
            <w:tcW w:w="7067" w:type="dxa"/>
            <w:vAlign w:val="center"/>
          </w:tcPr>
          <w:p w14:paraId="7DF50504">
            <w:pPr>
              <w:tabs>
                <w:tab w:val="left" w:pos="7665"/>
              </w:tabs>
              <w:snapToGrid w:val="0"/>
              <w:rPr>
                <w:rFonts w:ascii="宋体" w:hAnsi="宋体"/>
                <w:b/>
                <w:sz w:val="24"/>
              </w:rPr>
            </w:pPr>
            <w:r>
              <w:rPr>
                <w:rFonts w:hint="eastAsia" w:ascii="宋体" w:hAnsi="宋体" w:eastAsia="宋体" w:cs="宋体"/>
                <w:b/>
                <w:sz w:val="24"/>
              </w:rPr>
              <w:t>●</w:t>
            </w:r>
            <w:r>
              <w:rPr>
                <w:rFonts w:ascii="宋体" w:hAnsi="宋体"/>
                <w:b/>
                <w:sz w:val="24"/>
              </w:rPr>
              <w:t>向有管辖权的人民法院提起诉讼</w:t>
            </w:r>
          </w:p>
          <w:p w14:paraId="531067C4">
            <w:pPr>
              <w:tabs>
                <w:tab w:val="left" w:pos="7665"/>
              </w:tabs>
              <w:snapToGrid w:val="0"/>
              <w:rPr>
                <w:rFonts w:ascii="宋体" w:hAnsi="宋体"/>
                <w:b/>
                <w:sz w:val="24"/>
              </w:rPr>
            </w:pPr>
            <w:r>
              <w:rPr>
                <w:rFonts w:ascii="宋体" w:hAnsi="宋体"/>
                <w:b/>
                <w:sz w:val="24"/>
              </w:rPr>
              <w:t>○向西安仲裁委员会提请仲裁</w:t>
            </w:r>
          </w:p>
          <w:p w14:paraId="5A8E8773">
            <w:pPr>
              <w:tabs>
                <w:tab w:val="left" w:pos="7665"/>
              </w:tabs>
              <w:snapToGrid w:val="0"/>
              <w:rPr>
                <w:rFonts w:hint="eastAsia" w:ascii="宋体" w:hAnsi="宋体"/>
                <w:sz w:val="24"/>
              </w:rPr>
            </w:pPr>
            <w:r>
              <w:rPr>
                <w:rFonts w:ascii="宋体" w:hAnsi="宋体"/>
                <w:b/>
                <w:sz w:val="24"/>
              </w:rPr>
              <w:t>○由供应商做出选择</w:t>
            </w:r>
          </w:p>
        </w:tc>
      </w:tr>
      <w:tr w14:paraId="5F2AF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47EE819F">
            <w:pPr>
              <w:snapToGrid w:val="0"/>
              <w:spacing w:after="200"/>
              <w:jc w:val="center"/>
              <w:rPr>
                <w:rFonts w:ascii="宋体" w:hAnsi="宋体"/>
                <w:sz w:val="24"/>
              </w:rPr>
            </w:pPr>
            <w:r>
              <w:rPr>
                <w:rFonts w:ascii="宋体" w:hAnsi="宋体"/>
                <w:sz w:val="24"/>
              </w:rPr>
              <w:t>11</w:t>
            </w:r>
          </w:p>
        </w:tc>
        <w:tc>
          <w:tcPr>
            <w:tcW w:w="1556" w:type="dxa"/>
            <w:vAlign w:val="center"/>
          </w:tcPr>
          <w:p w14:paraId="69A7012B">
            <w:pPr>
              <w:snapToGrid w:val="0"/>
              <w:jc w:val="center"/>
              <w:rPr>
                <w:rFonts w:hint="eastAsia" w:ascii="宋体" w:hAnsi="宋体"/>
                <w:sz w:val="24"/>
                <w:highlight w:val="none"/>
              </w:rPr>
            </w:pPr>
            <w:r>
              <w:rPr>
                <w:rFonts w:hint="eastAsia" w:ascii="宋体" w:hAnsi="宋体"/>
                <w:sz w:val="24"/>
                <w:highlight w:val="none"/>
              </w:rPr>
              <w:t>联系方式</w:t>
            </w:r>
          </w:p>
        </w:tc>
        <w:tc>
          <w:tcPr>
            <w:tcW w:w="7067" w:type="dxa"/>
            <w:vAlign w:val="center"/>
          </w:tcPr>
          <w:p w14:paraId="5C36AF0E">
            <w:pPr>
              <w:tabs>
                <w:tab w:val="left" w:pos="7665"/>
              </w:tabs>
              <w:snapToGrid w:val="0"/>
              <w:rPr>
                <w:rFonts w:hint="default" w:ascii="宋体" w:hAnsi="宋体" w:eastAsia="宋体"/>
                <w:b/>
                <w:bCs/>
                <w:sz w:val="24"/>
                <w:highlight w:val="none"/>
                <w:lang w:val="en-US" w:eastAsia="zh-CN"/>
              </w:rPr>
            </w:pPr>
            <w:r>
              <w:rPr>
                <w:rFonts w:hint="eastAsia" w:ascii="宋体" w:hAnsi="宋体"/>
                <w:b/>
                <w:bCs/>
                <w:sz w:val="24"/>
                <w:highlight w:val="none"/>
              </w:rPr>
              <w:t>项目对接人：</w:t>
            </w:r>
            <w:r>
              <w:rPr>
                <w:rFonts w:hint="eastAsia" w:ascii="宋体" w:hAnsi="宋体"/>
                <w:b/>
                <w:bCs/>
                <w:sz w:val="24"/>
                <w:highlight w:val="none"/>
                <w:u w:val="single"/>
                <w:lang w:val="en-US" w:eastAsia="zh-CN"/>
              </w:rPr>
              <w:t xml:space="preserve">     杨老师       </w:t>
            </w:r>
          </w:p>
          <w:p w14:paraId="25726601">
            <w:pPr>
              <w:tabs>
                <w:tab w:val="left" w:pos="7665"/>
              </w:tabs>
              <w:snapToGrid w:val="0"/>
              <w:rPr>
                <w:rFonts w:hint="default" w:ascii="宋体" w:hAnsi="宋体" w:eastAsia="宋体"/>
                <w:b/>
                <w:bCs/>
                <w:sz w:val="24"/>
                <w:highlight w:val="none"/>
                <w:u w:val="single"/>
                <w:lang w:val="en-US" w:eastAsia="zh-CN"/>
              </w:rPr>
            </w:pPr>
            <w:r>
              <w:rPr>
                <w:rFonts w:ascii="宋体" w:hAnsi="宋体"/>
                <w:b/>
                <w:bCs/>
                <w:sz w:val="24"/>
                <w:highlight w:val="none"/>
              </w:rPr>
              <w:t>联系电话：</w:t>
            </w:r>
            <w:r>
              <w:rPr>
                <w:rFonts w:hint="eastAsia" w:ascii="宋体" w:hAnsi="宋体"/>
                <w:b/>
                <w:bCs/>
                <w:sz w:val="24"/>
                <w:highlight w:val="none"/>
                <w:lang w:val="en-US" w:eastAsia="zh-CN"/>
              </w:rPr>
              <w:t xml:space="preserve"> </w:t>
            </w:r>
            <w:r>
              <w:rPr>
                <w:rFonts w:hint="eastAsia" w:ascii="宋体" w:hAnsi="宋体"/>
                <w:b/>
                <w:bCs/>
                <w:sz w:val="24"/>
                <w:highlight w:val="none"/>
                <w:u w:val="single"/>
                <w:lang w:val="en-US" w:eastAsia="zh-CN"/>
              </w:rPr>
              <w:t xml:space="preserve">  029-86866076     </w:t>
            </w:r>
          </w:p>
          <w:p w14:paraId="30379E60">
            <w:pPr>
              <w:tabs>
                <w:tab w:val="left" w:pos="7665"/>
              </w:tabs>
              <w:snapToGrid w:val="0"/>
              <w:rPr>
                <w:rFonts w:hint="default" w:ascii="宋体" w:hAnsi="宋体" w:eastAsia="宋体"/>
                <w:sz w:val="24"/>
                <w:highlight w:val="none"/>
                <w:lang w:val="en-US" w:eastAsia="zh-CN"/>
              </w:rPr>
            </w:pPr>
            <w:r>
              <w:rPr>
                <w:rFonts w:ascii="宋体" w:hAnsi="宋体"/>
                <w:b/>
                <w:bCs/>
                <w:sz w:val="24"/>
                <w:highlight w:val="none"/>
              </w:rPr>
              <w:t>电子邮箱：</w:t>
            </w:r>
            <w:r>
              <w:rPr>
                <w:rFonts w:hint="eastAsia" w:ascii="宋体" w:hAnsi="宋体"/>
                <w:b/>
                <w:bCs/>
                <w:sz w:val="24"/>
                <w:highlight w:val="none"/>
                <w:u w:val="single"/>
                <w:lang w:val="en-US" w:eastAsia="zh-CN"/>
              </w:rPr>
              <w:t xml:space="preserve">          /         </w:t>
            </w:r>
          </w:p>
        </w:tc>
      </w:tr>
    </w:tbl>
    <w:p w14:paraId="6BA7F193">
      <w:pPr>
        <w:widowControl/>
        <w:jc w:val="center"/>
        <w:rPr>
          <w:rFonts w:ascii="仿宋" w:hAnsi="仿宋" w:eastAsia="仿宋"/>
          <w:b/>
          <w:sz w:val="32"/>
          <w:szCs w:val="32"/>
        </w:rPr>
      </w:pPr>
    </w:p>
    <w:p w14:paraId="32FBABF2">
      <w:pPr>
        <w:widowControl/>
        <w:jc w:val="center"/>
        <w:rPr>
          <w:rFonts w:ascii="仿宋" w:hAnsi="仿宋" w:eastAsia="仿宋"/>
          <w:b/>
          <w:sz w:val="32"/>
          <w:szCs w:val="32"/>
        </w:rPr>
      </w:pPr>
    </w:p>
    <w:p w14:paraId="4F363A65">
      <w:pPr>
        <w:widowControl/>
        <w:jc w:val="center"/>
        <w:rPr>
          <w:rFonts w:ascii="仿宋" w:hAnsi="仿宋" w:eastAsia="仿宋"/>
          <w:b/>
          <w:sz w:val="32"/>
          <w:szCs w:val="32"/>
        </w:rPr>
      </w:pPr>
      <w:r>
        <w:rPr>
          <w:rFonts w:ascii="仿宋" w:hAnsi="仿宋" w:eastAsia="仿宋"/>
          <w:b/>
          <w:sz w:val="32"/>
          <w:szCs w:val="32"/>
        </w:rPr>
        <w:t>需求框架</w:t>
      </w:r>
      <w:r>
        <w:rPr>
          <w:rFonts w:hint="eastAsia" w:ascii="仿宋" w:hAnsi="仿宋" w:eastAsia="仿宋"/>
          <w:b/>
          <w:sz w:val="32"/>
          <w:szCs w:val="32"/>
        </w:rPr>
        <w:t>（服务类</w:t>
      </w:r>
      <w:r>
        <w:rPr>
          <w:rFonts w:ascii="仿宋" w:hAnsi="仿宋" w:eastAsia="仿宋"/>
          <w:b/>
          <w:sz w:val="32"/>
          <w:szCs w:val="32"/>
        </w:rPr>
        <w:t>）</w:t>
      </w:r>
    </w:p>
    <w:p w14:paraId="01D29093">
      <w:pPr>
        <w:keepNext w:val="0"/>
        <w:keepLines w:val="0"/>
        <w:pageBreakBefore w:val="0"/>
        <w:widowControl w:val="0"/>
        <w:pBdr>
          <w:bottom w:val="single" w:color="auto" w:sz="4" w:space="1"/>
        </w:pBdr>
        <w:kinsoku/>
        <w:wordWrap/>
        <w:overflowPunct/>
        <w:topLinePunct w:val="0"/>
        <w:autoSpaceDE/>
        <w:autoSpaceDN/>
        <w:bidi w:val="0"/>
        <w:adjustRightInd/>
        <w:snapToGrid/>
        <w:spacing w:before="312" w:beforeLines="100" w:line="520" w:lineRule="exact"/>
        <w:ind w:left="420" w:right="0" w:rightChars="0" w:hanging="420"/>
        <w:jc w:val="both"/>
        <w:textAlignment w:val="auto"/>
        <w:outlineLvl w:val="9"/>
        <w:rPr>
          <w:rFonts w:ascii="仿宋" w:hAnsi="仿宋" w:eastAsia="仿宋"/>
          <w:b/>
          <w:sz w:val="28"/>
          <w:szCs w:val="28"/>
        </w:rPr>
      </w:pPr>
      <w:r>
        <w:rPr>
          <w:rFonts w:ascii="仿宋" w:hAnsi="仿宋" w:eastAsia="仿宋"/>
          <w:b/>
          <w:sz w:val="28"/>
          <w:szCs w:val="28"/>
        </w:rPr>
        <w:t>一、项目</w:t>
      </w:r>
      <w:r>
        <w:rPr>
          <w:rFonts w:hint="eastAsia" w:ascii="仿宋" w:hAnsi="仿宋" w:eastAsia="仿宋"/>
          <w:b/>
          <w:sz w:val="28"/>
          <w:szCs w:val="28"/>
        </w:rPr>
        <w:t>概况</w:t>
      </w:r>
    </w:p>
    <w:p w14:paraId="214900C9">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rPr>
      </w:pPr>
      <w:r>
        <w:rPr>
          <w:rFonts w:hint="eastAsia" w:ascii="仿宋" w:hAnsi="仿宋" w:eastAsia="仿宋"/>
          <w:sz w:val="28"/>
          <w:szCs w:val="28"/>
          <w:highlight w:val="none"/>
        </w:rPr>
        <w:t>本工程新建5#学生宿舍楼，地上5层，设有宿舍83间(六人间)，其中无障碍宿舍1间；床位数为494个，规模为大型宿舍；地上总建筑面积约3472.83㎡；新建学生食堂，地上2层，拟增加餐位1000个，建设规模为中型食堂；地上总建筑面积约2386.74㎡；室外活动场地提升改造，改造面层面积约25187.17㎡，改造基层面积约3000㎡；学校消防系统提升改造，主要包括一体化泵站建设、体育馆雨淋系统建设、室外消火栓系统维修、临期灭火器更换、新增消防控制室设备、室外电气消防系统改造、校园防火门更换等内容。</w:t>
      </w:r>
    </w:p>
    <w:p w14:paraId="45BC7781">
      <w:pPr>
        <w:keepNext w:val="0"/>
        <w:keepLines w:val="0"/>
        <w:pageBreakBefore w:val="0"/>
        <w:widowControl w:val="0"/>
        <w:pBdr>
          <w:bottom w:val="single" w:color="auto" w:sz="4" w:space="1"/>
        </w:pBdr>
        <w:kinsoku/>
        <w:wordWrap/>
        <w:overflowPunct/>
        <w:topLinePunct w:val="0"/>
        <w:autoSpaceDE/>
        <w:autoSpaceDN/>
        <w:bidi w:val="0"/>
        <w:adjustRightInd/>
        <w:snapToGrid/>
        <w:spacing w:before="312" w:beforeLines="100" w:line="520" w:lineRule="exact"/>
        <w:ind w:left="420" w:right="0" w:rightChars="0" w:hanging="420"/>
        <w:jc w:val="both"/>
        <w:textAlignment w:val="auto"/>
        <w:outlineLvl w:val="9"/>
        <w:rPr>
          <w:rFonts w:ascii="仿宋" w:hAnsi="仿宋" w:eastAsia="仿宋"/>
          <w:b/>
          <w:sz w:val="28"/>
          <w:szCs w:val="28"/>
        </w:rPr>
      </w:pPr>
      <w:r>
        <w:rPr>
          <w:rFonts w:hint="eastAsia" w:ascii="仿宋" w:hAnsi="仿宋" w:eastAsia="仿宋"/>
          <w:b/>
          <w:sz w:val="28"/>
          <w:szCs w:val="28"/>
        </w:rPr>
        <w:t>二、服务内容</w:t>
      </w:r>
    </w:p>
    <w:p w14:paraId="0F0D1685">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对西飞一中改扩建工程项目准备阶段、施工阶段等实施监理服务，主要包含新建宿舍楼、食堂，室外管网，以及运动场地、消防改造等工程施工全程监督管理工作。</w:t>
      </w:r>
    </w:p>
    <w:p w14:paraId="0856930A">
      <w:pPr>
        <w:keepNext w:val="0"/>
        <w:keepLines w:val="0"/>
        <w:pageBreakBefore w:val="0"/>
        <w:widowControl w:val="0"/>
        <w:pBdr>
          <w:bottom w:val="single" w:color="auto" w:sz="4" w:space="1"/>
        </w:pBdr>
        <w:kinsoku/>
        <w:wordWrap/>
        <w:overflowPunct/>
        <w:topLinePunct w:val="0"/>
        <w:autoSpaceDE/>
        <w:autoSpaceDN/>
        <w:bidi w:val="0"/>
        <w:adjustRightInd/>
        <w:snapToGrid/>
        <w:spacing w:before="312" w:beforeLines="100" w:line="520" w:lineRule="exact"/>
        <w:ind w:left="420" w:right="0" w:rightChars="0" w:hanging="420"/>
        <w:jc w:val="both"/>
        <w:textAlignment w:val="auto"/>
        <w:outlineLvl w:val="9"/>
        <w:rPr>
          <w:rFonts w:ascii="仿宋" w:hAnsi="仿宋" w:eastAsia="仿宋"/>
          <w:b/>
          <w:sz w:val="28"/>
          <w:szCs w:val="28"/>
        </w:rPr>
      </w:pPr>
      <w:r>
        <w:rPr>
          <w:rFonts w:hint="eastAsia" w:ascii="仿宋" w:hAnsi="仿宋" w:eastAsia="仿宋"/>
          <w:b/>
          <w:sz w:val="28"/>
          <w:szCs w:val="28"/>
        </w:rPr>
        <w:t>三、技术要求（如有，一般适合于技术服务项目）</w:t>
      </w:r>
    </w:p>
    <w:p w14:paraId="720A0615">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1、监理人应在进场后7天内建立组织机构框图、监理机构各岗位职责、计划与实际进度统计对照表等。对于监理工作过程中产生的各种文件、指令、记录或资料要认真做好收发登记和统计分析并建立控制性台账；</w:t>
      </w:r>
    </w:p>
    <w:p w14:paraId="0DA6A1ED">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2、根据委托人与承包人签订的合同工期组织分解总体工程进度计划并监督承包人按计划实施。审批承包人的修正计划，按时填报进度统计表，当进度严重滞后于计划时要及时反馈或处理；</w:t>
      </w:r>
    </w:p>
    <w:p w14:paraId="08E5F4A8">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3、审查分包合同和分包人（若有分包商）的资质；</w:t>
      </w:r>
    </w:p>
    <w:p w14:paraId="15805998">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4、要求承包人按照合同条款、技术规范进行施工，通过旁站、巡视、平行检验和整体验收等手段全面监督、检查和控制工程质量；</w:t>
      </w:r>
    </w:p>
    <w:p w14:paraId="2010434D">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5、发布监理指令，根据合同文件和委托人授权，及时签发监理指令，对于承包人施工过程中出现的违约行为及时进行警告、制止或处理；</w:t>
      </w:r>
    </w:p>
    <w:p w14:paraId="6B527C87">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6、根据合同规定处理索赔事件、协调争端以及在诉讼过程中作证，履行监理响应文件及监理规划大纲中所列相关义务及承诺；</w:t>
      </w:r>
    </w:p>
    <w:p w14:paraId="211623A3">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7、按《建设工程监理规范 GB50319-2013》要求和本工程《监理实施细则》所列相关义务与责任开展监理业务；</w:t>
      </w:r>
    </w:p>
    <w:p w14:paraId="525E177D">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8、施工监理各阶段任务根据项目实施情况确定；</w:t>
      </w:r>
    </w:p>
    <w:p w14:paraId="71B96366">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9、在施工准备阶段包括但不限于</w:t>
      </w:r>
    </w:p>
    <w:p w14:paraId="1FD761B3">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（1）参与交底工作并提交具体的报告，在经济上合理，使用功能上安全。因审核工作不到位而引起返工或变更的，监理人应承担相应责任；</w:t>
      </w:r>
    </w:p>
    <w:p w14:paraId="3B011F72">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（2）审查承包人的施工组织设计并提出审查意见报委托人。</w:t>
      </w:r>
    </w:p>
    <w:p w14:paraId="0981C92B">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（3）根据委托人需要以专题报告的形式及时提供本工程所需的材料或设备意见；</w:t>
      </w:r>
    </w:p>
    <w:p w14:paraId="48DFD2A9">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（4）审核承包人授权的常驻现场代表、其它派驻到现场的主要技术、管理人员的资格和上岗证，督促承包人建立质量保证体系，施工中核查承包人的质量保证体系，确保其体系切实可行；</w:t>
      </w:r>
    </w:p>
    <w:p w14:paraId="3AF92725">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10、在施工阶段，监理人主要任务是全面负责对工程的监督、管理和检查，协调各方的关系。其主要内容包括但不限于：</w:t>
      </w:r>
    </w:p>
    <w:p w14:paraId="282C65A7">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（1）审查承包人拟用于本工程的机械装备的性能与数量，对机械设备的进出场情 况予以动态的监督和记录，汇总承包人施工进场的主要设备数量并报送委托工程管理部门；</w:t>
      </w:r>
    </w:p>
    <w:p w14:paraId="5B1171EE">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（2）按验评标准规定的检验项目和检验频率，对工程质量进行实测实量的验收重点部位要求全频率验收。验收后应认真填写工序质量验收单及有关记录；</w:t>
      </w:r>
    </w:p>
    <w:p w14:paraId="3F5CE400">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调查、处理工程质量缺陷和事故，对工程实施过程中发生质量事故或发现的质量缺陷要及时填写质量事故缺陷报告单并报委托人。出现重大质量事故时除了督促承包人按规定上报有关部门还要按照委托人要求参与事件的处理；</w:t>
      </w:r>
    </w:p>
    <w:p w14:paraId="7023B249">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（4）在承包人质保体系失效导致监理程序落实不力的违约行为出现时，经请示委托人后发布停工令并敦促承包人及时整改。在承包人报送整改报告和复工申请经总监理工程师核实并报委托人批准后签发复工令；</w:t>
      </w:r>
    </w:p>
    <w:p w14:paraId="67516096">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（5）签署中间交工证书；</w:t>
      </w:r>
    </w:p>
    <w:p w14:paraId="016E20A5">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（6）计量与支付：依据合同文件和程序要求对承包人提交的形象进度报审表进行认真审核，配合委托人完成工程量的现场确认工作和工程款支付工作；</w:t>
      </w:r>
    </w:p>
    <w:p w14:paraId="5B009715">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（7）受理承包人、设计单位提出的工程变更意向，驳回不能成立的工程变更申请，审核、处理符合要求的变更申请，审核工程变更意见应报委托人审批；</w:t>
      </w:r>
    </w:p>
    <w:p w14:paraId="7EB34EEC">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（8）对工程施工中有可能引起索赔事件的相关情况，如人员、设备、施工工艺、环境等予以关注和记录，受理索赔、分包等合同事宜。根据合同规定进行评估和处理后报委托人批准；</w:t>
      </w:r>
    </w:p>
    <w:p w14:paraId="33CAC226">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（9）控制工程进度。</w:t>
      </w:r>
    </w:p>
    <w:p w14:paraId="0BA62222">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审核施工单位进度计划的可行性。专业监理工程师应依据施工合同有关条款、施工图及经过批准的施工组织设计制定进度控制方案，对进度目标进行风险分析，制定防范性对策，经总监理工程师审定后报送委托人。如发现执行过程中不能完成工程计划时，应检查分析原因，督促施工单位及时调整计划和采取补救措施以保证工程进度的实现。</w:t>
      </w:r>
    </w:p>
    <w:p w14:paraId="35454403">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2）定期主持与各施工单位的有关施工进度、质量及安全的协调会议并做好会议记录，及时协调处理相关的问题。若情况特殊监理人应开现场会议协调解决有关问题，同时报委托人签字认可并按时下发会议纪要。</w:t>
      </w:r>
    </w:p>
    <w:p w14:paraId="338E53F4">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3）建立工程监理日记制度，详细记录工程进度、质量、设计修改、工地洽商等问题和其他有关施工过程中必须记录的问题。</w:t>
      </w:r>
    </w:p>
    <w:p w14:paraId="3F713AC3">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4）总监理工程师应向委托人报告工程进度和所采取进度控制措施的执行情况并提出合理预防由建设单位原因导致的工程延期及其相关费用索赔的建议。</w:t>
      </w:r>
    </w:p>
    <w:p w14:paraId="119E1614">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（10）控制工程质量</w:t>
      </w:r>
    </w:p>
    <w:p w14:paraId="1CF97D23">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1）根据国家及相关施工规范和本工程施工承包合同中的要求严格监理施工质量，督促施工单位达到工程合格率为100%。</w:t>
      </w:r>
    </w:p>
    <w:p w14:paraId="41DDDC03">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按工程部位的不同环节制订详细的、有针对性的现场监理实施细则，并编制相应的检查表单，按分项工程填写并严格按此进行操作。每个分部工程开工前须提交一份该分部工程的质量通病或可能产生的质量问题、采取的预防措施和施工过程中有针对性的解决办法。</w:t>
      </w:r>
    </w:p>
    <w:p w14:paraId="391B3B68">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3）监理人在开工后应及时制定施工单位管理人员及工程质量的考核细则并提交委托人。</w:t>
      </w:r>
    </w:p>
    <w:p w14:paraId="42E7E47F">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4）审查拟进场的主要设备的计划和清单，以满足现场施工的需要。</w:t>
      </w:r>
    </w:p>
    <w:p w14:paraId="486113F0">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5）密切配合委托人做好设备（若有甲供材料）的检验、验收工作并及时对甲供材料设备的供货质量、进度状况跟踪考核发现偏差及时纠正。根据工程进展情况按委托人要求分阶段提交各类甲供材料设备。</w:t>
      </w:r>
    </w:p>
    <w:p w14:paraId="5AF99E6A">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（11）控制工程投资</w:t>
      </w:r>
    </w:p>
    <w:p w14:paraId="2CCABE39">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项目投资控制就是在项目建设过程中，对项目建设所产生的人力资源、物质资源和其他费用开支进行指导、监督、调节和限制，把各项费用控制在计划成本范围之内，保证投资目标的实现。项目负责人是项目投资控制第一责任人，应及时掌握和分析投资变化状况，并迅速采取有效措施进行预防。</w:t>
      </w:r>
    </w:p>
    <w:p w14:paraId="0BE05999">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2）项目负责人要了解项目投资的构成，项目费用划分界面。制定项目投资控制方案，分析项目费用构成并提出合理化建议。</w:t>
      </w:r>
    </w:p>
    <w:p w14:paraId="689BF827">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3）加强材料管理，严格用料制度，对施工现场耗用较大的辅材实行包干。</w:t>
      </w:r>
    </w:p>
    <w:p w14:paraId="080D3857">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4）参与制定先进的、经济合理的施工方案。为达到缩短工期、提高质量、降低成本的目的，正确选择施工方案是关键，在施工过程中努力寻找各种降低成本、提高工效的新工艺、新技术、新材料。</w:t>
      </w:r>
    </w:p>
    <w:p w14:paraId="726C3B31">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5）严把质量关，减少返工浪费。在施工中严格做到：按合同施工，按规范施工，确保工程质量，减少返工造成的浪费。</w:t>
      </w:r>
    </w:p>
    <w:p w14:paraId="61BE8468">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6）控制其他间接费及其它直接费。</w:t>
      </w:r>
    </w:p>
    <w:p w14:paraId="7D01C1D1">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（12）控制工程安全</w:t>
      </w:r>
    </w:p>
    <w:p w14:paraId="19EC158E">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1）建立安全责任制。检查、督促参与项目建设的各级单位建立安全生产制度，明确安全生产责任，层层都要订立安全责任书。发生安全事故，各级责任人和班组都要承担一定经济责任。</w:t>
      </w:r>
    </w:p>
    <w:p w14:paraId="0EE597F2">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2）确保安全设施投资到位。检查、督促参与项目建设的各个单位，按约定的安全职责投入安全设施。</w:t>
      </w:r>
    </w:p>
    <w:p w14:paraId="3E8C0B63">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3）安全员要落实到位。检查、督促各级安全管理人员是否到位，是否履行安全管理职责。</w:t>
      </w:r>
    </w:p>
    <w:p w14:paraId="220015D2">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4）加强安全培训教育。提高自我安全保护意识，班前、班后要进行安全交底并做好记录。特别是对新工人或转岗的工人一定要进行岗前培训教育。</w:t>
      </w:r>
    </w:p>
    <w:p w14:paraId="45C5C298">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5）抓好关键人员、关键部位、关键设备的安全管理。对特殊工种等关键人员要加强培训、检查，做到持证上岗，对临边、洞口等关键部位要加强安全防护措施，对大型机械设备，安全员要天天查，发现问题及时处理。</w:t>
      </w:r>
    </w:p>
    <w:p w14:paraId="2757E02C">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6）搞好文明工地建设。施工现场要道路通畅，标语牌位置要醒目。</w:t>
      </w:r>
    </w:p>
    <w:p w14:paraId="3AF34A86">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（13）信息管理</w:t>
      </w:r>
    </w:p>
    <w:p w14:paraId="2DF796D1">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1）进行各种工程信息的收集、整理、存档；</w:t>
      </w:r>
    </w:p>
    <w:p w14:paraId="4B3ECC00">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2）定期提供各类工程项目管理报表；</w:t>
      </w:r>
    </w:p>
    <w:p w14:paraId="6CE10EC4">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3）建立工程会议制度；</w:t>
      </w:r>
    </w:p>
    <w:p w14:paraId="2584AF93">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4）督促各施工单位整理工程技术资料。</w:t>
      </w:r>
    </w:p>
    <w:p w14:paraId="33E9A183">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（14）组织与协调</w:t>
      </w:r>
    </w:p>
    <w:p w14:paraId="07B72DC8">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1）检查施工许可等手续的办理情况，向委托人提交检查报告；</w:t>
      </w:r>
    </w:p>
    <w:p w14:paraId="0335F50A">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2）审查工程开工条件，检查施工前的各项准备工作；</w:t>
      </w:r>
    </w:p>
    <w:p w14:paraId="3BFDADA7">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3）复核和审查施工单位、分包单位以及材料、设备、构配件等供应单位的资格；</w:t>
      </w:r>
    </w:p>
    <w:p w14:paraId="7EE715E9">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4）组织、协调委托人与承包人之间的关系；</w:t>
      </w:r>
    </w:p>
    <w:p w14:paraId="0BFA1D1B">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5）协助委托人或承包人与城市规划、市容、环境、交通、消防、治安及水电供应等有关部门的协调，以确保工程施工的正常进行；</w:t>
      </w:r>
    </w:p>
    <w:p w14:paraId="3E4337C4">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11、保修阶段：</w:t>
      </w:r>
    </w:p>
    <w:p w14:paraId="779E30D2">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（1）检查和记录工程质量缺陷，对缺陷原因进行调查分析并确定责任归属，审核修复方案，监督修复过程并验收，审核修复费用。</w:t>
      </w:r>
    </w:p>
    <w:p w14:paraId="0CC0D11E">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（2）在国家规定的保修期内，负责检查工程质量状况，组织鉴定发生质量问题的责任，督促有关单位保修，直至达到规定的质量标准。</w:t>
      </w:r>
    </w:p>
    <w:p w14:paraId="565F47A4">
      <w:pPr>
        <w:keepNext w:val="0"/>
        <w:keepLines w:val="0"/>
        <w:pageBreakBefore w:val="0"/>
        <w:widowControl w:val="0"/>
        <w:pBdr>
          <w:bottom w:val="single" w:color="auto" w:sz="4" w:space="1"/>
        </w:pBdr>
        <w:kinsoku/>
        <w:wordWrap/>
        <w:overflowPunct/>
        <w:topLinePunct w:val="0"/>
        <w:autoSpaceDE/>
        <w:autoSpaceDN/>
        <w:bidi w:val="0"/>
        <w:adjustRightInd/>
        <w:snapToGrid/>
        <w:spacing w:before="312" w:beforeLines="100" w:line="520" w:lineRule="exact"/>
        <w:ind w:left="420" w:right="0" w:rightChars="0" w:hanging="420"/>
        <w:jc w:val="both"/>
        <w:textAlignment w:val="auto"/>
        <w:outlineLvl w:val="9"/>
        <w:rPr>
          <w:rFonts w:hint="eastAsia" w:ascii="仿宋" w:hAnsi="仿宋" w:eastAsia="仿宋"/>
          <w:sz w:val="28"/>
          <w:szCs w:val="28"/>
        </w:rPr>
      </w:pPr>
      <w:r>
        <w:rPr>
          <w:rFonts w:hint="eastAsia" w:ascii="仿宋" w:hAnsi="仿宋" w:eastAsia="仿宋"/>
          <w:b/>
          <w:sz w:val="28"/>
          <w:szCs w:val="28"/>
        </w:rPr>
        <w:t>四、服务要求（如对人员配置、专业设备、服务标准等）</w:t>
      </w:r>
    </w:p>
    <w:p w14:paraId="12DB6C06">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lang w:val="en-US" w:eastAsia="zh-CN"/>
        </w:rPr>
      </w:pPr>
      <w:r>
        <w:rPr>
          <w:rFonts w:hint="eastAsia" w:ascii="仿宋" w:hAnsi="仿宋" w:eastAsia="仿宋"/>
          <w:sz w:val="28"/>
          <w:szCs w:val="28"/>
          <w:lang w:val="en-US" w:eastAsia="zh-CN"/>
        </w:rPr>
        <w:t>成果文件及内容符合国家、行业相关标准要求。</w:t>
      </w:r>
    </w:p>
    <w:p w14:paraId="05984DB7">
      <w:pPr>
        <w:keepNext w:val="0"/>
        <w:keepLines w:val="0"/>
        <w:pageBreakBefore w:val="0"/>
        <w:widowControl w:val="0"/>
        <w:pBdr>
          <w:bottom w:val="single" w:color="auto" w:sz="4" w:space="1"/>
        </w:pBdr>
        <w:kinsoku/>
        <w:wordWrap/>
        <w:overflowPunct/>
        <w:topLinePunct w:val="0"/>
        <w:autoSpaceDE/>
        <w:autoSpaceDN/>
        <w:bidi w:val="0"/>
        <w:adjustRightInd/>
        <w:snapToGrid/>
        <w:spacing w:before="312" w:beforeLines="100" w:line="520" w:lineRule="exact"/>
        <w:ind w:left="420" w:right="0" w:rightChars="0" w:hanging="420"/>
        <w:jc w:val="both"/>
        <w:textAlignment w:val="auto"/>
        <w:outlineLvl w:val="9"/>
        <w:rPr>
          <w:rFonts w:ascii="仿宋" w:hAnsi="仿宋" w:eastAsia="仿宋"/>
          <w:b/>
          <w:sz w:val="28"/>
          <w:szCs w:val="28"/>
        </w:rPr>
      </w:pPr>
      <w:r>
        <w:rPr>
          <w:rFonts w:hint="eastAsia" w:ascii="仿宋" w:hAnsi="仿宋" w:eastAsia="仿宋"/>
          <w:b/>
          <w:sz w:val="28"/>
          <w:szCs w:val="28"/>
        </w:rPr>
        <w:t>五、商务要求（如服务期限、款项结算等）</w:t>
      </w:r>
    </w:p>
    <w:p w14:paraId="567B8E9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default" w:ascii="仿宋" w:hAnsi="仿宋" w:eastAsia="仿宋"/>
          <w:sz w:val="28"/>
          <w:szCs w:val="28"/>
          <w:highlight w:val="none"/>
          <w:lang w:val="en-US" w:eastAsia="zh-CN"/>
        </w:rPr>
      </w:pPr>
      <w:r>
        <w:rPr>
          <w:rFonts w:hint="eastAsia" w:ascii="仿宋" w:hAnsi="仿宋" w:eastAsia="仿宋"/>
          <w:sz w:val="28"/>
          <w:szCs w:val="28"/>
          <w:lang w:val="en-US" w:eastAsia="zh-CN"/>
        </w:rPr>
        <w:t>（一）服务期限</w:t>
      </w:r>
    </w:p>
    <w:p w14:paraId="301CD69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服务期限：1年（具体以项目实施时间为准）。</w:t>
      </w:r>
    </w:p>
    <w:p w14:paraId="0863A4E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（二）款项结算</w:t>
      </w:r>
    </w:p>
    <w:p w14:paraId="5CA1555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bookmarkStart w:id="0" w:name="_GoBack"/>
      <w:r>
        <w:rPr>
          <w:rFonts w:hint="eastAsia" w:ascii="仿宋" w:hAnsi="仿宋" w:eastAsia="仿宋"/>
          <w:sz w:val="28"/>
          <w:szCs w:val="28"/>
          <w:highlight w:val="none"/>
          <w:lang w:val="en-US" w:eastAsia="zh-CN"/>
        </w:rPr>
        <w:t>合同签订后，达到付款条件起30日内，支付合同总金额的 10.00%。</w:t>
      </w:r>
    </w:p>
    <w:p w14:paraId="7545CF8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监理人每月依照委托人的要求报送监理付款申请表，达到付款条件起14日内，进度付款金额为：监理范围内经委托人审核确认的工程进度产值×监理费率×80％。进度款支付至合同总金额的80.00%时，暂停支付。</w:t>
      </w:r>
    </w:p>
    <w:p w14:paraId="54645E1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工程完工验收合格、完工图纸审查完毕、完工资料已移交委托人，各专项验收完成、工程结算财政评审（或审计）完成，施工阶段监理工作完成（包括监理资料移交）后，以财政评审（或审计）确定的工程建安结算费×本合同监理费率（%）为结算价款，该结算价款减去已支付进度款款项为剩余监理酬金，监理人报送监理费结算书，经委托人审核确认后，达到付款条件起 30 日内，支付合同总金额的 20.00%。</w:t>
      </w:r>
      <w:bookmarkEnd w:id="0"/>
    </w:p>
    <w:p w14:paraId="2F9AEB73">
      <w:pPr>
        <w:keepNext w:val="0"/>
        <w:keepLines w:val="0"/>
        <w:pageBreakBefore w:val="0"/>
        <w:widowControl w:val="0"/>
        <w:pBdr>
          <w:bottom w:val="single" w:color="auto" w:sz="4" w:space="1"/>
        </w:pBdr>
        <w:kinsoku/>
        <w:wordWrap/>
        <w:overflowPunct/>
        <w:topLinePunct w:val="0"/>
        <w:autoSpaceDE/>
        <w:autoSpaceDN/>
        <w:bidi w:val="0"/>
        <w:adjustRightInd/>
        <w:snapToGrid/>
        <w:spacing w:before="312" w:beforeLines="100" w:line="520" w:lineRule="exact"/>
        <w:ind w:right="0" w:rightChars="0"/>
        <w:jc w:val="both"/>
        <w:textAlignment w:val="auto"/>
        <w:outlineLvl w:val="9"/>
        <w:rPr>
          <w:rFonts w:ascii="仿宋" w:hAnsi="仿宋" w:eastAsia="仿宋"/>
          <w:b/>
          <w:sz w:val="28"/>
          <w:szCs w:val="28"/>
          <w:highlight w:val="none"/>
        </w:rPr>
      </w:pPr>
      <w:r>
        <w:rPr>
          <w:rFonts w:hint="eastAsia" w:ascii="仿宋" w:hAnsi="仿宋" w:eastAsia="仿宋"/>
          <w:b/>
          <w:sz w:val="28"/>
          <w:szCs w:val="28"/>
          <w:highlight w:val="none"/>
        </w:rPr>
        <w:t>六、其他（如有要求，请写明）</w:t>
      </w:r>
    </w:p>
    <w:p w14:paraId="21B80576">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ascii="仿宋" w:hAnsi="仿宋" w:eastAsia="仿宋"/>
          <w:sz w:val="28"/>
          <w:szCs w:val="28"/>
        </w:rPr>
      </w:pPr>
      <w:r>
        <w:rPr>
          <w:rFonts w:hint="eastAsia" w:ascii="仿宋" w:hAnsi="仿宋" w:eastAsia="仿宋"/>
          <w:sz w:val="28"/>
          <w:szCs w:val="28"/>
        </w:rPr>
        <w:t>（一）对服务商的业绩要求</w:t>
      </w:r>
    </w:p>
    <w:p w14:paraId="7CD2E531">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rPr>
      </w:pPr>
      <w:r>
        <w:rPr>
          <w:rFonts w:hint="eastAsia" w:ascii="仿宋" w:hAnsi="仿宋" w:eastAsia="仿宋"/>
          <w:sz w:val="28"/>
          <w:szCs w:val="28"/>
        </w:rPr>
        <w:t>供应商近三年（20</w:t>
      </w:r>
      <w:r>
        <w:rPr>
          <w:rFonts w:hint="eastAsia" w:ascii="仿宋" w:hAnsi="仿宋" w:eastAsia="仿宋"/>
          <w:sz w:val="28"/>
          <w:szCs w:val="28"/>
          <w:lang w:val="en-US" w:eastAsia="zh-CN"/>
        </w:rPr>
        <w:t>23</w:t>
      </w:r>
      <w:r>
        <w:rPr>
          <w:rFonts w:hint="eastAsia" w:ascii="仿宋" w:hAnsi="仿宋" w:eastAsia="仿宋"/>
          <w:sz w:val="28"/>
          <w:szCs w:val="28"/>
        </w:rPr>
        <w:t>年至今）具有类似项目业绩，一项得</w:t>
      </w:r>
      <w:r>
        <w:rPr>
          <w:rFonts w:hint="eastAsia" w:ascii="仿宋" w:hAnsi="仿宋" w:eastAsia="仿宋"/>
          <w:sz w:val="28"/>
          <w:szCs w:val="28"/>
          <w:lang w:val="en-US" w:eastAsia="zh-CN"/>
        </w:rPr>
        <w:t>2</w:t>
      </w:r>
      <w:r>
        <w:rPr>
          <w:rFonts w:hint="eastAsia" w:ascii="仿宋" w:hAnsi="仿宋" w:eastAsia="仿宋"/>
          <w:sz w:val="28"/>
          <w:szCs w:val="28"/>
        </w:rPr>
        <w:t>分，最高 1</w:t>
      </w:r>
      <w:r>
        <w:rPr>
          <w:rFonts w:hint="eastAsia" w:ascii="仿宋" w:hAnsi="仿宋" w:eastAsia="仿宋"/>
          <w:sz w:val="28"/>
          <w:szCs w:val="28"/>
          <w:lang w:val="en-US" w:eastAsia="zh-CN"/>
        </w:rPr>
        <w:t>0</w:t>
      </w:r>
      <w:r>
        <w:rPr>
          <w:rFonts w:hint="eastAsia" w:ascii="仿宋" w:hAnsi="仿宋" w:eastAsia="仿宋"/>
          <w:sz w:val="28"/>
          <w:szCs w:val="28"/>
        </w:rPr>
        <w:t>分。（需提供合同复印件并加盖公章，时间以合同签订时间为准，无签订时间的无效）</w:t>
      </w:r>
      <w:r>
        <w:rPr>
          <w:rFonts w:hint="eastAsia" w:ascii="仿宋" w:hAnsi="仿宋" w:eastAsia="仿宋"/>
          <w:sz w:val="28"/>
          <w:szCs w:val="28"/>
          <w:lang w:eastAsia="zh-CN"/>
        </w:rPr>
        <w:t>。</w:t>
      </w:r>
    </w:p>
    <w:sectPr>
      <w:pgSz w:w="11906" w:h="16838"/>
      <w:pgMar w:top="1440" w:right="1486" w:bottom="1135"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JjNWJlZTVhYWM4NzNhNzU3ZWI4NTk2NGUyMDg4MDEifQ=="/>
  </w:docVars>
  <w:rsids>
    <w:rsidRoot w:val="0022387C"/>
    <w:rsid w:val="0000159C"/>
    <w:rsid w:val="000019FA"/>
    <w:rsid w:val="00002BB3"/>
    <w:rsid w:val="00003F53"/>
    <w:rsid w:val="00004F9A"/>
    <w:rsid w:val="00006A52"/>
    <w:rsid w:val="00012137"/>
    <w:rsid w:val="00012844"/>
    <w:rsid w:val="00012F9B"/>
    <w:rsid w:val="00013929"/>
    <w:rsid w:val="00014DAF"/>
    <w:rsid w:val="00015802"/>
    <w:rsid w:val="00016042"/>
    <w:rsid w:val="00022F41"/>
    <w:rsid w:val="00023261"/>
    <w:rsid w:val="000234CF"/>
    <w:rsid w:val="000235C8"/>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51C6"/>
    <w:rsid w:val="00095A8D"/>
    <w:rsid w:val="00096428"/>
    <w:rsid w:val="00097CDB"/>
    <w:rsid w:val="000A0237"/>
    <w:rsid w:val="000A2583"/>
    <w:rsid w:val="000B5ACF"/>
    <w:rsid w:val="000B6858"/>
    <w:rsid w:val="000C048C"/>
    <w:rsid w:val="000C078B"/>
    <w:rsid w:val="000C21A4"/>
    <w:rsid w:val="000C538D"/>
    <w:rsid w:val="000C59A5"/>
    <w:rsid w:val="000D0AF3"/>
    <w:rsid w:val="000D0DE1"/>
    <w:rsid w:val="000D1277"/>
    <w:rsid w:val="000D4097"/>
    <w:rsid w:val="000E3FB5"/>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6530"/>
    <w:rsid w:val="00107B8A"/>
    <w:rsid w:val="001101BD"/>
    <w:rsid w:val="00111F0F"/>
    <w:rsid w:val="001131D6"/>
    <w:rsid w:val="00113B9B"/>
    <w:rsid w:val="00121FC0"/>
    <w:rsid w:val="00122D76"/>
    <w:rsid w:val="001257D4"/>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361E"/>
    <w:rsid w:val="00156ED5"/>
    <w:rsid w:val="001630D0"/>
    <w:rsid w:val="00164101"/>
    <w:rsid w:val="00164EE1"/>
    <w:rsid w:val="00166FD9"/>
    <w:rsid w:val="00167ECE"/>
    <w:rsid w:val="0017054A"/>
    <w:rsid w:val="00171A61"/>
    <w:rsid w:val="00173749"/>
    <w:rsid w:val="00173A35"/>
    <w:rsid w:val="0017410F"/>
    <w:rsid w:val="00174285"/>
    <w:rsid w:val="00175756"/>
    <w:rsid w:val="00176F0E"/>
    <w:rsid w:val="00184F72"/>
    <w:rsid w:val="00187846"/>
    <w:rsid w:val="00191A7E"/>
    <w:rsid w:val="00193B5F"/>
    <w:rsid w:val="001947E8"/>
    <w:rsid w:val="00194890"/>
    <w:rsid w:val="00196A1C"/>
    <w:rsid w:val="001A2103"/>
    <w:rsid w:val="001A5309"/>
    <w:rsid w:val="001A5764"/>
    <w:rsid w:val="001B0699"/>
    <w:rsid w:val="001B2019"/>
    <w:rsid w:val="001B49FD"/>
    <w:rsid w:val="001C0BA3"/>
    <w:rsid w:val="001C0BBD"/>
    <w:rsid w:val="001C25ED"/>
    <w:rsid w:val="001D1BCB"/>
    <w:rsid w:val="001D22C0"/>
    <w:rsid w:val="001D4171"/>
    <w:rsid w:val="001D576E"/>
    <w:rsid w:val="001D70BC"/>
    <w:rsid w:val="001E2BB9"/>
    <w:rsid w:val="001E6227"/>
    <w:rsid w:val="001E6A70"/>
    <w:rsid w:val="001F2059"/>
    <w:rsid w:val="001F49A1"/>
    <w:rsid w:val="001F4ACC"/>
    <w:rsid w:val="001F7532"/>
    <w:rsid w:val="00201795"/>
    <w:rsid w:val="002031DE"/>
    <w:rsid w:val="0020498C"/>
    <w:rsid w:val="00207790"/>
    <w:rsid w:val="00210CFC"/>
    <w:rsid w:val="00210FBE"/>
    <w:rsid w:val="002125C8"/>
    <w:rsid w:val="00213205"/>
    <w:rsid w:val="002137AF"/>
    <w:rsid w:val="002174B0"/>
    <w:rsid w:val="00220787"/>
    <w:rsid w:val="0022387C"/>
    <w:rsid w:val="00230C6A"/>
    <w:rsid w:val="00233D53"/>
    <w:rsid w:val="002345B9"/>
    <w:rsid w:val="00237A3F"/>
    <w:rsid w:val="00237C8C"/>
    <w:rsid w:val="0024210D"/>
    <w:rsid w:val="00244C29"/>
    <w:rsid w:val="00247B11"/>
    <w:rsid w:val="00250468"/>
    <w:rsid w:val="00250A0D"/>
    <w:rsid w:val="00250B6E"/>
    <w:rsid w:val="00252050"/>
    <w:rsid w:val="00253B74"/>
    <w:rsid w:val="002547E0"/>
    <w:rsid w:val="00255DBC"/>
    <w:rsid w:val="0025777A"/>
    <w:rsid w:val="00260306"/>
    <w:rsid w:val="00261898"/>
    <w:rsid w:val="00264014"/>
    <w:rsid w:val="0026501F"/>
    <w:rsid w:val="00266611"/>
    <w:rsid w:val="00267AE5"/>
    <w:rsid w:val="00267C8A"/>
    <w:rsid w:val="00271136"/>
    <w:rsid w:val="00273219"/>
    <w:rsid w:val="002742EA"/>
    <w:rsid w:val="0027449B"/>
    <w:rsid w:val="00276641"/>
    <w:rsid w:val="0028033D"/>
    <w:rsid w:val="00282837"/>
    <w:rsid w:val="00291777"/>
    <w:rsid w:val="0029384E"/>
    <w:rsid w:val="002938B0"/>
    <w:rsid w:val="002961E2"/>
    <w:rsid w:val="00296372"/>
    <w:rsid w:val="00297703"/>
    <w:rsid w:val="00297866"/>
    <w:rsid w:val="002A3B25"/>
    <w:rsid w:val="002A6815"/>
    <w:rsid w:val="002B35C4"/>
    <w:rsid w:val="002B36C2"/>
    <w:rsid w:val="002B59BE"/>
    <w:rsid w:val="002B65AB"/>
    <w:rsid w:val="002B696D"/>
    <w:rsid w:val="002C4511"/>
    <w:rsid w:val="002D2B5F"/>
    <w:rsid w:val="002D327B"/>
    <w:rsid w:val="002D41DD"/>
    <w:rsid w:val="002D7418"/>
    <w:rsid w:val="002E1660"/>
    <w:rsid w:val="002E43F6"/>
    <w:rsid w:val="002E7C3E"/>
    <w:rsid w:val="002F1C19"/>
    <w:rsid w:val="002F1C7D"/>
    <w:rsid w:val="002F1EC9"/>
    <w:rsid w:val="002F25EC"/>
    <w:rsid w:val="002F2EAB"/>
    <w:rsid w:val="002F30DD"/>
    <w:rsid w:val="002F3224"/>
    <w:rsid w:val="002F7D7D"/>
    <w:rsid w:val="00300067"/>
    <w:rsid w:val="00300B27"/>
    <w:rsid w:val="0030123B"/>
    <w:rsid w:val="00301FAE"/>
    <w:rsid w:val="003024CF"/>
    <w:rsid w:val="00305BAD"/>
    <w:rsid w:val="00306470"/>
    <w:rsid w:val="00311862"/>
    <w:rsid w:val="00316D60"/>
    <w:rsid w:val="003172BB"/>
    <w:rsid w:val="00322208"/>
    <w:rsid w:val="003245F8"/>
    <w:rsid w:val="00325D47"/>
    <w:rsid w:val="00325EF1"/>
    <w:rsid w:val="00332A7C"/>
    <w:rsid w:val="00337CFC"/>
    <w:rsid w:val="003406B1"/>
    <w:rsid w:val="00343305"/>
    <w:rsid w:val="003443D3"/>
    <w:rsid w:val="003450CD"/>
    <w:rsid w:val="00345F35"/>
    <w:rsid w:val="00351734"/>
    <w:rsid w:val="00354FCF"/>
    <w:rsid w:val="00360830"/>
    <w:rsid w:val="00364896"/>
    <w:rsid w:val="00366A2C"/>
    <w:rsid w:val="00372CF8"/>
    <w:rsid w:val="00373AE9"/>
    <w:rsid w:val="00374506"/>
    <w:rsid w:val="0037495D"/>
    <w:rsid w:val="00375819"/>
    <w:rsid w:val="00375C89"/>
    <w:rsid w:val="00376DAF"/>
    <w:rsid w:val="003833FB"/>
    <w:rsid w:val="00383F8F"/>
    <w:rsid w:val="00384AC1"/>
    <w:rsid w:val="003872CB"/>
    <w:rsid w:val="00387AFC"/>
    <w:rsid w:val="00390290"/>
    <w:rsid w:val="0039216D"/>
    <w:rsid w:val="00392EBD"/>
    <w:rsid w:val="00393459"/>
    <w:rsid w:val="003943D1"/>
    <w:rsid w:val="0039449C"/>
    <w:rsid w:val="00395695"/>
    <w:rsid w:val="003A0002"/>
    <w:rsid w:val="003A0295"/>
    <w:rsid w:val="003A0D83"/>
    <w:rsid w:val="003B0D75"/>
    <w:rsid w:val="003B3207"/>
    <w:rsid w:val="003C3325"/>
    <w:rsid w:val="003D2606"/>
    <w:rsid w:val="003D39C7"/>
    <w:rsid w:val="003D45F5"/>
    <w:rsid w:val="003D6B60"/>
    <w:rsid w:val="003E010E"/>
    <w:rsid w:val="003E1D81"/>
    <w:rsid w:val="003E7874"/>
    <w:rsid w:val="003F60A3"/>
    <w:rsid w:val="004001BE"/>
    <w:rsid w:val="0040124D"/>
    <w:rsid w:val="004017C8"/>
    <w:rsid w:val="0040181A"/>
    <w:rsid w:val="004024C2"/>
    <w:rsid w:val="004068A7"/>
    <w:rsid w:val="00406C11"/>
    <w:rsid w:val="004106B2"/>
    <w:rsid w:val="00412CBC"/>
    <w:rsid w:val="004156E2"/>
    <w:rsid w:val="0042388D"/>
    <w:rsid w:val="00427ABD"/>
    <w:rsid w:val="004317AB"/>
    <w:rsid w:val="00431DBF"/>
    <w:rsid w:val="00433512"/>
    <w:rsid w:val="0043432D"/>
    <w:rsid w:val="00441D7B"/>
    <w:rsid w:val="00444250"/>
    <w:rsid w:val="00444298"/>
    <w:rsid w:val="004456C5"/>
    <w:rsid w:val="00454666"/>
    <w:rsid w:val="004574A4"/>
    <w:rsid w:val="00463236"/>
    <w:rsid w:val="004657D3"/>
    <w:rsid w:val="0046690A"/>
    <w:rsid w:val="0046782F"/>
    <w:rsid w:val="00471E1E"/>
    <w:rsid w:val="0047278F"/>
    <w:rsid w:val="0047590B"/>
    <w:rsid w:val="00490F98"/>
    <w:rsid w:val="00491349"/>
    <w:rsid w:val="00493684"/>
    <w:rsid w:val="00493E48"/>
    <w:rsid w:val="00496ACE"/>
    <w:rsid w:val="00497530"/>
    <w:rsid w:val="004A00FD"/>
    <w:rsid w:val="004A5CFF"/>
    <w:rsid w:val="004A61D7"/>
    <w:rsid w:val="004A6B5A"/>
    <w:rsid w:val="004B1026"/>
    <w:rsid w:val="004B5992"/>
    <w:rsid w:val="004C093C"/>
    <w:rsid w:val="004C0B7A"/>
    <w:rsid w:val="004C0CA0"/>
    <w:rsid w:val="004C2A01"/>
    <w:rsid w:val="004C5B48"/>
    <w:rsid w:val="004C6493"/>
    <w:rsid w:val="004D2D8E"/>
    <w:rsid w:val="004D4879"/>
    <w:rsid w:val="004D7C23"/>
    <w:rsid w:val="004D7F2C"/>
    <w:rsid w:val="004E07B6"/>
    <w:rsid w:val="004E0B6D"/>
    <w:rsid w:val="004E63AF"/>
    <w:rsid w:val="004F411F"/>
    <w:rsid w:val="004F60D3"/>
    <w:rsid w:val="004F7D8F"/>
    <w:rsid w:val="0050182A"/>
    <w:rsid w:val="00502DB5"/>
    <w:rsid w:val="005053C1"/>
    <w:rsid w:val="00506ECC"/>
    <w:rsid w:val="00510D3F"/>
    <w:rsid w:val="00511E18"/>
    <w:rsid w:val="00512B77"/>
    <w:rsid w:val="00515ADE"/>
    <w:rsid w:val="00515E63"/>
    <w:rsid w:val="005176F4"/>
    <w:rsid w:val="005203BA"/>
    <w:rsid w:val="005220F8"/>
    <w:rsid w:val="00522932"/>
    <w:rsid w:val="0052539A"/>
    <w:rsid w:val="005309DD"/>
    <w:rsid w:val="0053320F"/>
    <w:rsid w:val="005406CD"/>
    <w:rsid w:val="00542C65"/>
    <w:rsid w:val="00544037"/>
    <w:rsid w:val="0054537C"/>
    <w:rsid w:val="00547AD0"/>
    <w:rsid w:val="005509F0"/>
    <w:rsid w:val="00553778"/>
    <w:rsid w:val="00553AC5"/>
    <w:rsid w:val="00554646"/>
    <w:rsid w:val="005555A0"/>
    <w:rsid w:val="0056216F"/>
    <w:rsid w:val="005627E9"/>
    <w:rsid w:val="00572506"/>
    <w:rsid w:val="00573AC9"/>
    <w:rsid w:val="00581DBA"/>
    <w:rsid w:val="00581F60"/>
    <w:rsid w:val="005829C2"/>
    <w:rsid w:val="00582A46"/>
    <w:rsid w:val="0058322B"/>
    <w:rsid w:val="00583A5C"/>
    <w:rsid w:val="0058471F"/>
    <w:rsid w:val="0058487A"/>
    <w:rsid w:val="00592CFD"/>
    <w:rsid w:val="00593C8A"/>
    <w:rsid w:val="005960B9"/>
    <w:rsid w:val="005A3DFC"/>
    <w:rsid w:val="005A5B0F"/>
    <w:rsid w:val="005A69F8"/>
    <w:rsid w:val="005A6B45"/>
    <w:rsid w:val="005A7B9D"/>
    <w:rsid w:val="005B0579"/>
    <w:rsid w:val="005B27CD"/>
    <w:rsid w:val="005B314D"/>
    <w:rsid w:val="005B353B"/>
    <w:rsid w:val="005B547C"/>
    <w:rsid w:val="005B65A5"/>
    <w:rsid w:val="005B67BE"/>
    <w:rsid w:val="005B7116"/>
    <w:rsid w:val="005C6C4F"/>
    <w:rsid w:val="005D000E"/>
    <w:rsid w:val="005D62E5"/>
    <w:rsid w:val="005D7216"/>
    <w:rsid w:val="005E12F7"/>
    <w:rsid w:val="005E548A"/>
    <w:rsid w:val="005E5BCC"/>
    <w:rsid w:val="005E5CCE"/>
    <w:rsid w:val="005E6CCC"/>
    <w:rsid w:val="005F19BB"/>
    <w:rsid w:val="005F3B5B"/>
    <w:rsid w:val="006022C0"/>
    <w:rsid w:val="00602E42"/>
    <w:rsid w:val="00603657"/>
    <w:rsid w:val="0060479B"/>
    <w:rsid w:val="00606A55"/>
    <w:rsid w:val="00611AC2"/>
    <w:rsid w:val="00613BB6"/>
    <w:rsid w:val="0061777B"/>
    <w:rsid w:val="00624066"/>
    <w:rsid w:val="00624620"/>
    <w:rsid w:val="00624946"/>
    <w:rsid w:val="00625173"/>
    <w:rsid w:val="00630CCB"/>
    <w:rsid w:val="00631E71"/>
    <w:rsid w:val="0063350A"/>
    <w:rsid w:val="006340A0"/>
    <w:rsid w:val="0063581A"/>
    <w:rsid w:val="00636BF4"/>
    <w:rsid w:val="00642CB1"/>
    <w:rsid w:val="006431A9"/>
    <w:rsid w:val="006466DF"/>
    <w:rsid w:val="006518D0"/>
    <w:rsid w:val="00652393"/>
    <w:rsid w:val="00656003"/>
    <w:rsid w:val="006571DD"/>
    <w:rsid w:val="0065774D"/>
    <w:rsid w:val="0065792C"/>
    <w:rsid w:val="0066668A"/>
    <w:rsid w:val="00675065"/>
    <w:rsid w:val="00675563"/>
    <w:rsid w:val="00675632"/>
    <w:rsid w:val="00685346"/>
    <w:rsid w:val="00685B24"/>
    <w:rsid w:val="006870E8"/>
    <w:rsid w:val="00690BC5"/>
    <w:rsid w:val="00690C8E"/>
    <w:rsid w:val="006933DD"/>
    <w:rsid w:val="0069471D"/>
    <w:rsid w:val="00695670"/>
    <w:rsid w:val="00695E20"/>
    <w:rsid w:val="006A3BA0"/>
    <w:rsid w:val="006A4EC6"/>
    <w:rsid w:val="006A6DF3"/>
    <w:rsid w:val="006B20D5"/>
    <w:rsid w:val="006B34F6"/>
    <w:rsid w:val="006B4952"/>
    <w:rsid w:val="006B5EA1"/>
    <w:rsid w:val="006B7F10"/>
    <w:rsid w:val="006C042B"/>
    <w:rsid w:val="006C2543"/>
    <w:rsid w:val="006C7C59"/>
    <w:rsid w:val="006D0312"/>
    <w:rsid w:val="006D214E"/>
    <w:rsid w:val="006D2DEA"/>
    <w:rsid w:val="006D2E9C"/>
    <w:rsid w:val="006D30BC"/>
    <w:rsid w:val="006E1A0E"/>
    <w:rsid w:val="006E6E8B"/>
    <w:rsid w:val="006E7C76"/>
    <w:rsid w:val="006F04CD"/>
    <w:rsid w:val="006F07C9"/>
    <w:rsid w:val="006F0A6B"/>
    <w:rsid w:val="006F0F75"/>
    <w:rsid w:val="006F5AC8"/>
    <w:rsid w:val="006F5F50"/>
    <w:rsid w:val="006F721C"/>
    <w:rsid w:val="00704218"/>
    <w:rsid w:val="00706102"/>
    <w:rsid w:val="00711356"/>
    <w:rsid w:val="00716375"/>
    <w:rsid w:val="00724763"/>
    <w:rsid w:val="007326D4"/>
    <w:rsid w:val="007331C5"/>
    <w:rsid w:val="00733D26"/>
    <w:rsid w:val="00733E96"/>
    <w:rsid w:val="00734BE2"/>
    <w:rsid w:val="00734DBA"/>
    <w:rsid w:val="007405AB"/>
    <w:rsid w:val="0074169B"/>
    <w:rsid w:val="007416A5"/>
    <w:rsid w:val="00742326"/>
    <w:rsid w:val="00743F8B"/>
    <w:rsid w:val="007552A7"/>
    <w:rsid w:val="00757FC1"/>
    <w:rsid w:val="00760265"/>
    <w:rsid w:val="00763522"/>
    <w:rsid w:val="00770D89"/>
    <w:rsid w:val="00771FBD"/>
    <w:rsid w:val="00772751"/>
    <w:rsid w:val="00772BFA"/>
    <w:rsid w:val="007732E5"/>
    <w:rsid w:val="00773A1F"/>
    <w:rsid w:val="007750D4"/>
    <w:rsid w:val="00775725"/>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6103"/>
    <w:rsid w:val="007C7079"/>
    <w:rsid w:val="007C745E"/>
    <w:rsid w:val="007C7E4A"/>
    <w:rsid w:val="007D249E"/>
    <w:rsid w:val="007D2EE8"/>
    <w:rsid w:val="007D4745"/>
    <w:rsid w:val="007D596E"/>
    <w:rsid w:val="007D61F2"/>
    <w:rsid w:val="007D6288"/>
    <w:rsid w:val="007D7D00"/>
    <w:rsid w:val="007E1576"/>
    <w:rsid w:val="007E2BD2"/>
    <w:rsid w:val="007E5F41"/>
    <w:rsid w:val="007E6CF2"/>
    <w:rsid w:val="007F1EB4"/>
    <w:rsid w:val="007F5493"/>
    <w:rsid w:val="007F5B53"/>
    <w:rsid w:val="007F6DC7"/>
    <w:rsid w:val="0080075E"/>
    <w:rsid w:val="00802AAC"/>
    <w:rsid w:val="00806FED"/>
    <w:rsid w:val="00811115"/>
    <w:rsid w:val="008134C7"/>
    <w:rsid w:val="008139EB"/>
    <w:rsid w:val="008150A6"/>
    <w:rsid w:val="008151E2"/>
    <w:rsid w:val="00816091"/>
    <w:rsid w:val="00816182"/>
    <w:rsid w:val="00821BA2"/>
    <w:rsid w:val="00822824"/>
    <w:rsid w:val="008228B9"/>
    <w:rsid w:val="00824639"/>
    <w:rsid w:val="00826C95"/>
    <w:rsid w:val="00832985"/>
    <w:rsid w:val="008332CE"/>
    <w:rsid w:val="008345B9"/>
    <w:rsid w:val="008354ED"/>
    <w:rsid w:val="00835DAD"/>
    <w:rsid w:val="008376EF"/>
    <w:rsid w:val="00837760"/>
    <w:rsid w:val="00837F02"/>
    <w:rsid w:val="00840EF2"/>
    <w:rsid w:val="00843C41"/>
    <w:rsid w:val="0084500E"/>
    <w:rsid w:val="008455FB"/>
    <w:rsid w:val="0084584F"/>
    <w:rsid w:val="00850BC8"/>
    <w:rsid w:val="00850E33"/>
    <w:rsid w:val="00856715"/>
    <w:rsid w:val="00856DC0"/>
    <w:rsid w:val="00861CE7"/>
    <w:rsid w:val="00864D01"/>
    <w:rsid w:val="00865BFC"/>
    <w:rsid w:val="008669F7"/>
    <w:rsid w:val="0087394A"/>
    <w:rsid w:val="00874D32"/>
    <w:rsid w:val="00881B84"/>
    <w:rsid w:val="008876A3"/>
    <w:rsid w:val="00887DFB"/>
    <w:rsid w:val="0089283A"/>
    <w:rsid w:val="00892ADC"/>
    <w:rsid w:val="00893813"/>
    <w:rsid w:val="0089658C"/>
    <w:rsid w:val="00896F74"/>
    <w:rsid w:val="00897000"/>
    <w:rsid w:val="008A2458"/>
    <w:rsid w:val="008A66B8"/>
    <w:rsid w:val="008A7EED"/>
    <w:rsid w:val="008B2B1D"/>
    <w:rsid w:val="008B5009"/>
    <w:rsid w:val="008B7E45"/>
    <w:rsid w:val="008C1237"/>
    <w:rsid w:val="008C64FB"/>
    <w:rsid w:val="008C771B"/>
    <w:rsid w:val="008C77A4"/>
    <w:rsid w:val="008D0DB7"/>
    <w:rsid w:val="008D2DAF"/>
    <w:rsid w:val="008D4EEC"/>
    <w:rsid w:val="008E1C91"/>
    <w:rsid w:val="008E2EFF"/>
    <w:rsid w:val="008E3B9E"/>
    <w:rsid w:val="008E4E0F"/>
    <w:rsid w:val="008E738E"/>
    <w:rsid w:val="008F0A84"/>
    <w:rsid w:val="008F0CC3"/>
    <w:rsid w:val="008F44C7"/>
    <w:rsid w:val="008F5035"/>
    <w:rsid w:val="008F5056"/>
    <w:rsid w:val="0090408F"/>
    <w:rsid w:val="00906F8A"/>
    <w:rsid w:val="00915570"/>
    <w:rsid w:val="0091611D"/>
    <w:rsid w:val="00916267"/>
    <w:rsid w:val="00921082"/>
    <w:rsid w:val="00922EFB"/>
    <w:rsid w:val="00923A6C"/>
    <w:rsid w:val="009249C8"/>
    <w:rsid w:val="00927CC3"/>
    <w:rsid w:val="00933F00"/>
    <w:rsid w:val="00935401"/>
    <w:rsid w:val="0094003A"/>
    <w:rsid w:val="0094004A"/>
    <w:rsid w:val="00946A82"/>
    <w:rsid w:val="00951071"/>
    <w:rsid w:val="0095333C"/>
    <w:rsid w:val="00955186"/>
    <w:rsid w:val="00956EE8"/>
    <w:rsid w:val="009643C2"/>
    <w:rsid w:val="00966B6A"/>
    <w:rsid w:val="0097057C"/>
    <w:rsid w:val="009715C5"/>
    <w:rsid w:val="00971AF2"/>
    <w:rsid w:val="009723B8"/>
    <w:rsid w:val="00974455"/>
    <w:rsid w:val="0098281C"/>
    <w:rsid w:val="0098423D"/>
    <w:rsid w:val="009850E9"/>
    <w:rsid w:val="00985DFA"/>
    <w:rsid w:val="00986315"/>
    <w:rsid w:val="009911E3"/>
    <w:rsid w:val="00994E42"/>
    <w:rsid w:val="00995178"/>
    <w:rsid w:val="009A1C33"/>
    <w:rsid w:val="009A2439"/>
    <w:rsid w:val="009A2BFF"/>
    <w:rsid w:val="009A6D30"/>
    <w:rsid w:val="009B206F"/>
    <w:rsid w:val="009B5F6F"/>
    <w:rsid w:val="009B7A7F"/>
    <w:rsid w:val="009B7A90"/>
    <w:rsid w:val="009B7BA4"/>
    <w:rsid w:val="009C1007"/>
    <w:rsid w:val="009C1F6E"/>
    <w:rsid w:val="009C2514"/>
    <w:rsid w:val="009C3C03"/>
    <w:rsid w:val="009C3EBA"/>
    <w:rsid w:val="009C4C61"/>
    <w:rsid w:val="009C5377"/>
    <w:rsid w:val="009C7BA0"/>
    <w:rsid w:val="009D1B51"/>
    <w:rsid w:val="009D52BF"/>
    <w:rsid w:val="009D6DD3"/>
    <w:rsid w:val="009E3F57"/>
    <w:rsid w:val="009E4F8A"/>
    <w:rsid w:val="009E6771"/>
    <w:rsid w:val="009E67E4"/>
    <w:rsid w:val="009F0511"/>
    <w:rsid w:val="009F1DBD"/>
    <w:rsid w:val="009F22FE"/>
    <w:rsid w:val="009F750B"/>
    <w:rsid w:val="00A00435"/>
    <w:rsid w:val="00A03071"/>
    <w:rsid w:val="00A05B11"/>
    <w:rsid w:val="00A06B7F"/>
    <w:rsid w:val="00A07D9C"/>
    <w:rsid w:val="00A109CC"/>
    <w:rsid w:val="00A13EDB"/>
    <w:rsid w:val="00A14C4D"/>
    <w:rsid w:val="00A15845"/>
    <w:rsid w:val="00A17B52"/>
    <w:rsid w:val="00A2141C"/>
    <w:rsid w:val="00A21B16"/>
    <w:rsid w:val="00A22D76"/>
    <w:rsid w:val="00A24D47"/>
    <w:rsid w:val="00A30370"/>
    <w:rsid w:val="00A32017"/>
    <w:rsid w:val="00A3527C"/>
    <w:rsid w:val="00A37E7E"/>
    <w:rsid w:val="00A4098F"/>
    <w:rsid w:val="00A4193A"/>
    <w:rsid w:val="00A45C6F"/>
    <w:rsid w:val="00A46DCC"/>
    <w:rsid w:val="00A5014E"/>
    <w:rsid w:val="00A562E3"/>
    <w:rsid w:val="00A569D3"/>
    <w:rsid w:val="00A6062B"/>
    <w:rsid w:val="00A62089"/>
    <w:rsid w:val="00A654EF"/>
    <w:rsid w:val="00A658F2"/>
    <w:rsid w:val="00A65AFD"/>
    <w:rsid w:val="00A66B78"/>
    <w:rsid w:val="00A6769B"/>
    <w:rsid w:val="00A677C6"/>
    <w:rsid w:val="00A67E25"/>
    <w:rsid w:val="00A72C38"/>
    <w:rsid w:val="00A72FD2"/>
    <w:rsid w:val="00A7420A"/>
    <w:rsid w:val="00A74D3C"/>
    <w:rsid w:val="00A75DB1"/>
    <w:rsid w:val="00A761C2"/>
    <w:rsid w:val="00A76D29"/>
    <w:rsid w:val="00A86960"/>
    <w:rsid w:val="00A91A54"/>
    <w:rsid w:val="00A91B7E"/>
    <w:rsid w:val="00A96F13"/>
    <w:rsid w:val="00AA1080"/>
    <w:rsid w:val="00AA16D3"/>
    <w:rsid w:val="00AA18CA"/>
    <w:rsid w:val="00AA3BFA"/>
    <w:rsid w:val="00AA5A0A"/>
    <w:rsid w:val="00AA5E84"/>
    <w:rsid w:val="00AA725C"/>
    <w:rsid w:val="00AB3274"/>
    <w:rsid w:val="00AB7A0E"/>
    <w:rsid w:val="00AC0409"/>
    <w:rsid w:val="00AC0C60"/>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2758"/>
    <w:rsid w:val="00B02B5A"/>
    <w:rsid w:val="00B036CF"/>
    <w:rsid w:val="00B04B8A"/>
    <w:rsid w:val="00B04BFB"/>
    <w:rsid w:val="00B104AA"/>
    <w:rsid w:val="00B11872"/>
    <w:rsid w:val="00B13979"/>
    <w:rsid w:val="00B15E4F"/>
    <w:rsid w:val="00B2012B"/>
    <w:rsid w:val="00B20B29"/>
    <w:rsid w:val="00B20CB9"/>
    <w:rsid w:val="00B20D52"/>
    <w:rsid w:val="00B2167C"/>
    <w:rsid w:val="00B246D3"/>
    <w:rsid w:val="00B262C9"/>
    <w:rsid w:val="00B26A2C"/>
    <w:rsid w:val="00B30526"/>
    <w:rsid w:val="00B32FCD"/>
    <w:rsid w:val="00B34577"/>
    <w:rsid w:val="00B34E07"/>
    <w:rsid w:val="00B42D00"/>
    <w:rsid w:val="00B43464"/>
    <w:rsid w:val="00B45223"/>
    <w:rsid w:val="00B45C7D"/>
    <w:rsid w:val="00B461F3"/>
    <w:rsid w:val="00B50C36"/>
    <w:rsid w:val="00B51C5E"/>
    <w:rsid w:val="00B52083"/>
    <w:rsid w:val="00B52525"/>
    <w:rsid w:val="00B52B44"/>
    <w:rsid w:val="00B52D72"/>
    <w:rsid w:val="00B56BAC"/>
    <w:rsid w:val="00B571F4"/>
    <w:rsid w:val="00B64780"/>
    <w:rsid w:val="00B6494B"/>
    <w:rsid w:val="00B65E8E"/>
    <w:rsid w:val="00B67926"/>
    <w:rsid w:val="00B679FA"/>
    <w:rsid w:val="00B72B4C"/>
    <w:rsid w:val="00B75DE1"/>
    <w:rsid w:val="00B76EAC"/>
    <w:rsid w:val="00B81ECA"/>
    <w:rsid w:val="00B838D7"/>
    <w:rsid w:val="00B86A3E"/>
    <w:rsid w:val="00B9113C"/>
    <w:rsid w:val="00B91DE8"/>
    <w:rsid w:val="00B96111"/>
    <w:rsid w:val="00B975ED"/>
    <w:rsid w:val="00B979E2"/>
    <w:rsid w:val="00B97D1F"/>
    <w:rsid w:val="00B97E9D"/>
    <w:rsid w:val="00BA38E0"/>
    <w:rsid w:val="00BA619F"/>
    <w:rsid w:val="00BA7D43"/>
    <w:rsid w:val="00BB02EB"/>
    <w:rsid w:val="00BB0A6C"/>
    <w:rsid w:val="00BB2DBC"/>
    <w:rsid w:val="00BB4AC7"/>
    <w:rsid w:val="00BB4CD0"/>
    <w:rsid w:val="00BB61C1"/>
    <w:rsid w:val="00BB6B4A"/>
    <w:rsid w:val="00BB7E90"/>
    <w:rsid w:val="00BC03CC"/>
    <w:rsid w:val="00BC11D7"/>
    <w:rsid w:val="00BC1B9C"/>
    <w:rsid w:val="00BC2C14"/>
    <w:rsid w:val="00BC31EE"/>
    <w:rsid w:val="00BC3C19"/>
    <w:rsid w:val="00BC4B27"/>
    <w:rsid w:val="00BC5C23"/>
    <w:rsid w:val="00BD15BE"/>
    <w:rsid w:val="00BD3BF3"/>
    <w:rsid w:val="00BD41F5"/>
    <w:rsid w:val="00BD5316"/>
    <w:rsid w:val="00BD6613"/>
    <w:rsid w:val="00BD7E81"/>
    <w:rsid w:val="00BE41BE"/>
    <w:rsid w:val="00BE6F8C"/>
    <w:rsid w:val="00BE735F"/>
    <w:rsid w:val="00BF0B0F"/>
    <w:rsid w:val="00BF150A"/>
    <w:rsid w:val="00BF30A5"/>
    <w:rsid w:val="00BF3210"/>
    <w:rsid w:val="00BF3B09"/>
    <w:rsid w:val="00C03270"/>
    <w:rsid w:val="00C048FB"/>
    <w:rsid w:val="00C04CFA"/>
    <w:rsid w:val="00C076EF"/>
    <w:rsid w:val="00C16C84"/>
    <w:rsid w:val="00C21DB4"/>
    <w:rsid w:val="00C224CD"/>
    <w:rsid w:val="00C25539"/>
    <w:rsid w:val="00C25C2B"/>
    <w:rsid w:val="00C34D95"/>
    <w:rsid w:val="00C357EB"/>
    <w:rsid w:val="00C37015"/>
    <w:rsid w:val="00C40072"/>
    <w:rsid w:val="00C4213E"/>
    <w:rsid w:val="00C438D5"/>
    <w:rsid w:val="00C45741"/>
    <w:rsid w:val="00C472A3"/>
    <w:rsid w:val="00C50C4A"/>
    <w:rsid w:val="00C524B1"/>
    <w:rsid w:val="00C56B9D"/>
    <w:rsid w:val="00C60706"/>
    <w:rsid w:val="00C6464D"/>
    <w:rsid w:val="00C64FE6"/>
    <w:rsid w:val="00C72DBC"/>
    <w:rsid w:val="00C76B39"/>
    <w:rsid w:val="00C8194B"/>
    <w:rsid w:val="00C8510F"/>
    <w:rsid w:val="00C856C4"/>
    <w:rsid w:val="00C8634C"/>
    <w:rsid w:val="00C86F92"/>
    <w:rsid w:val="00C90072"/>
    <w:rsid w:val="00C9533B"/>
    <w:rsid w:val="00CB0748"/>
    <w:rsid w:val="00CB18BD"/>
    <w:rsid w:val="00CB232C"/>
    <w:rsid w:val="00CB2D79"/>
    <w:rsid w:val="00CB2E90"/>
    <w:rsid w:val="00CB4405"/>
    <w:rsid w:val="00CB4EF4"/>
    <w:rsid w:val="00CB5BD0"/>
    <w:rsid w:val="00CB63F6"/>
    <w:rsid w:val="00CC042F"/>
    <w:rsid w:val="00CC11D6"/>
    <w:rsid w:val="00CD2668"/>
    <w:rsid w:val="00CD2FAC"/>
    <w:rsid w:val="00CD495B"/>
    <w:rsid w:val="00CD7C0B"/>
    <w:rsid w:val="00CD7C6C"/>
    <w:rsid w:val="00CE3BDB"/>
    <w:rsid w:val="00CE4305"/>
    <w:rsid w:val="00CE44AB"/>
    <w:rsid w:val="00CE4BC6"/>
    <w:rsid w:val="00CE52BF"/>
    <w:rsid w:val="00CE70DB"/>
    <w:rsid w:val="00CF001E"/>
    <w:rsid w:val="00CF50D5"/>
    <w:rsid w:val="00CF5C9B"/>
    <w:rsid w:val="00CF6662"/>
    <w:rsid w:val="00D01058"/>
    <w:rsid w:val="00D01136"/>
    <w:rsid w:val="00D03474"/>
    <w:rsid w:val="00D03476"/>
    <w:rsid w:val="00D03C0F"/>
    <w:rsid w:val="00D06B71"/>
    <w:rsid w:val="00D105D9"/>
    <w:rsid w:val="00D11FB0"/>
    <w:rsid w:val="00D129B0"/>
    <w:rsid w:val="00D1756F"/>
    <w:rsid w:val="00D21893"/>
    <w:rsid w:val="00D23DB6"/>
    <w:rsid w:val="00D242FC"/>
    <w:rsid w:val="00D26400"/>
    <w:rsid w:val="00D264F9"/>
    <w:rsid w:val="00D35E6A"/>
    <w:rsid w:val="00D361F7"/>
    <w:rsid w:val="00D37A4D"/>
    <w:rsid w:val="00D37BDA"/>
    <w:rsid w:val="00D409F8"/>
    <w:rsid w:val="00D41D8D"/>
    <w:rsid w:val="00D51C08"/>
    <w:rsid w:val="00D51F3E"/>
    <w:rsid w:val="00D55D74"/>
    <w:rsid w:val="00D568D6"/>
    <w:rsid w:val="00D613B2"/>
    <w:rsid w:val="00D61D4F"/>
    <w:rsid w:val="00D62526"/>
    <w:rsid w:val="00D65B3B"/>
    <w:rsid w:val="00D6655A"/>
    <w:rsid w:val="00D7158D"/>
    <w:rsid w:val="00D73BEF"/>
    <w:rsid w:val="00D75DD7"/>
    <w:rsid w:val="00D8461E"/>
    <w:rsid w:val="00D848AF"/>
    <w:rsid w:val="00D84D41"/>
    <w:rsid w:val="00D85867"/>
    <w:rsid w:val="00D90438"/>
    <w:rsid w:val="00D90F7C"/>
    <w:rsid w:val="00D93BBB"/>
    <w:rsid w:val="00D9483F"/>
    <w:rsid w:val="00D9612C"/>
    <w:rsid w:val="00DA0DFD"/>
    <w:rsid w:val="00DA26D1"/>
    <w:rsid w:val="00DB18FC"/>
    <w:rsid w:val="00DB2769"/>
    <w:rsid w:val="00DB4762"/>
    <w:rsid w:val="00DB630A"/>
    <w:rsid w:val="00DB6473"/>
    <w:rsid w:val="00DC4AE1"/>
    <w:rsid w:val="00DC6B38"/>
    <w:rsid w:val="00DC767D"/>
    <w:rsid w:val="00DC7A15"/>
    <w:rsid w:val="00DD0CDD"/>
    <w:rsid w:val="00DD26EA"/>
    <w:rsid w:val="00DD35BB"/>
    <w:rsid w:val="00DD7198"/>
    <w:rsid w:val="00DE3B48"/>
    <w:rsid w:val="00DF0FF1"/>
    <w:rsid w:val="00DF1557"/>
    <w:rsid w:val="00DF7223"/>
    <w:rsid w:val="00DF749E"/>
    <w:rsid w:val="00DF7988"/>
    <w:rsid w:val="00E0112E"/>
    <w:rsid w:val="00E02056"/>
    <w:rsid w:val="00E037D5"/>
    <w:rsid w:val="00E07EB9"/>
    <w:rsid w:val="00E10A87"/>
    <w:rsid w:val="00E114BC"/>
    <w:rsid w:val="00E11D50"/>
    <w:rsid w:val="00E13609"/>
    <w:rsid w:val="00E14B3C"/>
    <w:rsid w:val="00E16067"/>
    <w:rsid w:val="00E212E3"/>
    <w:rsid w:val="00E227F4"/>
    <w:rsid w:val="00E23903"/>
    <w:rsid w:val="00E2575E"/>
    <w:rsid w:val="00E27DAA"/>
    <w:rsid w:val="00E27FDC"/>
    <w:rsid w:val="00E30E7D"/>
    <w:rsid w:val="00E31BA9"/>
    <w:rsid w:val="00E40872"/>
    <w:rsid w:val="00E41594"/>
    <w:rsid w:val="00E46A08"/>
    <w:rsid w:val="00E56FE8"/>
    <w:rsid w:val="00E57C5E"/>
    <w:rsid w:val="00E6057C"/>
    <w:rsid w:val="00E607A7"/>
    <w:rsid w:val="00E63BD1"/>
    <w:rsid w:val="00E6467D"/>
    <w:rsid w:val="00E66BCF"/>
    <w:rsid w:val="00E71342"/>
    <w:rsid w:val="00E728E4"/>
    <w:rsid w:val="00E75741"/>
    <w:rsid w:val="00E83DB2"/>
    <w:rsid w:val="00E85DAF"/>
    <w:rsid w:val="00E87864"/>
    <w:rsid w:val="00E9170D"/>
    <w:rsid w:val="00E9198A"/>
    <w:rsid w:val="00E931C1"/>
    <w:rsid w:val="00E93D73"/>
    <w:rsid w:val="00E94BFD"/>
    <w:rsid w:val="00E94E0E"/>
    <w:rsid w:val="00E97186"/>
    <w:rsid w:val="00E97F6C"/>
    <w:rsid w:val="00EA04D2"/>
    <w:rsid w:val="00EA68DB"/>
    <w:rsid w:val="00EB1A62"/>
    <w:rsid w:val="00EB7A4C"/>
    <w:rsid w:val="00EC2A66"/>
    <w:rsid w:val="00EC3672"/>
    <w:rsid w:val="00ED0960"/>
    <w:rsid w:val="00ED3782"/>
    <w:rsid w:val="00ED56C1"/>
    <w:rsid w:val="00EE1F49"/>
    <w:rsid w:val="00EE1F87"/>
    <w:rsid w:val="00EE3720"/>
    <w:rsid w:val="00EE3F92"/>
    <w:rsid w:val="00EE7634"/>
    <w:rsid w:val="00EF1FCF"/>
    <w:rsid w:val="00EF271D"/>
    <w:rsid w:val="00EF4228"/>
    <w:rsid w:val="00EF4DC8"/>
    <w:rsid w:val="00EF659E"/>
    <w:rsid w:val="00EF6A13"/>
    <w:rsid w:val="00F01751"/>
    <w:rsid w:val="00F02CF2"/>
    <w:rsid w:val="00F0385A"/>
    <w:rsid w:val="00F1070F"/>
    <w:rsid w:val="00F14992"/>
    <w:rsid w:val="00F14DE0"/>
    <w:rsid w:val="00F21D20"/>
    <w:rsid w:val="00F22674"/>
    <w:rsid w:val="00F22B78"/>
    <w:rsid w:val="00F244F9"/>
    <w:rsid w:val="00F25220"/>
    <w:rsid w:val="00F25320"/>
    <w:rsid w:val="00F26FA6"/>
    <w:rsid w:val="00F306D7"/>
    <w:rsid w:val="00F308B7"/>
    <w:rsid w:val="00F31CAB"/>
    <w:rsid w:val="00F32A46"/>
    <w:rsid w:val="00F37170"/>
    <w:rsid w:val="00F43040"/>
    <w:rsid w:val="00F44E00"/>
    <w:rsid w:val="00F44EC3"/>
    <w:rsid w:val="00F459DC"/>
    <w:rsid w:val="00F46B72"/>
    <w:rsid w:val="00F474AB"/>
    <w:rsid w:val="00F476F6"/>
    <w:rsid w:val="00F47A28"/>
    <w:rsid w:val="00F5050C"/>
    <w:rsid w:val="00F5134E"/>
    <w:rsid w:val="00F528DD"/>
    <w:rsid w:val="00F52A18"/>
    <w:rsid w:val="00F52C68"/>
    <w:rsid w:val="00F53CC6"/>
    <w:rsid w:val="00F564CD"/>
    <w:rsid w:val="00F61702"/>
    <w:rsid w:val="00F62E71"/>
    <w:rsid w:val="00F630C8"/>
    <w:rsid w:val="00F64C12"/>
    <w:rsid w:val="00F6552D"/>
    <w:rsid w:val="00F67278"/>
    <w:rsid w:val="00F710E9"/>
    <w:rsid w:val="00F733F0"/>
    <w:rsid w:val="00F76A72"/>
    <w:rsid w:val="00F77340"/>
    <w:rsid w:val="00F8042D"/>
    <w:rsid w:val="00F85256"/>
    <w:rsid w:val="00F87572"/>
    <w:rsid w:val="00F87CA2"/>
    <w:rsid w:val="00F91976"/>
    <w:rsid w:val="00F92C8D"/>
    <w:rsid w:val="00F931AD"/>
    <w:rsid w:val="00F9741A"/>
    <w:rsid w:val="00FA1F53"/>
    <w:rsid w:val="00FA2095"/>
    <w:rsid w:val="00FA244D"/>
    <w:rsid w:val="00FB1215"/>
    <w:rsid w:val="00FB4CB0"/>
    <w:rsid w:val="00FB6392"/>
    <w:rsid w:val="00FC39BA"/>
    <w:rsid w:val="00FC3DAC"/>
    <w:rsid w:val="00FD1428"/>
    <w:rsid w:val="00FD20C5"/>
    <w:rsid w:val="00FD2761"/>
    <w:rsid w:val="00FD37B5"/>
    <w:rsid w:val="00FD4568"/>
    <w:rsid w:val="00FD5B5E"/>
    <w:rsid w:val="00FD613E"/>
    <w:rsid w:val="00FD6F4D"/>
    <w:rsid w:val="00FE05A0"/>
    <w:rsid w:val="00FE3FCF"/>
    <w:rsid w:val="00FF2E19"/>
    <w:rsid w:val="00FF756F"/>
    <w:rsid w:val="01004208"/>
    <w:rsid w:val="0105563E"/>
    <w:rsid w:val="01660EB1"/>
    <w:rsid w:val="02861B0C"/>
    <w:rsid w:val="028D5242"/>
    <w:rsid w:val="02BB797D"/>
    <w:rsid w:val="02DC5F03"/>
    <w:rsid w:val="03543F74"/>
    <w:rsid w:val="03753073"/>
    <w:rsid w:val="03AB111A"/>
    <w:rsid w:val="05157939"/>
    <w:rsid w:val="0532605E"/>
    <w:rsid w:val="053937C4"/>
    <w:rsid w:val="059776C1"/>
    <w:rsid w:val="06451EAE"/>
    <w:rsid w:val="06A66D03"/>
    <w:rsid w:val="06E207D5"/>
    <w:rsid w:val="06E36AC7"/>
    <w:rsid w:val="076E09D3"/>
    <w:rsid w:val="07D259C1"/>
    <w:rsid w:val="08CF5B54"/>
    <w:rsid w:val="08EB7C19"/>
    <w:rsid w:val="08F07648"/>
    <w:rsid w:val="08FD3121"/>
    <w:rsid w:val="091541AB"/>
    <w:rsid w:val="094C7CE9"/>
    <w:rsid w:val="095357A5"/>
    <w:rsid w:val="096F7EF5"/>
    <w:rsid w:val="09CB3951"/>
    <w:rsid w:val="0A27392C"/>
    <w:rsid w:val="0A433600"/>
    <w:rsid w:val="0A7901D4"/>
    <w:rsid w:val="0AC56FEE"/>
    <w:rsid w:val="0BAB4DBC"/>
    <w:rsid w:val="0BC20206"/>
    <w:rsid w:val="0BC7310A"/>
    <w:rsid w:val="0BF17FBE"/>
    <w:rsid w:val="0C35729B"/>
    <w:rsid w:val="0C3B21A3"/>
    <w:rsid w:val="0CA42B7F"/>
    <w:rsid w:val="0CCC1102"/>
    <w:rsid w:val="0D045D96"/>
    <w:rsid w:val="0D3E3907"/>
    <w:rsid w:val="0DB93D80"/>
    <w:rsid w:val="0DDE57F3"/>
    <w:rsid w:val="0DEF28C5"/>
    <w:rsid w:val="0E682F87"/>
    <w:rsid w:val="0E980806"/>
    <w:rsid w:val="0EF41808"/>
    <w:rsid w:val="0F143B44"/>
    <w:rsid w:val="0F322BFA"/>
    <w:rsid w:val="0F514498"/>
    <w:rsid w:val="0F517A28"/>
    <w:rsid w:val="0F6C05BB"/>
    <w:rsid w:val="0F6F6296"/>
    <w:rsid w:val="0F8201C4"/>
    <w:rsid w:val="0FC76ED7"/>
    <w:rsid w:val="0FCE7CD9"/>
    <w:rsid w:val="108F6053"/>
    <w:rsid w:val="10B00069"/>
    <w:rsid w:val="10B51EBF"/>
    <w:rsid w:val="112272C7"/>
    <w:rsid w:val="1251405B"/>
    <w:rsid w:val="125D4096"/>
    <w:rsid w:val="138E2DD8"/>
    <w:rsid w:val="13DA490C"/>
    <w:rsid w:val="13E65AE1"/>
    <w:rsid w:val="13EC125F"/>
    <w:rsid w:val="1420445A"/>
    <w:rsid w:val="14274954"/>
    <w:rsid w:val="149E4F78"/>
    <w:rsid w:val="149E6B7D"/>
    <w:rsid w:val="14B12838"/>
    <w:rsid w:val="15C36C12"/>
    <w:rsid w:val="15ED7F93"/>
    <w:rsid w:val="160C4580"/>
    <w:rsid w:val="166D3E68"/>
    <w:rsid w:val="16842591"/>
    <w:rsid w:val="168F06D4"/>
    <w:rsid w:val="16D03D57"/>
    <w:rsid w:val="171A4CC5"/>
    <w:rsid w:val="177A2FFE"/>
    <w:rsid w:val="179130B8"/>
    <w:rsid w:val="18627F43"/>
    <w:rsid w:val="18735502"/>
    <w:rsid w:val="18BB17B5"/>
    <w:rsid w:val="18DF2F10"/>
    <w:rsid w:val="18E61226"/>
    <w:rsid w:val="19D12FFE"/>
    <w:rsid w:val="1A4061DB"/>
    <w:rsid w:val="1A493103"/>
    <w:rsid w:val="1A4A113D"/>
    <w:rsid w:val="1A644824"/>
    <w:rsid w:val="1AAD58A4"/>
    <w:rsid w:val="1AC266BB"/>
    <w:rsid w:val="1B282113"/>
    <w:rsid w:val="1B2E5C2E"/>
    <w:rsid w:val="1B4F04CA"/>
    <w:rsid w:val="1BCB2221"/>
    <w:rsid w:val="1C634A9D"/>
    <w:rsid w:val="1C7862F4"/>
    <w:rsid w:val="1C9570C0"/>
    <w:rsid w:val="1CF97C54"/>
    <w:rsid w:val="1D36112A"/>
    <w:rsid w:val="1D4B3F9A"/>
    <w:rsid w:val="1D9A03CC"/>
    <w:rsid w:val="1DFD47F9"/>
    <w:rsid w:val="1E2C6A3B"/>
    <w:rsid w:val="1E374D8E"/>
    <w:rsid w:val="1E4D7AEC"/>
    <w:rsid w:val="1E601E6C"/>
    <w:rsid w:val="1EBE49D0"/>
    <w:rsid w:val="1EDD437D"/>
    <w:rsid w:val="1EFA13B1"/>
    <w:rsid w:val="1F297D4A"/>
    <w:rsid w:val="1F4D51EE"/>
    <w:rsid w:val="1FDA675A"/>
    <w:rsid w:val="20781A0C"/>
    <w:rsid w:val="20D21291"/>
    <w:rsid w:val="210E39CB"/>
    <w:rsid w:val="212531E7"/>
    <w:rsid w:val="22294CE7"/>
    <w:rsid w:val="22401199"/>
    <w:rsid w:val="224335B4"/>
    <w:rsid w:val="2248694D"/>
    <w:rsid w:val="224A4A8F"/>
    <w:rsid w:val="225F6DFB"/>
    <w:rsid w:val="22DF3B0F"/>
    <w:rsid w:val="232D4857"/>
    <w:rsid w:val="235F3E51"/>
    <w:rsid w:val="23657E28"/>
    <w:rsid w:val="23B763DB"/>
    <w:rsid w:val="23F411F0"/>
    <w:rsid w:val="2462224C"/>
    <w:rsid w:val="249D2E85"/>
    <w:rsid w:val="24BD6A60"/>
    <w:rsid w:val="24E05454"/>
    <w:rsid w:val="251534E8"/>
    <w:rsid w:val="253106E5"/>
    <w:rsid w:val="25BA630A"/>
    <w:rsid w:val="26943919"/>
    <w:rsid w:val="26CA2142"/>
    <w:rsid w:val="26DD12C8"/>
    <w:rsid w:val="26E35D4F"/>
    <w:rsid w:val="277C70EC"/>
    <w:rsid w:val="27850B16"/>
    <w:rsid w:val="289F5EB3"/>
    <w:rsid w:val="291207B0"/>
    <w:rsid w:val="292A4F80"/>
    <w:rsid w:val="293963B9"/>
    <w:rsid w:val="295F248B"/>
    <w:rsid w:val="29AD328A"/>
    <w:rsid w:val="29E10377"/>
    <w:rsid w:val="29E8633C"/>
    <w:rsid w:val="2A967C31"/>
    <w:rsid w:val="2AE34119"/>
    <w:rsid w:val="2AF36513"/>
    <w:rsid w:val="2B9B0C30"/>
    <w:rsid w:val="2BBC70D2"/>
    <w:rsid w:val="2C403807"/>
    <w:rsid w:val="2CC23EB6"/>
    <w:rsid w:val="2CF4368B"/>
    <w:rsid w:val="2D1D3553"/>
    <w:rsid w:val="2E6E0A4A"/>
    <w:rsid w:val="2E9A4C9C"/>
    <w:rsid w:val="2F115DBA"/>
    <w:rsid w:val="2F2D21EA"/>
    <w:rsid w:val="2F7E3689"/>
    <w:rsid w:val="2FAF41C4"/>
    <w:rsid w:val="2FC845BE"/>
    <w:rsid w:val="2FCD4927"/>
    <w:rsid w:val="2FEA3BAA"/>
    <w:rsid w:val="308746EE"/>
    <w:rsid w:val="308B17C0"/>
    <w:rsid w:val="30BB44D0"/>
    <w:rsid w:val="312F371F"/>
    <w:rsid w:val="314F40A5"/>
    <w:rsid w:val="31822F01"/>
    <w:rsid w:val="31B163D9"/>
    <w:rsid w:val="321629BF"/>
    <w:rsid w:val="322628D7"/>
    <w:rsid w:val="32734030"/>
    <w:rsid w:val="332D3D47"/>
    <w:rsid w:val="33A94B49"/>
    <w:rsid w:val="34521329"/>
    <w:rsid w:val="348F2A06"/>
    <w:rsid w:val="34DA198E"/>
    <w:rsid w:val="34E96E67"/>
    <w:rsid w:val="35127835"/>
    <w:rsid w:val="3519787A"/>
    <w:rsid w:val="35472882"/>
    <w:rsid w:val="35713AAF"/>
    <w:rsid w:val="3592533A"/>
    <w:rsid w:val="35C040D0"/>
    <w:rsid w:val="35F679EF"/>
    <w:rsid w:val="363B521F"/>
    <w:rsid w:val="364D300E"/>
    <w:rsid w:val="36C95F72"/>
    <w:rsid w:val="378E381F"/>
    <w:rsid w:val="37E45A19"/>
    <w:rsid w:val="37F45CB2"/>
    <w:rsid w:val="38BD571A"/>
    <w:rsid w:val="38D52A0E"/>
    <w:rsid w:val="38DB5E5F"/>
    <w:rsid w:val="390A1345"/>
    <w:rsid w:val="393022D9"/>
    <w:rsid w:val="393F4B86"/>
    <w:rsid w:val="39435B28"/>
    <w:rsid w:val="399D7F48"/>
    <w:rsid w:val="39A403E9"/>
    <w:rsid w:val="39AA4754"/>
    <w:rsid w:val="3A270A22"/>
    <w:rsid w:val="3AA139CA"/>
    <w:rsid w:val="3ABA5ECC"/>
    <w:rsid w:val="3AE33738"/>
    <w:rsid w:val="3AE47B5E"/>
    <w:rsid w:val="3AEA289B"/>
    <w:rsid w:val="3AF10BCA"/>
    <w:rsid w:val="3B3C75BE"/>
    <w:rsid w:val="3B733218"/>
    <w:rsid w:val="3B7D1652"/>
    <w:rsid w:val="3BC25B82"/>
    <w:rsid w:val="3BDC1F8B"/>
    <w:rsid w:val="3BFA712F"/>
    <w:rsid w:val="3C233C2A"/>
    <w:rsid w:val="3C530D5F"/>
    <w:rsid w:val="3C543D32"/>
    <w:rsid w:val="3C62510C"/>
    <w:rsid w:val="3C674354"/>
    <w:rsid w:val="3C91135F"/>
    <w:rsid w:val="3D5C1616"/>
    <w:rsid w:val="3DDB0D2D"/>
    <w:rsid w:val="3DFD2A57"/>
    <w:rsid w:val="3E451672"/>
    <w:rsid w:val="3E730549"/>
    <w:rsid w:val="3EA37A83"/>
    <w:rsid w:val="3EC846FA"/>
    <w:rsid w:val="3ECF3D12"/>
    <w:rsid w:val="3EF25E18"/>
    <w:rsid w:val="3EFB519C"/>
    <w:rsid w:val="3F00638C"/>
    <w:rsid w:val="3F245068"/>
    <w:rsid w:val="3F246AD0"/>
    <w:rsid w:val="3F311950"/>
    <w:rsid w:val="3F8577E8"/>
    <w:rsid w:val="3F8703E1"/>
    <w:rsid w:val="3FBC0698"/>
    <w:rsid w:val="3FBF22A2"/>
    <w:rsid w:val="3FD81F58"/>
    <w:rsid w:val="408D64DB"/>
    <w:rsid w:val="40AB49CF"/>
    <w:rsid w:val="40C21195"/>
    <w:rsid w:val="40FB1DB7"/>
    <w:rsid w:val="410F3B27"/>
    <w:rsid w:val="41275591"/>
    <w:rsid w:val="4151112B"/>
    <w:rsid w:val="424B2899"/>
    <w:rsid w:val="42A902E4"/>
    <w:rsid w:val="42CC50F0"/>
    <w:rsid w:val="43554BAE"/>
    <w:rsid w:val="437A2EED"/>
    <w:rsid w:val="43941EE3"/>
    <w:rsid w:val="43A65DCA"/>
    <w:rsid w:val="43BC3A37"/>
    <w:rsid w:val="43D75398"/>
    <w:rsid w:val="440A1234"/>
    <w:rsid w:val="4412168D"/>
    <w:rsid w:val="44124F46"/>
    <w:rsid w:val="44204017"/>
    <w:rsid w:val="443601F6"/>
    <w:rsid w:val="444405A7"/>
    <w:rsid w:val="445B4D2F"/>
    <w:rsid w:val="453B0D65"/>
    <w:rsid w:val="457004BA"/>
    <w:rsid w:val="45877835"/>
    <w:rsid w:val="45E2425F"/>
    <w:rsid w:val="46126C9D"/>
    <w:rsid w:val="46144FFA"/>
    <w:rsid w:val="46174CEB"/>
    <w:rsid w:val="464C62A2"/>
    <w:rsid w:val="46676628"/>
    <w:rsid w:val="46E018CF"/>
    <w:rsid w:val="47A77565"/>
    <w:rsid w:val="47BB4BF1"/>
    <w:rsid w:val="48063762"/>
    <w:rsid w:val="48082673"/>
    <w:rsid w:val="487B0414"/>
    <w:rsid w:val="48A42FA8"/>
    <w:rsid w:val="48AC5737"/>
    <w:rsid w:val="48C274C4"/>
    <w:rsid w:val="48CF240A"/>
    <w:rsid w:val="48D12258"/>
    <w:rsid w:val="48DE668E"/>
    <w:rsid w:val="49157B84"/>
    <w:rsid w:val="49237F90"/>
    <w:rsid w:val="494227E3"/>
    <w:rsid w:val="494C1A2D"/>
    <w:rsid w:val="494E0559"/>
    <w:rsid w:val="495626E1"/>
    <w:rsid w:val="49657C09"/>
    <w:rsid w:val="49A045EF"/>
    <w:rsid w:val="49A93965"/>
    <w:rsid w:val="49B40176"/>
    <w:rsid w:val="49CA4A7D"/>
    <w:rsid w:val="49ED3DB4"/>
    <w:rsid w:val="4A9502A9"/>
    <w:rsid w:val="4AF27B8B"/>
    <w:rsid w:val="4AFD5D93"/>
    <w:rsid w:val="4B806C26"/>
    <w:rsid w:val="4B8850AE"/>
    <w:rsid w:val="4BCC3487"/>
    <w:rsid w:val="4C24089E"/>
    <w:rsid w:val="4C4F0DF4"/>
    <w:rsid w:val="4C953FFB"/>
    <w:rsid w:val="4CAF448B"/>
    <w:rsid w:val="4CC6796C"/>
    <w:rsid w:val="4CD74669"/>
    <w:rsid w:val="4CD963E6"/>
    <w:rsid w:val="4D984FB3"/>
    <w:rsid w:val="4DA05B5A"/>
    <w:rsid w:val="4DC11DAD"/>
    <w:rsid w:val="4DCB115A"/>
    <w:rsid w:val="4DE9076B"/>
    <w:rsid w:val="4E1A2E41"/>
    <w:rsid w:val="4E3E0BC8"/>
    <w:rsid w:val="4E8E7199"/>
    <w:rsid w:val="4EA72F10"/>
    <w:rsid w:val="4EC50832"/>
    <w:rsid w:val="4EDE5430"/>
    <w:rsid w:val="4F9B409F"/>
    <w:rsid w:val="50A50D04"/>
    <w:rsid w:val="51042664"/>
    <w:rsid w:val="51CA1F0C"/>
    <w:rsid w:val="52043308"/>
    <w:rsid w:val="526B2674"/>
    <w:rsid w:val="5274708C"/>
    <w:rsid w:val="52DF7C67"/>
    <w:rsid w:val="53545288"/>
    <w:rsid w:val="53583134"/>
    <w:rsid w:val="536C7F5A"/>
    <w:rsid w:val="53E26050"/>
    <w:rsid w:val="53F17240"/>
    <w:rsid w:val="542C53B5"/>
    <w:rsid w:val="54430E72"/>
    <w:rsid w:val="545E2F15"/>
    <w:rsid w:val="54D96B39"/>
    <w:rsid w:val="55686A85"/>
    <w:rsid w:val="55F343E4"/>
    <w:rsid w:val="56114DE8"/>
    <w:rsid w:val="564C2618"/>
    <w:rsid w:val="56602E00"/>
    <w:rsid w:val="569B4CED"/>
    <w:rsid w:val="56B50CDD"/>
    <w:rsid w:val="56CB541B"/>
    <w:rsid w:val="56E62F89"/>
    <w:rsid w:val="57437C8E"/>
    <w:rsid w:val="5754271D"/>
    <w:rsid w:val="57993B3E"/>
    <w:rsid w:val="57D17B8D"/>
    <w:rsid w:val="583E3B56"/>
    <w:rsid w:val="58AB2B23"/>
    <w:rsid w:val="58E80D65"/>
    <w:rsid w:val="59085B46"/>
    <w:rsid w:val="59B944F9"/>
    <w:rsid w:val="59DD3318"/>
    <w:rsid w:val="59E94DB3"/>
    <w:rsid w:val="5AFF2164"/>
    <w:rsid w:val="5B390E16"/>
    <w:rsid w:val="5BC673AD"/>
    <w:rsid w:val="5BE41120"/>
    <w:rsid w:val="5BEF34D6"/>
    <w:rsid w:val="5C136608"/>
    <w:rsid w:val="5C656D4D"/>
    <w:rsid w:val="5CFA165B"/>
    <w:rsid w:val="5D1B06D8"/>
    <w:rsid w:val="5D8E51B0"/>
    <w:rsid w:val="5D90629C"/>
    <w:rsid w:val="5DF6189D"/>
    <w:rsid w:val="5E166940"/>
    <w:rsid w:val="5E16776B"/>
    <w:rsid w:val="5E734C2C"/>
    <w:rsid w:val="5E853A94"/>
    <w:rsid w:val="5F4517B2"/>
    <w:rsid w:val="5FF3771A"/>
    <w:rsid w:val="60123B50"/>
    <w:rsid w:val="608E4D0B"/>
    <w:rsid w:val="60E13062"/>
    <w:rsid w:val="614C24AB"/>
    <w:rsid w:val="616865E2"/>
    <w:rsid w:val="618302E2"/>
    <w:rsid w:val="618B514B"/>
    <w:rsid w:val="61BB16A3"/>
    <w:rsid w:val="61E17A55"/>
    <w:rsid w:val="61E52F5F"/>
    <w:rsid w:val="626C3C33"/>
    <w:rsid w:val="626F3780"/>
    <w:rsid w:val="62727D26"/>
    <w:rsid w:val="629D0535"/>
    <w:rsid w:val="63B960ED"/>
    <w:rsid w:val="640D75D3"/>
    <w:rsid w:val="65992319"/>
    <w:rsid w:val="65A23ABB"/>
    <w:rsid w:val="65D04ACA"/>
    <w:rsid w:val="66171859"/>
    <w:rsid w:val="6623183C"/>
    <w:rsid w:val="666C68BB"/>
    <w:rsid w:val="666D4E68"/>
    <w:rsid w:val="667402BE"/>
    <w:rsid w:val="66A0618F"/>
    <w:rsid w:val="66B16F07"/>
    <w:rsid w:val="66B835D6"/>
    <w:rsid w:val="66F433E7"/>
    <w:rsid w:val="678376B0"/>
    <w:rsid w:val="67977944"/>
    <w:rsid w:val="67A00EAD"/>
    <w:rsid w:val="67B74C0D"/>
    <w:rsid w:val="67C95694"/>
    <w:rsid w:val="67F07F7F"/>
    <w:rsid w:val="67F8466E"/>
    <w:rsid w:val="68177368"/>
    <w:rsid w:val="682A3BEB"/>
    <w:rsid w:val="682E45B2"/>
    <w:rsid w:val="68721341"/>
    <w:rsid w:val="687F517C"/>
    <w:rsid w:val="691F5D6A"/>
    <w:rsid w:val="694C1179"/>
    <w:rsid w:val="6A1306E7"/>
    <w:rsid w:val="6B1D1E15"/>
    <w:rsid w:val="6B4571BF"/>
    <w:rsid w:val="6B920AC6"/>
    <w:rsid w:val="6DA5789A"/>
    <w:rsid w:val="6DBA1937"/>
    <w:rsid w:val="6DEB3EBA"/>
    <w:rsid w:val="6DF16B52"/>
    <w:rsid w:val="6E1F70B5"/>
    <w:rsid w:val="6E5A19A0"/>
    <w:rsid w:val="6EA64277"/>
    <w:rsid w:val="6F7B1F59"/>
    <w:rsid w:val="6F876A52"/>
    <w:rsid w:val="6FE6276D"/>
    <w:rsid w:val="701A2417"/>
    <w:rsid w:val="702B6EF6"/>
    <w:rsid w:val="70467A87"/>
    <w:rsid w:val="704A2447"/>
    <w:rsid w:val="7075356A"/>
    <w:rsid w:val="707A1AB0"/>
    <w:rsid w:val="713A6339"/>
    <w:rsid w:val="719A7818"/>
    <w:rsid w:val="71DE224F"/>
    <w:rsid w:val="721F17F6"/>
    <w:rsid w:val="72331F4D"/>
    <w:rsid w:val="723F25A9"/>
    <w:rsid w:val="72AF2DAB"/>
    <w:rsid w:val="72FC57DE"/>
    <w:rsid w:val="738C198E"/>
    <w:rsid w:val="743211B6"/>
    <w:rsid w:val="74FD3642"/>
    <w:rsid w:val="753473DB"/>
    <w:rsid w:val="758D7F84"/>
    <w:rsid w:val="764F12E9"/>
    <w:rsid w:val="76A271DF"/>
    <w:rsid w:val="76A74195"/>
    <w:rsid w:val="76B66E2A"/>
    <w:rsid w:val="76EF624B"/>
    <w:rsid w:val="77240625"/>
    <w:rsid w:val="774A3C5E"/>
    <w:rsid w:val="778F7F87"/>
    <w:rsid w:val="77A7253E"/>
    <w:rsid w:val="77DD49A4"/>
    <w:rsid w:val="784A4C0C"/>
    <w:rsid w:val="78F67793"/>
    <w:rsid w:val="78FF493C"/>
    <w:rsid w:val="7910787C"/>
    <w:rsid w:val="791C3BC8"/>
    <w:rsid w:val="7A4E77C5"/>
    <w:rsid w:val="7A5377E7"/>
    <w:rsid w:val="7A660ED6"/>
    <w:rsid w:val="7A99564E"/>
    <w:rsid w:val="7AC247D7"/>
    <w:rsid w:val="7AC62322"/>
    <w:rsid w:val="7B1E0027"/>
    <w:rsid w:val="7B876FA2"/>
    <w:rsid w:val="7B8C281B"/>
    <w:rsid w:val="7B95712A"/>
    <w:rsid w:val="7BFB703F"/>
    <w:rsid w:val="7C222A95"/>
    <w:rsid w:val="7C375660"/>
    <w:rsid w:val="7C43544C"/>
    <w:rsid w:val="7C4B0DA9"/>
    <w:rsid w:val="7C760B32"/>
    <w:rsid w:val="7D5451FE"/>
    <w:rsid w:val="7D9C4990"/>
    <w:rsid w:val="7DAF07AE"/>
    <w:rsid w:val="7DC36F3B"/>
    <w:rsid w:val="7E8B4299"/>
    <w:rsid w:val="7EE50E92"/>
    <w:rsid w:val="7FCD49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36"/>
    <w:unhideWhenUsed/>
    <w:qFormat/>
    <w:uiPriority w:val="99"/>
    <w:pPr>
      <w:jc w:val="left"/>
    </w:pPr>
  </w:style>
  <w:style w:type="paragraph" w:styleId="3">
    <w:name w:val="Body Text"/>
    <w:basedOn w:val="1"/>
    <w:next w:val="1"/>
    <w:unhideWhenUsed/>
    <w:qFormat/>
    <w:uiPriority w:val="99"/>
    <w:pPr>
      <w:spacing w:after="120" w:afterLines="0" w:afterAutospacing="0"/>
    </w:pPr>
  </w:style>
  <w:style w:type="paragraph" w:styleId="4">
    <w:name w:val="Balloon Text"/>
    <w:basedOn w:val="1"/>
    <w:link w:val="38"/>
    <w:unhideWhenUsed/>
    <w:qFormat/>
    <w:uiPriority w:val="99"/>
    <w:rPr>
      <w:sz w:val="18"/>
      <w:szCs w:val="18"/>
    </w:rPr>
  </w:style>
  <w:style w:type="paragraph" w:styleId="5">
    <w:name w:val="footer"/>
    <w:basedOn w:val="1"/>
    <w:link w:val="35"/>
    <w:unhideWhenUsed/>
    <w:qFormat/>
    <w:uiPriority w:val="99"/>
    <w:pPr>
      <w:tabs>
        <w:tab w:val="center" w:pos="4153"/>
        <w:tab w:val="right" w:pos="8306"/>
      </w:tabs>
      <w:snapToGrid w:val="0"/>
      <w:jc w:val="left"/>
    </w:pPr>
    <w:rPr>
      <w:sz w:val="18"/>
      <w:szCs w:val="18"/>
    </w:rPr>
  </w:style>
  <w:style w:type="paragraph" w:styleId="6">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Lines="0" w:beforeAutospacing="1" w:after="100" w:afterLines="0" w:afterAutospacing="1"/>
      <w:jc w:val="left"/>
    </w:pPr>
    <w:rPr>
      <w:rFonts w:ascii="宋体" w:hAnsi="宋体"/>
      <w:kern w:val="0"/>
      <w:sz w:val="24"/>
    </w:rPr>
  </w:style>
  <w:style w:type="paragraph" w:styleId="8">
    <w:name w:val="annotation subject"/>
    <w:basedOn w:val="2"/>
    <w:next w:val="2"/>
    <w:link w:val="37"/>
    <w:unhideWhenUsed/>
    <w:qFormat/>
    <w:uiPriority w:val="99"/>
    <w:rPr>
      <w:b/>
      <w:bCs/>
    </w:rPr>
  </w:style>
  <w:style w:type="character" w:styleId="11">
    <w:name w:val="annotation reference"/>
    <w:basedOn w:val="10"/>
    <w:unhideWhenUsed/>
    <w:qFormat/>
    <w:uiPriority w:val="99"/>
    <w:rPr>
      <w:sz w:val="21"/>
      <w:szCs w:val="21"/>
    </w:rPr>
  </w:style>
  <w:style w:type="paragraph" w:customStyle="1" w:styleId="12">
    <w:name w:val="※封面大标题"/>
    <w:basedOn w:val="1"/>
    <w:next w:val="1"/>
    <w:qFormat/>
    <w:uiPriority w:val="0"/>
    <w:pPr>
      <w:widowControl/>
      <w:jc w:val="center"/>
    </w:pPr>
    <w:rPr>
      <w:rFonts w:ascii="华文中宋" w:hAnsi="华文中宋" w:eastAsia="华文中宋"/>
      <w:sz w:val="96"/>
      <w:szCs w:val="96"/>
    </w:rPr>
  </w:style>
  <w:style w:type="paragraph" w:customStyle="1" w:styleId="13">
    <w:name w:val="※封面题颌"/>
    <w:basedOn w:val="1"/>
    <w:next w:val="1"/>
    <w:qFormat/>
    <w:uiPriority w:val="0"/>
    <w:pPr>
      <w:widowControl/>
      <w:jc w:val="center"/>
    </w:pPr>
    <w:rPr>
      <w:rFonts w:ascii="Calibri Light" w:hAnsi="Calibri Light" w:eastAsia="华文仿宋"/>
      <w:sz w:val="36"/>
      <w:szCs w:val="36"/>
    </w:rPr>
  </w:style>
  <w:style w:type="paragraph" w:customStyle="1" w:styleId="14">
    <w:name w:val="※封面题眉"/>
    <w:basedOn w:val="1"/>
    <w:next w:val="12"/>
    <w:qFormat/>
    <w:uiPriority w:val="0"/>
    <w:pPr>
      <w:widowControl/>
      <w:jc w:val="center"/>
    </w:pPr>
    <w:rPr>
      <w:rFonts w:ascii="华文仿宋" w:hAnsi="华文仿宋" w:eastAsia="华文仿宋"/>
      <w:sz w:val="52"/>
      <w:szCs w:val="28"/>
    </w:rPr>
  </w:style>
  <w:style w:type="paragraph" w:customStyle="1" w:styleId="15">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16">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17">
    <w:name w:val="※目录（主）"/>
    <w:basedOn w:val="1"/>
    <w:qFormat/>
    <w:uiPriority w:val="0"/>
    <w:pPr>
      <w:widowControl/>
      <w:tabs>
        <w:tab w:val="right" w:leader="hyphen" w:pos="8400"/>
      </w:tabs>
      <w:spacing w:after="100"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18">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19">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20">
    <w:name w:val="※小标题 一"/>
    <w:basedOn w:val="19"/>
    <w:next w:val="19"/>
    <w:qFormat/>
    <w:uiPriority w:val="0"/>
    <w:pPr>
      <w:spacing w:before="120" w:line="240" w:lineRule="auto"/>
      <w:outlineLvl w:val="2"/>
    </w:pPr>
    <w:rPr>
      <w:b/>
      <w:color w:val="203864" w:themeColor="accent5" w:themeShade="80"/>
      <w:sz w:val="32"/>
    </w:rPr>
  </w:style>
  <w:style w:type="paragraph" w:customStyle="1" w:styleId="21">
    <w:name w:val="※小标题（1）"/>
    <w:basedOn w:val="1"/>
    <w:next w:val="19"/>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22">
    <w:name w:val="※小标题（一）"/>
    <w:basedOn w:val="1"/>
    <w:next w:val="19"/>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23">
    <w:name w:val="※页脚（横屏）"/>
    <w:basedOn w:val="1"/>
    <w:qFormat/>
    <w:uiPriority w:val="0"/>
    <w:pPr>
      <w:widowControl/>
      <w:tabs>
        <w:tab w:val="center" w:pos="7000"/>
      </w:tabs>
      <w:wordWrap w:val="0"/>
      <w:spacing w:line="240" w:lineRule="atLeast"/>
      <w:jc w:val="left"/>
    </w:pPr>
    <w:rPr>
      <w:rFonts w:ascii="宋体" w:hAnsi="宋体"/>
      <w:sz w:val="18"/>
      <w:szCs w:val="18"/>
    </w:rPr>
  </w:style>
  <w:style w:type="paragraph" w:customStyle="1" w:styleId="24">
    <w:name w:val="※页脚（竖屏）"/>
    <w:basedOn w:val="1"/>
    <w:qFormat/>
    <w:uiPriority w:val="0"/>
    <w:pPr>
      <w:widowControl/>
      <w:tabs>
        <w:tab w:val="center" w:pos="4536"/>
      </w:tabs>
      <w:wordWrap w:val="0"/>
      <w:spacing w:line="240" w:lineRule="atLeast"/>
      <w:jc w:val="left"/>
    </w:pPr>
    <w:rPr>
      <w:rFonts w:ascii="宋体" w:hAnsi="宋体"/>
      <w:sz w:val="18"/>
      <w:szCs w:val="18"/>
    </w:rPr>
  </w:style>
  <w:style w:type="paragraph" w:customStyle="1" w:styleId="25">
    <w:name w:val="※页眉"/>
    <w:basedOn w:val="19"/>
    <w:qFormat/>
    <w:uiPriority w:val="0"/>
    <w:pPr>
      <w:pBdr>
        <w:bottom w:val="single" w:color="auto" w:sz="4" w:space="1"/>
      </w:pBdr>
      <w:spacing w:line="240" w:lineRule="atLeast"/>
      <w:jc w:val="right"/>
    </w:pPr>
    <w:rPr>
      <w:rFonts w:ascii="宋体" w:hAnsi="宋体" w:eastAsia="宋体"/>
      <w:sz w:val="18"/>
    </w:rPr>
  </w:style>
  <w:style w:type="paragraph" w:customStyle="1" w:styleId="26">
    <w:name w:val="※章节标题（第X章）"/>
    <w:basedOn w:val="1"/>
    <w:qFormat/>
    <w:uiPriority w:val="0"/>
    <w:pPr>
      <w:widowControl/>
      <w:jc w:val="center"/>
      <w:outlineLvl w:val="0"/>
    </w:pPr>
    <w:rPr>
      <w:rFonts w:ascii="Calibri Light" w:hAnsi="Calibri Light" w:eastAsia="黑体"/>
      <w:sz w:val="36"/>
      <w:szCs w:val="28"/>
    </w:rPr>
  </w:style>
  <w:style w:type="paragraph" w:customStyle="1" w:styleId="27">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28">
    <w:name w:val="※章节标题（第Z部分分项）"/>
    <w:basedOn w:val="27"/>
    <w:qFormat/>
    <w:uiPriority w:val="0"/>
    <w:pPr>
      <w:outlineLvl w:val="2"/>
    </w:pPr>
  </w:style>
  <w:style w:type="paragraph" w:customStyle="1" w:styleId="29">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30">
    <w:name w:val="※正文（缩进2）"/>
    <w:basedOn w:val="19"/>
    <w:qFormat/>
    <w:uiPriority w:val="0"/>
    <w:pPr>
      <w:ind w:firstLine="200" w:firstLineChars="200"/>
    </w:pPr>
  </w:style>
  <w:style w:type="paragraph" w:customStyle="1" w:styleId="31">
    <w:name w:val="※正文（缩进4）"/>
    <w:basedOn w:val="19"/>
    <w:qFormat/>
    <w:uiPriority w:val="0"/>
    <w:pPr>
      <w:ind w:firstLine="400" w:firstLineChars="400"/>
    </w:pPr>
  </w:style>
  <w:style w:type="paragraph" w:customStyle="1" w:styleId="32">
    <w:name w:val="样式"/>
    <w:link w:val="33"/>
    <w:qFormat/>
    <w:uiPriority w:val="0"/>
    <w:pPr>
      <w:widowControl w:val="0"/>
      <w:autoSpaceDE w:val="0"/>
      <w:autoSpaceDN w:val="0"/>
      <w:adjustRightInd w:val="0"/>
    </w:pPr>
    <w:rPr>
      <w:rFonts w:ascii="宋体" w:hAnsi="宋体" w:eastAsia="宋体" w:cs="宋体"/>
      <w:kern w:val="0"/>
      <w:sz w:val="24"/>
      <w:szCs w:val="24"/>
      <w:lang w:val="en-US" w:eastAsia="zh-CN" w:bidi="ar-SA"/>
    </w:rPr>
  </w:style>
  <w:style w:type="character" w:customStyle="1" w:styleId="33">
    <w:name w:val="样式 Char Char"/>
    <w:link w:val="32"/>
    <w:qFormat/>
    <w:locked/>
    <w:uiPriority w:val="0"/>
    <w:rPr>
      <w:rFonts w:ascii="宋体" w:hAnsi="宋体" w:eastAsia="宋体" w:cs="宋体"/>
      <w:kern w:val="0"/>
      <w:sz w:val="24"/>
      <w:szCs w:val="24"/>
    </w:rPr>
  </w:style>
  <w:style w:type="character" w:customStyle="1" w:styleId="34">
    <w:name w:val="页眉 Char"/>
    <w:basedOn w:val="10"/>
    <w:link w:val="6"/>
    <w:qFormat/>
    <w:uiPriority w:val="99"/>
    <w:rPr>
      <w:rFonts w:ascii="Calibri" w:hAnsi="Calibri" w:eastAsia="宋体" w:cs="Times New Roman"/>
      <w:sz w:val="18"/>
      <w:szCs w:val="18"/>
    </w:rPr>
  </w:style>
  <w:style w:type="character" w:customStyle="1" w:styleId="35">
    <w:name w:val="页脚 Char"/>
    <w:basedOn w:val="10"/>
    <w:link w:val="5"/>
    <w:qFormat/>
    <w:uiPriority w:val="99"/>
    <w:rPr>
      <w:rFonts w:ascii="Calibri" w:hAnsi="Calibri" w:eastAsia="宋体" w:cs="Times New Roman"/>
      <w:sz w:val="18"/>
      <w:szCs w:val="18"/>
    </w:rPr>
  </w:style>
  <w:style w:type="character" w:customStyle="1" w:styleId="36">
    <w:name w:val="批注文字 Char"/>
    <w:basedOn w:val="10"/>
    <w:link w:val="2"/>
    <w:semiHidden/>
    <w:qFormat/>
    <w:uiPriority w:val="99"/>
    <w:rPr>
      <w:rFonts w:ascii="Calibri" w:hAnsi="Calibri" w:eastAsia="宋体" w:cs="Times New Roman"/>
    </w:rPr>
  </w:style>
  <w:style w:type="character" w:customStyle="1" w:styleId="37">
    <w:name w:val="批注主题 Char"/>
    <w:basedOn w:val="36"/>
    <w:link w:val="8"/>
    <w:semiHidden/>
    <w:qFormat/>
    <w:uiPriority w:val="99"/>
    <w:rPr>
      <w:rFonts w:ascii="Calibri" w:hAnsi="Calibri" w:eastAsia="宋体" w:cs="Times New Roman"/>
      <w:b/>
      <w:bCs/>
    </w:rPr>
  </w:style>
  <w:style w:type="character" w:customStyle="1" w:styleId="38">
    <w:name w:val="批注框文本 Char"/>
    <w:basedOn w:val="10"/>
    <w:link w:val="4"/>
    <w:semiHidden/>
    <w:qFormat/>
    <w:uiPriority w:val="99"/>
    <w:rPr>
      <w:rFonts w:ascii="Calibri" w:hAnsi="Calibri" w:eastAsia="宋体" w:cs="Times New Roman"/>
      <w:sz w:val="18"/>
      <w:szCs w:val="18"/>
    </w:rPr>
  </w:style>
  <w:style w:type="paragraph" w:customStyle="1" w:styleId="3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9</Pages>
  <Words>5718</Words>
  <Characters>5936</Characters>
  <Lines>21</Lines>
  <Paragraphs>6</Paragraphs>
  <TotalTime>1</TotalTime>
  <ScaleCrop>false</ScaleCrop>
  <LinksUpToDate>false</LinksUpToDate>
  <CharactersWithSpaces>5990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2021-03-19T04:39:00Z</dcterms:created>
  <dc:creator>lenovo</dc:creator>
  <cp:lastModifiedBy>怯</cp:lastModifiedBy>
  <cp:lastPrinted>2026-05-29T08:37:00Z</cp:lastPrinted>
  <dcterms:modified xsi:type="dcterms:W3CDTF">2026-06-08T10:21:20Z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D7F5010324B546FA82C20A79212C7B7E_12</vt:lpwstr>
  </property>
  <property fmtid="{D5CDD505-2E9C-101B-9397-08002B2CF9AE}" pid="4" name="KSOTemplateDocerSaveRecord">
    <vt:lpwstr>eyJoZGlkIjoiYWFiMWNmZGQxNzE1YzljMTVhOGQwMTljYzg3YzY2ZGEiLCJ1c2VySWQiOiIyOTQ2NTA5ODcifQ==</vt:lpwstr>
  </property>
</Properties>
</file>