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版本号：SXRK-2026-1220260713001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汉台区宗营九年制学校北区教学楼、南区综合楼加固提升项目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SXRK-2026-12</w:t>
      </w:r>
      <w:r>
        <w:br/>
      </w:r>
      <w:r>
        <w:br/>
      </w:r>
      <w:r>
        <w:br/>
      </w:r>
    </w:p>
    <w:p>
      <w:pPr>
        <w:pStyle w:val="null3"/>
        <w:jc w:val="center"/>
        <w:outlineLvl w:val="2"/>
      </w:pPr>
      <w:r>
        <w:rPr>
          <w:rFonts w:ascii="仿宋_GB2312" w:hAnsi="仿宋_GB2312" w:cs="仿宋_GB2312" w:eastAsia="仿宋_GB2312"/>
          <w:sz w:val="28"/>
          <w:b/>
        </w:rPr>
        <w:t>汉中市汉台区宗营九年制学校</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汉中市汉台区宗营九年制学校</w:t>
      </w:r>
      <w:r>
        <w:rPr>
          <w:rFonts w:ascii="仿宋_GB2312" w:hAnsi="仿宋_GB2312" w:cs="仿宋_GB2312" w:eastAsia="仿宋_GB2312"/>
        </w:rPr>
        <w:t>委托，拟对</w:t>
      </w:r>
      <w:r>
        <w:rPr>
          <w:rFonts w:ascii="仿宋_GB2312" w:hAnsi="仿宋_GB2312" w:cs="仿宋_GB2312" w:eastAsia="仿宋_GB2312"/>
        </w:rPr>
        <w:t>汉台区宗营九年制学校北区教学楼、南区综合楼加固提升项目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SXRK-2026-12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汉台区宗营九年制学校北区教学楼、南区综合楼加固提升项目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加固墙体底部灌填500高C20混凝土，需加固的墙面铲除抹灰层后挂钢筋网片，采用30mm厚Ⅱ类高延混凝土抹面；外墙面喷涂真石漆，过道墙面刷喷乳胶漆，内墙面加固墙面刷喷乳胶漆；过道及屋檐底天棚铲除原基层后刷喷无机涂料；一层过道地面采用水泥基自流平，一层地面除楼梯间外其余地面均采用环氧树脂地坪；原散水破除后新做；新更换窗洞口加筋及楼面面层加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采购包1（汉台区宗营九年制学校北区教学楼、南区综合楼加固提升项目）：属于专门面向中小企业采购。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法定代表人身份证明或法定代表人授权委托书：法定代表人参加投标须提供《法定代表人身份证明》及身份证复印件；法定代表人授权他人参加投标，须提供《法定代表人授权委托书》及委托代理人身份证复印件。（提供加盖投标供应商公章的法定代表人身份证明及其身份证的复印件或法定代表人授权委托书及被授权人身份证复印件）</w:t>
      </w:r>
    </w:p>
    <w:p>
      <w:pPr>
        <w:pStyle w:val="null3"/>
      </w:pPr>
      <w:r>
        <w:rPr>
          <w:rFonts w:ascii="仿宋_GB2312" w:hAnsi="仿宋_GB2312" w:cs="仿宋_GB2312" w:eastAsia="仿宋_GB2312"/>
        </w:rPr>
        <w:t>3、投标供应商资质：供应商具备建设行政主管部门核发的【建筑工程施工总承包三级】及以上资质，同时具备特种工程专业承包（结构补强）资质及合法有效的安全生产许可证。（提供加盖投标供应商公章的证书复印件）</w:t>
      </w:r>
    </w:p>
    <w:p>
      <w:pPr>
        <w:pStyle w:val="null3"/>
      </w:pPr>
      <w:r>
        <w:rPr>
          <w:rFonts w:ascii="仿宋_GB2312" w:hAnsi="仿宋_GB2312" w:cs="仿宋_GB2312" w:eastAsia="仿宋_GB2312"/>
        </w:rPr>
        <w:t>4、项目负责人资格：供应商拟派项目负责人须具备【建筑工程二级注册建造师】及以上资格，并取得有效的建安B证且未担任其他在建工程项目的项目负责人；（提供加盖投标供应商公章的证书复印件及无在建工程的承诺书）</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6、控股管理关系声明：单位负责人为同一人或存在控股、管理关系的不同单位，不得同时参加本项目投标；（提供《控股管理关系声明》原件）</w:t>
      </w:r>
    </w:p>
    <w:p>
      <w:pPr>
        <w:pStyle w:val="null3"/>
      </w:pPr>
      <w:r>
        <w:rPr>
          <w:rFonts w:ascii="仿宋_GB2312" w:hAnsi="仿宋_GB2312" w:cs="仿宋_GB2312" w:eastAsia="仿宋_GB2312"/>
        </w:rPr>
        <w:t>7、非联合体投标声明：本项目不接受联合体投标。（供应商须提供《非联合体投标书面声明》）</w:t>
      </w:r>
    </w:p>
    <w:p>
      <w:pPr>
        <w:pStyle w:val="null3"/>
      </w:pPr>
      <w:r>
        <w:rPr>
          <w:rFonts w:ascii="仿宋_GB2312" w:hAnsi="仿宋_GB2312" w:cs="仿宋_GB2312" w:eastAsia="仿宋_GB2312"/>
        </w:rPr>
        <w:t>8、投标供应商企业类型：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汉中市汉台区宗营九年制学校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13429760424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汉中市汉台区五一路红叶酒店后院012基地办公楼221室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0916-2381188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和采购代理合同计取。在确定中标（成交）供应商后由采购人向采购代理机构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汉中市汉台区宗营九年制学校</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汉中市汉台区宗营九年制学校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汉中市汉台区宗营九年制学校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联系人：李锐</w:t>
      </w:r>
    </w:p>
    <w:p>
      <w:pPr>
        <w:pStyle w:val="null3"/>
      </w:pPr>
      <w:r>
        <w:rPr>
          <w:rFonts w:ascii="仿宋_GB2312" w:hAnsi="仿宋_GB2312" w:cs="仿宋_GB2312" w:eastAsia="仿宋_GB2312"/>
        </w:rPr>
        <w:t>联系电话：0916-2381188</w:t>
      </w:r>
    </w:p>
    <w:p>
      <w:pPr>
        <w:pStyle w:val="null3"/>
      </w:pPr>
      <w:r>
        <w:rPr>
          <w:rFonts w:ascii="仿宋_GB2312" w:hAnsi="仿宋_GB2312" w:cs="仿宋_GB2312" w:eastAsia="仿宋_GB2312"/>
        </w:rPr>
        <w:t>地址：汉中市汉台区五一路红叶酒店后院012基地办公楼221室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919,029.34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北区教学楼、南区综合楼加固提升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标的名称：北区教学楼、南区综合楼加固提升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工程概况：</w:t>
            </w:r>
          </w:p>
          <w:p>
            <w:pPr>
              <w:pStyle w:val="null3"/>
              <w:ind w:firstLine="560"/>
              <w:jc w:val="both"/>
            </w:pPr>
            <w:r>
              <w:rPr>
                <w:rFonts w:ascii="仿宋_GB2312" w:hAnsi="仿宋_GB2312" w:cs="仿宋_GB2312" w:eastAsia="仿宋_GB2312"/>
                <w:sz w:val="28"/>
              </w:rPr>
              <w:t>加固墙体底部灌填</w:t>
            </w:r>
            <w:r>
              <w:rPr>
                <w:rFonts w:ascii="仿宋_GB2312" w:hAnsi="仿宋_GB2312" w:cs="仿宋_GB2312" w:eastAsia="仿宋_GB2312"/>
                <w:sz w:val="28"/>
              </w:rPr>
              <w:t>500</w:t>
            </w:r>
            <w:r>
              <w:rPr>
                <w:rFonts w:ascii="仿宋_GB2312" w:hAnsi="仿宋_GB2312" w:cs="仿宋_GB2312" w:eastAsia="仿宋_GB2312"/>
                <w:sz w:val="28"/>
              </w:rPr>
              <w:t>高</w:t>
            </w:r>
            <w:r>
              <w:rPr>
                <w:rFonts w:ascii="仿宋_GB2312" w:hAnsi="仿宋_GB2312" w:cs="仿宋_GB2312" w:eastAsia="仿宋_GB2312"/>
                <w:sz w:val="28"/>
              </w:rPr>
              <w:t>C20</w:t>
            </w:r>
            <w:r>
              <w:rPr>
                <w:rFonts w:ascii="仿宋_GB2312" w:hAnsi="仿宋_GB2312" w:cs="仿宋_GB2312" w:eastAsia="仿宋_GB2312"/>
                <w:sz w:val="28"/>
              </w:rPr>
              <w:t>混凝土，需加固的墙面铲除抹灰层后挂钢筋网片，采用</w:t>
            </w:r>
            <w:r>
              <w:rPr>
                <w:rFonts w:ascii="仿宋_GB2312" w:hAnsi="仿宋_GB2312" w:cs="仿宋_GB2312" w:eastAsia="仿宋_GB2312"/>
                <w:sz w:val="28"/>
              </w:rPr>
              <w:t>30mm</w:t>
            </w:r>
            <w:r>
              <w:rPr>
                <w:rFonts w:ascii="仿宋_GB2312" w:hAnsi="仿宋_GB2312" w:cs="仿宋_GB2312" w:eastAsia="仿宋_GB2312"/>
                <w:sz w:val="28"/>
              </w:rPr>
              <w:t>厚Ⅱ类高延混凝土抹面；外墙面喷涂真石漆，过道墙面刷喷乳胶漆，内墙面加固墙面刷喷乳胶漆；过道及屋檐底天棚铲除原基层后刷喷无机涂料；一层过道地面采用水泥基自流平，一层地面除楼梯间外其余地面均采用环氧树脂地坪；原散水破除后新做；新更换窗洞口加筋及楼面面层加筋。</w:t>
            </w:r>
          </w:p>
          <w:p>
            <w:pPr>
              <w:pStyle w:val="null3"/>
              <w:jc w:val="both"/>
            </w:pPr>
            <w:r>
              <w:rPr>
                <w:rFonts w:ascii="仿宋_GB2312" w:hAnsi="仿宋_GB2312" w:cs="仿宋_GB2312" w:eastAsia="仿宋_GB2312"/>
                <w:sz w:val="28"/>
                <w:b/>
              </w:rPr>
              <w:t>二、工程内容和施工地点、计划工期：</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、工程内容：学校北区教学楼、南区综合楼加固提升，内容详见本项目图纸及工程量清单。</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、施工地点：汉中市汉台区宗营九年制学校校内</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、计划工期：自进场之日起</w:t>
            </w:r>
            <w:r>
              <w:rPr>
                <w:rFonts w:ascii="仿宋_GB2312" w:hAnsi="仿宋_GB2312" w:cs="仿宋_GB2312" w:eastAsia="仿宋_GB2312"/>
                <w:sz w:val="28"/>
              </w:rPr>
              <w:t>50</w:t>
            </w:r>
            <w:r>
              <w:rPr>
                <w:rFonts w:ascii="仿宋_GB2312" w:hAnsi="仿宋_GB2312" w:cs="仿宋_GB2312" w:eastAsia="仿宋_GB2312"/>
                <w:sz w:val="28"/>
              </w:rPr>
              <w:t>个日历天内竣工。</w:t>
            </w:r>
          </w:p>
          <w:p>
            <w:pPr>
              <w:pStyle w:val="null3"/>
              <w:jc w:val="both"/>
            </w:pPr>
            <w:r>
              <w:rPr>
                <w:rFonts w:ascii="仿宋_GB2312" w:hAnsi="仿宋_GB2312" w:cs="仿宋_GB2312" w:eastAsia="仿宋_GB2312"/>
                <w:sz w:val="28"/>
                <w:b/>
              </w:rPr>
              <w:t>三、工程量清单和计价依据（工程量清单及图纸详见附件）</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、顺风建筑规划设计有限公司设计图纸；</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《陕西省建设工程工程量清单计价标准》；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xml:space="preserve">、《陕西省住房和城乡建设厅关于印发 </w:t>
            </w:r>
            <w:r>
              <w:rPr>
                <w:rFonts w:ascii="仿宋_GB2312" w:hAnsi="仿宋_GB2312" w:cs="仿宋_GB2312" w:eastAsia="仿宋_GB2312"/>
                <w:sz w:val="28"/>
              </w:rPr>
              <w:t xml:space="preserve">2025 </w:t>
            </w:r>
            <w:r>
              <w:rPr>
                <w:rFonts w:ascii="仿宋_GB2312" w:hAnsi="仿宋_GB2312" w:cs="仿宋_GB2312" w:eastAsia="仿宋_GB2312"/>
                <w:sz w:val="28"/>
              </w:rPr>
              <w:t>陕西省建设工程费用规则等计价依据的通知》陕建管发〔</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号文件；</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、《陕西省建设工程工程量清单计价标准》（</w:t>
            </w:r>
            <w:r>
              <w:rPr>
                <w:rFonts w:ascii="仿宋_GB2312" w:hAnsi="仿宋_GB2312" w:cs="仿宋_GB2312" w:eastAsia="仿宋_GB2312"/>
                <w:sz w:val="28"/>
              </w:rPr>
              <w:t>2025</w:t>
            </w:r>
            <w:r>
              <w:rPr>
                <w:rFonts w:ascii="仿宋_GB2312" w:hAnsi="仿宋_GB2312" w:cs="仿宋_GB2312" w:eastAsia="仿宋_GB2312"/>
                <w:sz w:val="28"/>
              </w:rPr>
              <w:t>）、《陕西省房屋建筑与装修工程工程量计算标准》（</w:t>
            </w:r>
            <w:r>
              <w:rPr>
                <w:rFonts w:ascii="仿宋_GB2312" w:hAnsi="仿宋_GB2312" w:cs="仿宋_GB2312" w:eastAsia="仿宋_GB2312"/>
                <w:sz w:val="28"/>
              </w:rPr>
              <w:t>2025</w:t>
            </w:r>
            <w:r>
              <w:rPr>
                <w:rFonts w:ascii="仿宋_GB2312" w:hAnsi="仿宋_GB2312" w:cs="仿宋_GB2312" w:eastAsia="仿宋_GB2312"/>
                <w:sz w:val="28"/>
              </w:rPr>
              <w:t>）、《陕西省市政工程工程量计算标准》（</w:t>
            </w:r>
            <w:r>
              <w:rPr>
                <w:rFonts w:ascii="仿宋_GB2312" w:hAnsi="仿宋_GB2312" w:cs="仿宋_GB2312" w:eastAsia="仿宋_GB2312"/>
                <w:sz w:val="28"/>
              </w:rPr>
              <w:t>2025</w:t>
            </w:r>
            <w:r>
              <w:rPr>
                <w:rFonts w:ascii="仿宋_GB2312" w:hAnsi="仿宋_GB2312" w:cs="仿宋_GB2312" w:eastAsia="仿宋_GB2312"/>
                <w:sz w:val="28"/>
              </w:rPr>
              <w:t>）、《陕西省园林绿化工程工程量计算标准》（</w:t>
            </w:r>
            <w:r>
              <w:rPr>
                <w:rFonts w:ascii="仿宋_GB2312" w:hAnsi="仿宋_GB2312" w:cs="仿宋_GB2312" w:eastAsia="仿宋_GB2312"/>
                <w:sz w:val="28"/>
              </w:rPr>
              <w:t>2025</w:t>
            </w:r>
            <w:r>
              <w:rPr>
                <w:rFonts w:ascii="仿宋_GB2312" w:hAnsi="仿宋_GB2312" w:cs="仿宋_GB2312" w:eastAsia="仿宋_GB2312"/>
                <w:sz w:val="28"/>
              </w:rPr>
              <w:t>）、《陕西省通用安装工程工程量计算标准》（</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w:t>
            </w:r>
            <w:r>
              <w:rPr>
                <w:rFonts w:ascii="仿宋_GB2312" w:hAnsi="仿宋_GB2312" w:cs="仿宋_GB2312" w:eastAsia="仿宋_GB2312"/>
                <w:sz w:val="28"/>
              </w:rPr>
              <w:t>）、《陕西省市政工程消耗量定额》（</w:t>
            </w:r>
            <w:r>
              <w:rPr>
                <w:rFonts w:ascii="仿宋_GB2312" w:hAnsi="仿宋_GB2312" w:cs="仿宋_GB2312" w:eastAsia="仿宋_GB2312"/>
                <w:sz w:val="28"/>
              </w:rPr>
              <w:t>2025</w:t>
            </w:r>
            <w:r>
              <w:rPr>
                <w:rFonts w:ascii="仿宋_GB2312" w:hAnsi="仿宋_GB2312" w:cs="仿宋_GB2312" w:eastAsia="仿宋_GB2312"/>
                <w:sz w:val="28"/>
              </w:rPr>
              <w:t>）、《陕西省园林绿化工程消耗量定额》（</w:t>
            </w:r>
            <w:r>
              <w:rPr>
                <w:rFonts w:ascii="仿宋_GB2312" w:hAnsi="仿宋_GB2312" w:cs="仿宋_GB2312" w:eastAsia="仿宋_GB2312"/>
                <w:sz w:val="28"/>
              </w:rPr>
              <w:t>2025</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w:t>
            </w:r>
            <w:r>
              <w:rPr>
                <w:rFonts w:ascii="仿宋_GB2312" w:hAnsi="仿宋_GB2312" w:cs="仿宋_GB2312" w:eastAsia="仿宋_GB2312"/>
                <w:sz w:val="28"/>
              </w:rPr>
              <w:t>）、《陕西省市政工程基价表》（</w:t>
            </w:r>
            <w:r>
              <w:rPr>
                <w:rFonts w:ascii="仿宋_GB2312" w:hAnsi="仿宋_GB2312" w:cs="仿宋_GB2312" w:eastAsia="仿宋_GB2312"/>
                <w:sz w:val="28"/>
              </w:rPr>
              <w:t>2025</w:t>
            </w:r>
            <w:r>
              <w:rPr>
                <w:rFonts w:ascii="仿宋_GB2312" w:hAnsi="仿宋_GB2312" w:cs="仿宋_GB2312" w:eastAsia="仿宋_GB2312"/>
                <w:sz w:val="28"/>
              </w:rPr>
              <w:t>）、《陕西省园林绿化工程基价表》（</w:t>
            </w:r>
            <w:r>
              <w:rPr>
                <w:rFonts w:ascii="仿宋_GB2312" w:hAnsi="仿宋_GB2312" w:cs="仿宋_GB2312" w:eastAsia="仿宋_GB2312"/>
                <w:sz w:val="28"/>
              </w:rPr>
              <w:t>2025</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2025</w:t>
            </w:r>
            <w:r>
              <w:rPr>
                <w:rFonts w:ascii="仿宋_GB2312" w:hAnsi="仿宋_GB2312" w:cs="仿宋_GB2312" w:eastAsia="仿宋_GB2312"/>
                <w:sz w:val="28"/>
              </w:rPr>
              <w:t>）及其配套文件；</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、材料价格依据</w:t>
            </w:r>
            <w:r>
              <w:rPr>
                <w:rFonts w:ascii="仿宋_GB2312" w:hAnsi="仿宋_GB2312" w:cs="仿宋_GB2312" w:eastAsia="仿宋_GB2312"/>
                <w:sz w:val="28"/>
              </w:rPr>
              <w:t>2026</w:t>
            </w:r>
            <w:r>
              <w:rPr>
                <w:rFonts w:ascii="仿宋_GB2312" w:hAnsi="仿宋_GB2312" w:cs="仿宋_GB2312" w:eastAsia="仿宋_GB2312"/>
                <w:sz w:val="28"/>
              </w:rPr>
              <w:t>年第</w:t>
            </w:r>
            <w:r>
              <w:rPr>
                <w:rFonts w:ascii="仿宋_GB2312" w:hAnsi="仿宋_GB2312" w:cs="仿宋_GB2312" w:eastAsia="仿宋_GB2312"/>
                <w:sz w:val="28"/>
              </w:rPr>
              <w:t>5</w:t>
            </w:r>
            <w:r>
              <w:rPr>
                <w:rFonts w:ascii="仿宋_GB2312" w:hAnsi="仿宋_GB2312" w:cs="仿宋_GB2312" w:eastAsia="仿宋_GB2312"/>
                <w:sz w:val="28"/>
              </w:rPr>
              <w:t>期《汉中建设工程造价信息》及现行市场价格。</w:t>
            </w:r>
          </w:p>
          <w:p>
            <w:pPr>
              <w:pStyle w:val="null3"/>
              <w:jc w:val="both"/>
            </w:pPr>
            <w:r>
              <w:rPr>
                <w:rFonts w:ascii="仿宋_GB2312" w:hAnsi="仿宋_GB2312" w:cs="仿宋_GB2312" w:eastAsia="仿宋_GB2312"/>
                <w:sz w:val="28"/>
                <w:b/>
              </w:rPr>
              <w:t>四、施工要求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、在施工期间，成交供应商必须注意校内人员安全，加强安全措施，并对施工人员进行安全教育，施工人员必须持证上岗。</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、施工现场噪音、扬尘严格控制，不得影响校内正常工作。</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本工程以验收合格能正常使用为竣工标准。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2、成交供应商领取成交通知书时，提交纸质响应文件正本壹份、副本壹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及其身份证的复印件或法定代表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供应商具备建设行政主管部门核发的【建筑工程施工总承包三级】及以上资质，同时具备特种工程专业承包（结构补强）资质及合法有效的安全生产许可证。（提供加盖投标供应商公章的证书复印件）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供应商拟派项目负责人须具备【建筑工程二级注册建造师】及以上资格，并取得有效的建安B证且未担任其他在建工程项目的项目负责人；（提供加盖投标供应商公章的证书复印件及无在建工程的承诺书）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单位负责人为同一人或存在控股、管理关系的不同单位，不得同时参加本项目投标；（提供《控股管理关系声明》原件）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本项目不接受联合体投标。（供应商须提供《非联合体投标书面声明》）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投标供应商企业类型</w:t>
            </w:r>
          </w:p>
        </w:tc>
        <w:tc>
          <w:tcPr>
            <w:tcW w:type="dxa" w:w="3322"/>
          </w:tcPr>
          <w:p>
            <w:pPr>
              <w:pStyle w:val="null3"/>
            </w:pPr>
            <w:r>
              <w:rPr>
                <w:rFonts w:ascii="仿宋_GB2312" w:hAnsi="仿宋_GB2312" w:cs="仿宋_GB2312" w:eastAsia="仿宋_GB2312"/>
              </w:rPr>
              <w:t>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技术响应部分.docx 投标供应商认为有必要补充说明的事项.docx 中小企业声明函 残疾人福利性单位声明函 报价函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技术响应部分.docx 投标供应商认为有必要补充说明的事项.docx 中小企业声明函 残疾人福利性单位声明函 报价函 技术服务合同条款及其他商务要求应答表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赋分标准（4分）：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提供2023年1月1日至投标截止时间前（以合同签订时间为准）类似房屋加固工程业绩；每提供一个业绩得5分，本项最高得10分。（业绩证明需提供施工合同和中标通知书复印件并加盖投标供应商公章。)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项目部配备施工员、质量员、安全员、材料员、资料员。以上人员配备齐全、岗位职责分工明确、资料齐全的得满分10分，人员配备少1人或该人员未提供相关资料扣2分，扣完为止；（需提供拟派人员身份证、执业资格证书扫描件，且应加盖投标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详见附件：投标供应商认为有必要补充说明的事项.docx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详见附件：宗营九年制学校建设工程施工合同示范文本.docx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