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版本号：JQZB2026-07-0920260715002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南郑区协税镇集镇基础设施综合提升改造环卫设备采购项目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JQZB2026-07-09</w:t>
      </w:r>
      <w:r>
        <w:br/>
      </w:r>
      <w:r>
        <w:br/>
      </w:r>
      <w:r>
        <w:br/>
      </w:r>
    </w:p>
    <w:p>
      <w:pPr>
        <w:pStyle w:val="null3"/>
        <w:jc w:val="center"/>
        <w:outlineLvl w:val="2"/>
      </w:pPr>
      <w:r>
        <w:rPr>
          <w:rFonts w:ascii="仿宋_GB2312" w:hAnsi="仿宋_GB2312" w:cs="仿宋_GB2312" w:eastAsia="仿宋_GB2312"/>
          <w:sz w:val="28"/>
          <w:b/>
        </w:rPr>
        <w:t>汉中市南郑区协税镇人民政府</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汉中市南郑区协税镇人民政府</w:t>
      </w:r>
      <w:r>
        <w:rPr>
          <w:rFonts w:ascii="仿宋_GB2312" w:hAnsi="仿宋_GB2312" w:cs="仿宋_GB2312" w:eastAsia="仿宋_GB2312"/>
        </w:rPr>
        <w:t>委托，拟对</w:t>
      </w:r>
      <w:r>
        <w:rPr>
          <w:rFonts w:ascii="仿宋_GB2312" w:hAnsi="仿宋_GB2312" w:cs="仿宋_GB2312" w:eastAsia="仿宋_GB2312"/>
        </w:rPr>
        <w:t>南郑区协税镇集镇基础设施综合提升改造环卫设备采购项目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JQZB2026-07-09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南郑区协税镇集镇基础设施综合提升改造环卫设备采购项目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协税镇环卫设备采购。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采购包1（垃圾车）：属于专门面向中小企业采购。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1、营业执照：合法有效的营业执照或事业单位法⼈证书等国家规定的相关证明，⾃然⼈参与的提供其⾝份证明。</w:t>
      </w:r>
    </w:p>
    <w:p>
      <w:pPr>
        <w:pStyle w:val="null3"/>
      </w:pPr>
      <w:r>
        <w:rPr>
          <w:rFonts w:ascii="仿宋_GB2312" w:hAnsi="仿宋_GB2312" w:cs="仿宋_GB2312" w:eastAsia="仿宋_GB2312"/>
        </w:rPr>
        <w:t>2、授权委托书：法定代表⼈直接参加谈判的，须出具法⼈⾝份证；法定代表⼈授权代表参加谈判的，须出具法定代表⼈授权书及授权代表⾝份证。</w:t>
      </w:r>
    </w:p>
    <w:p>
      <w:pPr>
        <w:pStyle w:val="null3"/>
      </w:pPr>
      <w:r>
        <w:rPr>
          <w:rFonts w:ascii="仿宋_GB2312" w:hAnsi="仿宋_GB2312" w:cs="仿宋_GB2312" w:eastAsia="仿宋_GB2312"/>
        </w:rPr>
        <w:t>3、汉中市政府采购供应商资格承诺函：供应商应按照汉中市财政局《关于全⾯推⾏政府采购供应商基本资格条件承诺制的通知》(汉采办采管(2024)20号)⽂件要求，提供《汉中市政府采购供应商资格承诺函》。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15日的，采购人或代理机构顺延提交响应文件的截止时间。供应商未重新获取谈判文件或者未按照澄清或者修改后的谈判文件编制响应文件进行响应的，自行承担不利后果。</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 购 人： </w:t>
      </w:r>
      <w:r>
        <w:rPr>
          <w:rFonts w:ascii="仿宋_GB2312" w:hAnsi="仿宋_GB2312" w:cs="仿宋_GB2312" w:eastAsia="仿宋_GB2312"/>
          <w:sz w:val="24"/>
          <w:b/>
        </w:rPr>
        <w:t>汉中市南郑区协税镇人民政府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汉中市南郑区协税镇协税街1号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汉中市南郑区协税镇人民政府经办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13909161355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15609163595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如以联合体响应的，联合体各方均应当具备本谈判文件要求的资格条件和能力。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开户名称：泾清项⽬管理有限公司汉台分公司</w:t>
            </w:r>
          </w:p>
          <w:p>
            <w:pPr>
              <w:pStyle w:val="null3"/>
            </w:pPr>
            <w:r>
              <w:rPr>
                <w:rFonts w:ascii="仿宋_GB2312" w:hAnsi="仿宋_GB2312" w:cs="仿宋_GB2312" w:eastAsia="仿宋_GB2312"/>
              </w:rPr>
              <w:t>开户银行：中国银⾏汉中陕西理⼯⼤学⽀⾏</w:t>
            </w:r>
          </w:p>
          <w:p>
            <w:pPr>
              <w:pStyle w:val="null3"/>
            </w:pPr>
            <w:r>
              <w:rPr>
                <w:rFonts w:ascii="仿宋_GB2312" w:hAnsi="仿宋_GB2312" w:cs="仿宋_GB2312" w:eastAsia="仿宋_GB2312"/>
              </w:rPr>
              <w:t>银行账号：103688816695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说明：合同签订后7个日历天内交付采购人，逾期不交构成违约。合同履约验收合格，并完成质保期后退还。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代理服务费收费标准：计价格[2002]1980号文、国家发改委[2003]857号文和发改价格[2011]534号文中“货物类”计费标准。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是否组织潜在供应商踏现场考察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汉中市南郑区协税镇人民政府</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汉中市南郑区协税镇人民政府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汉中市南郑区协税镇人民政府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泾清项目管理有限公司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rFonts w:ascii="仿宋_GB2312" w:hAnsi="仿宋_GB2312" w:cs="仿宋_GB2312" w:eastAsia="仿宋_GB2312"/>
          <w:sz w:val="24"/>
          <w:b/>
        </w:rPr>
        <w:t>2.3.3答疑会和现场考察</w:t>
      </w:r>
    </w:p>
    <w:p>
      <w:pPr>
        <w:pStyle w:val="null3"/>
        <w:ind w:firstLine="480"/>
      </w:pPr>
      <w:r>
        <w:rPr>
          <w:rFonts w:ascii="仿宋_GB2312" w:hAnsi="仿宋_GB2312" w:cs="仿宋_GB2312" w:eastAsia="仿宋_GB2312"/>
        </w:rPr>
        <w:t xml:space="preserve"> 一、采购人、代理机构认为有必要，将在谈判文件提供期限截止时间后至响应文件提交截止时间前，组织已获取谈判文件的潜在供应商现场考察或者召开答疑会。</w:t>
      </w:r>
    </w:p>
    <w:p>
      <w:pPr>
        <w:pStyle w:val="null3"/>
        <w:ind w:firstLine="480"/>
      </w:pPr>
      <w:r>
        <w:rPr>
          <w:rFonts w:ascii="仿宋_GB2312" w:hAnsi="仿宋_GB2312" w:cs="仿宋_GB2312" w:eastAsia="仿宋_GB2312"/>
        </w:rPr>
        <w:t xml:space="preserve"> 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rFonts w:ascii="仿宋_GB2312" w:hAnsi="仿宋_GB2312" w:cs="仿宋_GB2312" w:eastAsia="仿宋_GB2312"/>
        </w:rPr>
        <w:t>三、供应商考察现场或者参加答疑会所发生的一切费用由供应商自己承担。</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2.4.8响应文件有效期</w:t>
      </w:r>
    </w:p>
    <w:p>
      <w:pPr>
        <w:pStyle w:val="null3"/>
        <w:ind w:firstLine="480"/>
        <w:jc w:val="left"/>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三、供应商完成响应文件编制后，应按照谈判文件第一章明确的签章要求，使用互认的证书及签章对响应文件进行电子签章和加密。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采购人自政府采购合同签订（双方当事人均已完成盖章）之日起7个工作日内，将本项目采购合同通过政府采购平台进行备案。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联系人：景卓</w:t>
      </w:r>
    </w:p>
    <w:p>
      <w:pPr>
        <w:pStyle w:val="null3"/>
      </w:pPr>
      <w:r>
        <w:rPr>
          <w:rFonts w:ascii="仿宋_GB2312" w:hAnsi="仿宋_GB2312" w:cs="仿宋_GB2312" w:eastAsia="仿宋_GB2312"/>
        </w:rPr>
        <w:t>联系电话：15609163595</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垃圾车</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⻋厢可卸式垃圾⻋：1辆</w:t>
            </w:r>
          </w:p>
          <w:p>
            <w:pPr>
              <w:pStyle w:val="null3"/>
            </w:pPr>
            <w:r>
              <w:rPr>
                <w:rFonts w:ascii="仿宋_GB2312" w:hAnsi="仿宋_GB2312" w:cs="仿宋_GB2312" w:eastAsia="仿宋_GB2312"/>
              </w:rPr>
              <w:t>1、总质量≤4495KG；</w:t>
            </w:r>
          </w:p>
          <w:p>
            <w:pPr>
              <w:pStyle w:val="null3"/>
            </w:pPr>
            <w:r>
              <w:rPr>
                <w:rFonts w:ascii="仿宋_GB2312" w:hAnsi="仿宋_GB2312" w:cs="仿宋_GB2312" w:eastAsia="仿宋_GB2312"/>
              </w:rPr>
              <w:t>2、额定载质量≥2400KG；</w:t>
            </w:r>
          </w:p>
          <w:p>
            <w:pPr>
              <w:pStyle w:val="null3"/>
            </w:pPr>
            <w:r>
              <w:rPr>
                <w:rFonts w:ascii="仿宋_GB2312" w:hAnsi="仿宋_GB2312" w:cs="仿宋_GB2312" w:eastAsia="仿宋_GB2312"/>
              </w:rPr>
              <w:t>3、整备质量≥1900KG；</w:t>
            </w:r>
          </w:p>
          <w:p>
            <w:pPr>
              <w:pStyle w:val="null3"/>
            </w:pPr>
            <w:r>
              <w:rPr>
                <w:rFonts w:ascii="仿宋_GB2312" w:hAnsi="仿宋_GB2312" w:cs="仿宋_GB2312" w:eastAsia="仿宋_GB2312"/>
              </w:rPr>
              <w:t>4、轴距：≥2600mm；</w:t>
            </w:r>
          </w:p>
          <w:p>
            <w:pPr>
              <w:pStyle w:val="null3"/>
            </w:pPr>
            <w:r>
              <w:rPr>
                <w:rFonts w:ascii="仿宋_GB2312" w:hAnsi="仿宋_GB2312" w:cs="仿宋_GB2312" w:eastAsia="仿宋_GB2312"/>
              </w:rPr>
              <w:t>5、燃油种类：柴油；</w:t>
            </w:r>
          </w:p>
          <w:p>
            <w:pPr>
              <w:pStyle w:val="null3"/>
            </w:pPr>
            <w:r>
              <w:rPr>
                <w:rFonts w:ascii="仿宋_GB2312" w:hAnsi="仿宋_GB2312" w:cs="仿宋_GB2312" w:eastAsia="仿宋_GB2312"/>
              </w:rPr>
              <w:t>6、排放标准：国六；</w:t>
            </w:r>
          </w:p>
          <w:p>
            <w:pPr>
              <w:pStyle w:val="null3"/>
            </w:pPr>
            <w:r>
              <w:rPr>
                <w:rFonts w:ascii="仿宋_GB2312" w:hAnsi="仿宋_GB2312" w:cs="仿宋_GB2312" w:eastAsia="仿宋_GB2312"/>
              </w:rPr>
              <w:t>7、排量：≥2300ml；</w:t>
            </w:r>
          </w:p>
          <w:p>
            <w:pPr>
              <w:pStyle w:val="null3"/>
            </w:pPr>
            <w:r>
              <w:rPr>
                <w:rFonts w:ascii="仿宋_GB2312" w:hAnsi="仿宋_GB2312" w:cs="仿宋_GB2312" w:eastAsia="仿宋_GB2312"/>
              </w:rPr>
              <w:t>8、功率：≥73kw；</w:t>
            </w:r>
          </w:p>
          <w:p>
            <w:pPr>
              <w:pStyle w:val="null3"/>
            </w:pPr>
            <w:r>
              <w:rPr>
                <w:rFonts w:ascii="仿宋_GB2312" w:hAnsi="仿宋_GB2312" w:cs="仿宋_GB2312" w:eastAsia="仿宋_GB2312"/>
              </w:rPr>
              <w:t>9、外形尺⼨：≥4560×1760×2080mm；</w:t>
            </w:r>
          </w:p>
          <w:p>
            <w:pPr>
              <w:pStyle w:val="null3"/>
            </w:pPr>
            <w:r>
              <w:rPr>
                <w:rFonts w:ascii="仿宋_GB2312" w:hAnsi="仿宋_GB2312" w:cs="仿宋_GB2312" w:eastAsia="仿宋_GB2312"/>
              </w:rPr>
              <w:t>10、驾驶内外均可控制作业，实现⼀⻋配多箱的循环转运；</w:t>
            </w:r>
          </w:p>
          <w:p>
            <w:pPr>
              <w:pStyle w:val="null3"/>
            </w:pPr>
            <w:r>
              <w:rPr>
                <w:rFonts w:ascii="仿宋_GB2312" w:hAnsi="仿宋_GB2312" w:cs="仿宋_GB2312" w:eastAsia="仿宋_GB2312"/>
              </w:rPr>
              <w:t>11、投标⻋辆需提供检测报告、3C证书扫描件；</w:t>
            </w:r>
          </w:p>
          <w:p>
            <w:pPr>
              <w:pStyle w:val="null3"/>
            </w:pPr>
            <w:r>
              <w:rPr>
                <w:rFonts w:ascii="仿宋_GB2312" w:hAnsi="仿宋_GB2312" w:cs="仿宋_GB2312" w:eastAsia="仿宋_GB2312"/>
              </w:rPr>
              <w:t>12、带冷暖空调；</w:t>
            </w:r>
          </w:p>
          <w:p>
            <w:pPr>
              <w:pStyle w:val="null3"/>
            </w:pPr>
            <w:r>
              <w:rPr>
                <w:rFonts w:ascii="仿宋_GB2312" w:hAnsi="仿宋_GB2312" w:cs="仿宋_GB2312" w:eastAsia="仿宋_GB2312"/>
              </w:rPr>
              <w:t>13、投标产品须与采购⼈现运⾏产品可匹配使⽤。</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垃圾箱：60个</w:t>
            </w:r>
          </w:p>
          <w:p>
            <w:pPr>
              <w:pStyle w:val="null3"/>
            </w:pPr>
            <w:r>
              <w:rPr>
                <w:rFonts w:ascii="仿宋_GB2312" w:hAnsi="仿宋_GB2312" w:cs="仿宋_GB2312" w:eastAsia="仿宋_GB2312"/>
              </w:rPr>
              <w:t>1、箱体容积：≥4m³，全箱采⽤模具冲压成形；</w:t>
            </w:r>
          </w:p>
          <w:p>
            <w:pPr>
              <w:pStyle w:val="null3"/>
            </w:pPr>
            <w:r>
              <w:rPr>
                <w:rFonts w:ascii="仿宋_GB2312" w:hAnsi="仿宋_GB2312" w:cs="仿宋_GB2312" w:eastAsia="仿宋_GB2312"/>
              </w:rPr>
              <w:t>2、箱体尺⼨：（⻓X宽X⾼）：≥2700X1500X1000mm；</w:t>
            </w:r>
          </w:p>
          <w:p>
            <w:pPr>
              <w:pStyle w:val="null3"/>
            </w:pPr>
            <w:r>
              <w:rPr>
                <w:rFonts w:ascii="仿宋_GB2312" w:hAnsi="仿宋_GB2312" w:cs="仿宋_GB2312" w:eastAsia="仿宋_GB2312"/>
              </w:rPr>
              <w:t>3、箱体外形为弧圆形结构，整体由7件压型板拼装焊接⽽成，结构牢固，不易塌陷；</w:t>
            </w:r>
          </w:p>
          <w:p>
            <w:pPr>
              <w:pStyle w:val="null3"/>
            </w:pPr>
            <w:r>
              <w:rPr>
                <w:rFonts w:ascii="仿宋_GB2312" w:hAnsi="仿宋_GB2312" w:cs="仿宋_GB2312" w:eastAsia="仿宋_GB2312"/>
              </w:rPr>
              <w:t>4、箱体侧板：为左右各⼀块，材质为Q235碳钢板，厚度≥2.0mm，模具冲压成型，⽆拼接、冲压 有加强筋；两侧板下⽴⾯各冲压⼀个⻓≥1670*400mm、⾼度≥15mm的“回”字型加强筋、前后 各冲压两个⻓≥1280*50mm、⾼≥10mm的竖条加强筋，增加侧板强度，有效防⽌箱体变形；</w:t>
            </w:r>
          </w:p>
          <w:p>
            <w:pPr>
              <w:pStyle w:val="null3"/>
            </w:pPr>
            <w:r>
              <w:rPr>
                <w:rFonts w:ascii="仿宋_GB2312" w:hAnsi="仿宋_GB2312" w:cs="仿宋_GB2312" w:eastAsia="仿宋_GB2312"/>
              </w:rPr>
              <w:t>5、垃圾箱前后⻔框架采⽤≥50*30*1.5mm镀锌⽅管弯圆成型，表⾯⽆褶皱；底部纵梁采⽤≥40* 80*3.0mm⽅管，前后做斜形封⼝处理；底部采⽤三根≥50*30*1.5mm镀锌⽅管做横向⽀撑，锁 紧挡杆采⽤≥30*50*2.0镀锌⽅管；</w:t>
            </w:r>
          </w:p>
          <w:p>
            <w:pPr>
              <w:pStyle w:val="null3"/>
            </w:pPr>
            <w:r>
              <w:rPr>
                <w:rFonts w:ascii="仿宋_GB2312" w:hAnsi="仿宋_GB2312" w:cs="仿宋_GB2312" w:eastAsia="仿宋_GB2312"/>
              </w:rPr>
              <w:t>6、箱体前挂吊钩采⽤≥φ25mm圆钢和≥8mm厚碳钢板焊接成型，⾥⾯加配两根≥50*30*2.0mm ⽅管做⽀撑加固；</w:t>
            </w:r>
          </w:p>
          <w:p>
            <w:pPr>
              <w:pStyle w:val="null3"/>
            </w:pPr>
            <w:r>
              <w:rPr>
                <w:rFonts w:ascii="仿宋_GB2312" w:hAnsi="仿宋_GB2312" w:cs="仿宋_GB2312" w:eastAsia="仿宋_GB2312"/>
              </w:rPr>
              <w:t>7、箱体左右两侧各设⼀个投料⼝，冲压有防⽔挡槽，防⽌⾬⽔流⼊；整箱密封完好，有效防⽌渗漏 ,避免⼆次污染；</w:t>
            </w:r>
          </w:p>
          <w:p>
            <w:pPr>
              <w:pStyle w:val="null3"/>
            </w:pPr>
            <w:r>
              <w:rPr>
                <w:rFonts w:ascii="仿宋_GB2312" w:hAnsi="仿宋_GB2312" w:cs="仿宋_GB2312" w:eastAsia="仿宋_GB2312"/>
              </w:rPr>
              <w:t>8、箱体底部安装2个铸铁实⼼滚轮和2个⽀撑腿，轮⼦直径≥150mm、厚度≥50mm,⽀撑腿采⽤ ≥50*100*2.0mm⽅管；</w:t>
            </w:r>
          </w:p>
          <w:p>
            <w:pPr>
              <w:pStyle w:val="null3"/>
            </w:pPr>
            <w:r>
              <w:rPr>
                <w:rFonts w:ascii="仿宋_GB2312" w:hAnsi="仿宋_GB2312" w:cs="仿宋_GB2312" w:eastAsia="仿宋_GB2312"/>
              </w:rPr>
              <w:t>9、盖⼦：材质为优质碳钢钢板，厚度≥1.5mm，模具⼀次性冲压成形；配有机械撑杆，滑道设有 卡槽，为上掀形式，与箱体连接处采⽤合⻚焊接固定，牢固不易脱落；</w:t>
            </w:r>
          </w:p>
          <w:p>
            <w:pPr>
              <w:pStyle w:val="null3"/>
            </w:pPr>
            <w:r>
              <w:rPr>
                <w:rFonts w:ascii="仿宋_GB2312" w:hAnsi="仿宋_GB2312" w:cs="仿宋_GB2312" w:eastAsia="仿宋_GB2312"/>
              </w:rPr>
              <w:t>10、前后⻔：材质为Q235碳钢板，厚度≥2.0mm,模具⼀次性冲压成形，四周外沿压制⼀圈加强筋 、中间压制两个⻓条椭圆和两个菱形做加强筋，加固⻔板强度，有效防⽌⻔板变形，与箱体连接处 采⽤合⻚焊接固定，并配有两个锁扣，防⽌运输途中后⻔开启垃圾掉落；</w:t>
            </w:r>
          </w:p>
          <w:p>
            <w:pPr>
              <w:pStyle w:val="null3"/>
            </w:pPr>
            <w:r>
              <w:rPr>
                <w:rFonts w:ascii="仿宋_GB2312" w:hAnsi="仿宋_GB2312" w:cs="仿宋_GB2312" w:eastAsia="仿宋_GB2312"/>
              </w:rPr>
              <w:t>11、底板：材质为Q235碳钢板，厚度为≥3.0mm,模具⼀次性冲压成形，压制纵向⻓短≥7道和横 向≥10道加强筋，加强底板强度，增加承重，延⻓使⽤期限；底板后⻔处压制≥50mm⾼挡⽔槽， 避免污⽔外流，避免⼆次污染；</w:t>
            </w:r>
          </w:p>
          <w:p>
            <w:pPr>
              <w:pStyle w:val="null3"/>
            </w:pPr>
            <w:r>
              <w:rPr>
                <w:rFonts w:ascii="仿宋_GB2312" w:hAnsi="仿宋_GB2312" w:cs="仿宋_GB2312" w:eastAsia="仿宋_GB2312"/>
              </w:rPr>
              <w:t>12、箱体底漆整体采⽤阴极电泳⼯艺，漆膜厚度≥40um、耐盐雾≥720h，超强防锈，采⽤⾼温中 涂⼯艺、膜厚≥30um，能增强油漆附着⼒，⾯漆采⽤2次喷涂⾼温丙烯酸⾯漆⼯艺、膜厚≥36um ，能增强耐候性、抗恶劣环境侵蚀；</w:t>
            </w:r>
          </w:p>
          <w:p>
            <w:pPr>
              <w:pStyle w:val="null3"/>
            </w:pPr>
            <w:r>
              <w:rPr>
                <w:rFonts w:ascii="仿宋_GB2312" w:hAnsi="仿宋_GB2312" w:cs="仿宋_GB2312" w:eastAsia="仿宋_GB2312"/>
              </w:rPr>
              <w:t>13、箱体外观标识标语按要求喷涂，⾤⽤丝印或喷涂技术，清晰美观；</w:t>
            </w:r>
          </w:p>
          <w:p>
            <w:pPr>
              <w:pStyle w:val="null3"/>
            </w:pPr>
            <w:r>
              <w:rPr>
                <w:rFonts w:ascii="仿宋_GB2312" w:hAnsi="仿宋_GB2312" w:cs="仿宋_GB2312" w:eastAsia="仿宋_GB2312"/>
              </w:rPr>
              <w:t>14、投标产品须与采购⼈现运⾏产品可匹配使⽤。</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1.对于不允许偏离的实质性要求和条件，采购人或者代理机构应当在谈判文件中规定，并以醒目的方式标明。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2.除相关法律或行政法规或规章要求供应商在响应或谈判阶段提供检测报告的，不得要求供应商在响应、谈判阶段提供检测报告，如确实需要检测报告，可要求供应商承诺在签订合同阶段或项目实施阶段提供。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法定代表⼈直接参加谈判的，须出具法⼈⾝份证；法定代表⼈授权代表参加谈判的，须出具法定代表⼈授权书及授权代表⾝份证。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供应商应按照汉中市财政局《关于全⾯推⾏政府采购供应商基本资格条件承诺制的通知》(汉采办采管(2024)20号)⽂件要求，提供《汉中市政府采购供应商资格承诺函》。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ind w:firstLine="480"/>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（一）熟悉和理解谈判文件，确定谈判文件内容是否违反国家有关强制性规定或者谈判文件存在歧义、重大缺陷；</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rFonts w:ascii="仿宋_GB2312" w:hAnsi="仿宋_GB2312" w:cs="仿宋_GB2312" w:eastAsia="仿宋_GB2312"/>
        </w:rPr>
        <w:t>二、谈判小组对供应商已标价工程量清单进行算术性复核，如果出现下列不一致的，按以下原则进行修正：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四、谈判小组对所有响应文件进行审查后，确定参加谈判的供应商名单。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 xml:space="preserve"> 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pPr>
      <w:r>
        <w:rPr>
          <w:rFonts w:ascii="仿宋_GB2312" w:hAnsi="仿宋_GB2312" w:cs="仿宋_GB2312" w:eastAsia="仿宋_GB2312"/>
        </w:rPr>
        <w:t>二、每轮谈判开始前，谈判小组应根据谈判文件的规定，并结合各供应商的响应文件拟定谈判内容。</w:t>
      </w:r>
    </w:p>
    <w:p>
      <w:pPr>
        <w:pStyle w:val="null3"/>
        <w:ind w:firstLine="480"/>
      </w:pPr>
      <w:r>
        <w:rPr>
          <w:rFonts w:ascii="仿宋_GB2312" w:hAnsi="仿宋_GB2312" w:cs="仿宋_GB2312" w:eastAsia="仿宋_GB2312"/>
        </w:rPr>
        <w:t xml:space="preserve"> 三、在谈判过程中，谈判小组在获得采购人代表确认的前提下，可以根据谈判文件第三章、第五章规定的可实质性变动内容和谈判情况实质性变动谈判文件的技术、服务要求以及合同草案条款，但不得变动谈判文件中的其他内容。</w:t>
      </w:r>
    </w:p>
    <w:p>
      <w:pPr>
        <w:pStyle w:val="null3"/>
        <w:ind w:firstLine="480"/>
      </w:pPr>
      <w:r>
        <w:rPr>
          <w:rFonts w:ascii="仿宋_GB2312" w:hAnsi="仿宋_GB2312" w:cs="仿宋_GB2312" w:eastAsia="仿宋_GB2312"/>
        </w:rPr>
        <w:t xml:space="preserve"> 四、对谈判文件作出的实质性变动是谈判文件的有效组成部分，谈判小组应当及时以书面形式同时通知所有参加谈判的供应商。</w:t>
      </w:r>
    </w:p>
    <w:p>
      <w:pPr>
        <w:pStyle w:val="null3"/>
        <w:ind w:firstLine="480"/>
      </w:pPr>
      <w:r>
        <w:rPr>
          <w:rFonts w:ascii="仿宋_GB2312" w:hAnsi="仿宋_GB2312" w:cs="仿宋_GB2312" w:eastAsia="仿宋_GB2312"/>
        </w:rPr>
        <w:t xml:space="preserve"> 五、谈判过程中，谈判文件变动的，供应商应当按照谈判文件的变动情况和谈判小组的要求就谈判文件变动部分提交书面响应材料，并作为响应文件的组成部分。</w:t>
      </w:r>
    </w:p>
    <w:p>
      <w:pPr>
        <w:pStyle w:val="null3"/>
        <w:ind w:firstLine="480"/>
      </w:pPr>
      <w:r>
        <w:rPr>
          <w:rFonts w:ascii="仿宋_GB2312" w:hAnsi="仿宋_GB2312" w:cs="仿宋_GB2312" w:eastAsia="仿宋_GB2312"/>
        </w:rPr>
        <w:t>六、经最终谈判后，响应文件仍有下列情况之一的，应按照无效响应文件处理：</w:t>
      </w:r>
    </w:p>
    <w:p>
      <w:pPr>
        <w:pStyle w:val="null3"/>
        <w:ind w:firstLine="480"/>
      </w:pPr>
      <w:r>
        <w:rPr>
          <w:rFonts w:ascii="仿宋_GB2312" w:hAnsi="仿宋_GB2312" w:cs="仿宋_GB2312" w:eastAsia="仿宋_GB2312"/>
        </w:rPr>
        <w:t>（一）响应文件仍不能实质响应谈判文件的实质性要求的；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有可能影响产品质量或者不能诚信履约的，应当要求其在评标现场合理的时间内提供书面说明，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七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6.3.6解释、澄清有关问题</w:t>
      </w:r>
    </w:p>
    <w:p>
      <w:pPr>
        <w:pStyle w:val="null3"/>
        <w:ind w:firstLine="480"/>
      </w:pPr>
      <w:r>
        <w:rPr>
          <w:rFonts w:ascii="仿宋_GB2312" w:hAnsi="仿宋_GB2312" w:cs="仿宋_GB2312" w:eastAsia="仿宋_GB2312"/>
        </w:rPr>
        <w:t xml:space="preserve"> 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rFonts w:ascii="仿宋_GB2312" w:hAnsi="仿宋_GB2312" w:cs="仿宋_GB2312" w:eastAsia="仿宋_GB2312"/>
        </w:rPr>
        <w:t>（一）供应商响应文件中不响应谈判文件规定的技术参数指标和商务应答；</w:t>
      </w:r>
    </w:p>
    <w:p>
      <w:pPr>
        <w:pStyle w:val="null3"/>
        <w:ind w:firstLine="480"/>
      </w:pPr>
      <w:r>
        <w:rPr>
          <w:rFonts w:ascii="仿宋_GB2312" w:hAnsi="仿宋_GB2312" w:cs="仿宋_GB2312" w:eastAsia="仿宋_GB2312"/>
        </w:rPr>
        <w:t>（二）供应商响应文件中未提供的证明其是否符合谈判文件资格、符合性规定要求的相关材料。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rFonts w:ascii="仿宋_GB2312" w:hAnsi="仿宋_GB2312" w:cs="仿宋_GB2312" w:eastAsia="仿宋_GB2312"/>
        </w:rPr>
        <w:t>六、谈判小组应当积极履行澄清、说明或者更正的职责，不得滥用权力。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谈判小组复核后，应当从质量和服务均能满足采购文件实质性响应要求的供应商中，按照最后报价由低到高顺序推荐如下家数成交候选供应商，并编写谈判报告。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6.3.9采购组织单位现场复核评审结果</w:t>
      </w:r>
    </w:p>
    <w:p>
      <w:pPr>
        <w:pStyle w:val="null3"/>
        <w:ind w:firstLine="480"/>
      </w:pPr>
      <w:r>
        <w:rPr>
          <w:rFonts w:ascii="仿宋_GB2312" w:hAnsi="仿宋_GB2312" w:cs="仿宋_GB2312" w:eastAsia="仿宋_GB2312"/>
        </w:rPr>
        <w:t xml:space="preserve"> 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rFonts w:ascii="仿宋_GB2312" w:hAnsi="仿宋_GB2312" w:cs="仿宋_GB2312" w:eastAsia="仿宋_GB2312"/>
        </w:rPr>
        <w:t xml:space="preserve"> 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rFonts w:ascii="仿宋_GB2312" w:hAnsi="仿宋_GB2312" w:cs="仿宋_GB2312" w:eastAsia="仿宋_GB2312"/>
        </w:rPr>
        <w:t>三、代理机构复核过程中，谈判小组成员不得离开评审现场。</w:t>
      </w:r>
    </w:p>
    <w:p>
      <w:pPr>
        <w:pStyle w:val="null3"/>
        <w:outlineLvl w:val="3"/>
      </w:pPr>
      <w:r>
        <w:rPr>
          <w:rFonts w:ascii="仿宋_GB2312" w:hAnsi="仿宋_GB2312" w:cs="仿宋_GB2312" w:eastAsia="仿宋_GB2312"/>
          <w:sz w:val="24"/>
          <w:b/>
        </w:rPr>
        <w:t>6.3.10编写谈判报告</w:t>
      </w:r>
    </w:p>
    <w:p>
      <w:pPr>
        <w:pStyle w:val="null3"/>
        <w:ind w:firstLine="480"/>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二、评审日期和地点，谈判小组成员名单；</w:t>
      </w:r>
    </w:p>
    <w:p>
      <w:pPr>
        <w:pStyle w:val="null3"/>
        <w:ind w:firstLine="480"/>
      </w:pPr>
      <w:r>
        <w:rPr>
          <w:rFonts w:ascii="仿宋_GB2312" w:hAnsi="仿宋_GB2312" w:cs="仿宋_GB2312" w:eastAsia="仿宋_GB2312"/>
        </w:rPr>
        <w:t>三、评审情况记录和说明，包括供应商响应文件审查情况、谈判情况、报价情况等；</w:t>
      </w:r>
    </w:p>
    <w:p>
      <w:pPr>
        <w:pStyle w:val="null3"/>
        <w:ind w:firstLine="480"/>
      </w:pPr>
      <w:r>
        <w:rPr>
          <w:rFonts w:ascii="仿宋_GB2312" w:hAnsi="仿宋_GB2312" w:cs="仿宋_GB2312" w:eastAsia="仿宋_GB2312"/>
        </w:rPr>
        <w:t>四、推荐的成交候选人的名单及理由。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rFonts w:ascii="仿宋_GB2312" w:hAnsi="仿宋_GB2312" w:cs="仿宋_GB2312" w:eastAsia="仿宋_GB2312"/>
          <w:sz w:val="24"/>
          <w:b/>
        </w:rPr>
        <w:t>6.3.11谈判异议处理规则</w:t>
      </w:r>
    </w:p>
    <w:p>
      <w:pPr>
        <w:pStyle w:val="null3"/>
        <w:ind w:firstLine="480"/>
      </w:pPr>
      <w:r>
        <w:rPr>
          <w:rFonts w:ascii="仿宋_GB2312" w:hAnsi="仿宋_GB2312" w:cs="仿宋_GB2312" w:eastAsia="仿宋_GB2312"/>
        </w:rPr>
        <w:t xml:space="preserve"> 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rFonts w:ascii="仿宋_GB2312" w:hAnsi="仿宋_GB2312" w:cs="仿宋_GB2312" w:eastAsia="仿宋_GB2312"/>
          <w:sz w:val="24"/>
          <w:b/>
        </w:rPr>
        <w:t>6.4终止谈判活动情形</w:t>
      </w:r>
    </w:p>
    <w:p>
      <w:pPr>
        <w:pStyle w:val="null3"/>
        <w:ind w:firstLine="480"/>
      </w:pPr>
      <w:r>
        <w:rPr>
          <w:rFonts w:ascii="仿宋_GB2312" w:hAnsi="仿宋_GB2312" w:cs="仿宋_GB2312" w:eastAsia="仿宋_GB2312"/>
        </w:rPr>
        <w:t xml:space="preserve"> 出现下列情形之一的，采购人或者代理机构应当终止竞争性谈判采购活动，发布项目终止公告并说明原因，重新开展采购活动：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6.7谈判小组在政府采购活动中应当遵守以下工作纪律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响应文件格式</w:t>
      </w:r>
    </w:p>
    <w:p>
      <w:pPr>
        <w:pStyle w:val="null3"/>
        <w:jc w:val="left"/>
      </w:pPr>
      <w:r>
        <w:rPr>
          <w:rFonts w:ascii="仿宋_GB2312" w:hAnsi="仿宋_GB2312" w:cs="仿宋_GB2312" w:eastAsia="仿宋_GB2312"/>
        </w:rPr>
        <w:t>一、本章所制响应文件格式，除格式中明确将该格式作为实质性要求的，不具有强制性。</w:t>
      </w:r>
    </w:p>
    <w:p>
      <w:pPr>
        <w:pStyle w:val="null3"/>
        <w:jc w:val="left"/>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