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版本号：ZBY2026011.20260525001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监测设备数据服务与安装服务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ZBY2026011.</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西安中保研招标有限公司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西安中保研招标有限公司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监测设备数据服务与安装服务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ZBY2026011.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监测设备数据服务与安装服务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陕西省2026年地质灾害群专结合监测预警建设项目的实施方案要求，对地质灾害隐患点变形特征进行实时监测，以保障隐患点内人民群众生命财产安全。本项目计划采购60处地质灾害监测预警数据服务，包括无人机正射影像测量、无人机倾斜摄影测量、监测设备选型与安装、设备运行维护等内容。详见招标文件第三章招标项目技术、服务、商务及其他要求，具体以招标文件全部内容要求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关联关系：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pStyle w:val="null3"/>
      </w:pPr>
      <w:r>
        <w:rPr>
          <w:rFonts w:ascii="仿宋_GB2312" w:hAnsi="仿宋_GB2312" w:cs="仿宋_GB2312" w:eastAsia="仿宋_GB2312"/>
        </w:rPr>
        <w:t>2、是否接受联合体投标：本项目不接受联合体投标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029-87852490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西安中保研招标有限公司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陕西省西安市新城区金花新都汇写字楼A座7楼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杨丹、李创、朱小翠、孙桐、聂俊丽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13772150019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开户名称：西安中保研招标有限公司</w:t>
            </w:r>
          </w:p>
          <w:p>
            <w:pPr>
              <w:pStyle w:val="null3"/>
            </w:pPr>
            <w:r>
              <w:rPr>
                <w:rFonts w:ascii="仿宋_GB2312" w:hAnsi="仿宋_GB2312" w:cs="仿宋_GB2312" w:eastAsia="仿宋_GB2312"/>
              </w:rPr>
              <w:t>开户银行：中国建设银行西安电子城支行</w:t>
            </w:r>
          </w:p>
          <w:p>
            <w:pPr>
              <w:pStyle w:val="null3"/>
            </w:pPr>
            <w:r>
              <w:rPr>
                <w:rFonts w:ascii="仿宋_GB2312" w:hAnsi="仿宋_GB2312" w:cs="仿宋_GB2312" w:eastAsia="仿宋_GB2312"/>
              </w:rPr>
              <w:t>银行账号：6105 0192 3800 0951 6518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说明：乙方在中标后向甲方出具合同总金额的5%履约保函（基本户银行保函），待本项目服务期限完毕后30 日内，甲方向乙方退还履约保函。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按中标金额作为收费的计算基数，收取标准参照国家计委关于印发《招标代理服务收费管理暂行办法的通知》（计价格[2002]1980号）”及“《国家发展改革委关于降低部分建设项目收费标准规范收费行为等有关问题的通知》（发改价格[2011]534号）”的有关规定由中标供应商向采购代理机构一次付清代理服务费。（招标代理服务费在缴付时需备注项目编号+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西安中保研招标有限公司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负责解释。除上述招标文件内容，其他内容由</w:t>
      </w:r>
      <w:r>
        <w:rPr>
          <w:rFonts w:ascii="仿宋_GB2312" w:hAnsi="仿宋_GB2312" w:cs="仿宋_GB2312" w:eastAsia="仿宋_GB2312"/>
        </w:rPr>
        <w:t>西安中保研招标有限公司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西安中保研招标有限公司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西安中保研招标有限公司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联系人：文件复核办公室李创</w:t>
      </w:r>
    </w:p>
    <w:p>
      <w:pPr>
        <w:pStyle w:val="null3"/>
      </w:pPr>
      <w:r>
        <w:rPr>
          <w:rFonts w:ascii="仿宋_GB2312" w:hAnsi="仿宋_GB2312" w:cs="仿宋_GB2312" w:eastAsia="仿宋_GB2312"/>
        </w:rPr>
        <w:t>联系电话：13772150019</w:t>
      </w:r>
    </w:p>
    <w:p>
      <w:pPr>
        <w:pStyle w:val="null3"/>
      </w:pPr>
      <w:r>
        <w:rPr>
          <w:rFonts w:ascii="仿宋_GB2312" w:hAnsi="仿宋_GB2312" w:cs="仿宋_GB2312" w:eastAsia="仿宋_GB2312"/>
        </w:rPr>
        <w:t>地址：陕西省西安市新城区金花新都汇写字楼A座7楼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根据陕西省2026年地质灾害群专结合监测预警建设项目的实施方案要求，对地质灾害隐患点变形特征进行实时监测，以保障隐患点内人民群众生命财产安全。本项目计划采购60处地质灾害监测预警数据服务，包括无人机正射影像测量、无人机倾斜摄影测量、监测设备选型与安装、设备运行维护等内容。详见招标文件第三章招标项目技术、服务、商务及其他要求，具体以招标文件全部内容要求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3,085,500.00</w:t>
      </w:r>
    </w:p>
    <w:p>
      <w:pPr>
        <w:pStyle w:val="null3"/>
      </w:pPr>
      <w:r>
        <w:rPr>
          <w:rFonts w:ascii="仿宋_GB2312" w:hAnsi="仿宋_GB2312" w:cs="仿宋_GB2312" w:eastAsia="仿宋_GB2312"/>
        </w:rPr>
        <w:t>采购包最高限价（元）: 3,085,500.00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监测设备数据服务与安装服务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3,085,500.00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标的名称：监测设备数据服务与安装服务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00"/>
              <w:jc w:val="both"/>
            </w:pPr>
            <w:r>
              <w:rPr>
                <w:rFonts w:ascii="仿宋_GB2312" w:hAnsi="仿宋_GB2312" w:cs="仿宋_GB2312" w:eastAsia="仿宋_GB2312"/>
                <w:sz w:val="24"/>
              </w:rPr>
              <w:t>根据陕西省</w:t>
            </w:r>
            <w:r>
              <w:rPr>
                <w:rFonts w:ascii="仿宋_GB2312" w:hAnsi="仿宋_GB2312" w:cs="仿宋_GB2312" w:eastAsia="仿宋_GB2312"/>
                <w:sz w:val="24"/>
              </w:rPr>
              <w:t>2026年地质灾害群专结合监测预警建设项目的实施方案要求，对地质灾害隐患点变形特征进行实时监测，以保障隐患点内人民群众生命财产安全。本项目计划采购60处地质灾害监测预警数据服务，包括无人机正射影像测量、无人机倾斜摄影测量、监测设备选型与安装、设备运行维护等内容。其中西安市临潼区3处，长安区2处，宝鸡市眉县2处，咸阳市淳化县2处，延安市宜川县1处，吴起县7处，志丹县5处，榆林市神木市1处，汉中市南郑区1处，勉县1处，略阳县1处，留坝县3处、安康市汉滨区1处，汉阴县3处，宁陕县5处，紫阳县2处，旬阳市1处，商洛市洛南县2处，山阳县4处，镇安县2处、丹凤县4处、柞水县7处。以上</w:t>
            </w:r>
            <w:r>
              <w:rPr>
                <w:rFonts w:ascii="仿宋_GB2312" w:hAnsi="仿宋_GB2312" w:cs="仿宋_GB2312" w:eastAsia="仿宋_GB2312"/>
                <w:sz w:val="24"/>
              </w:rPr>
              <w:t>安装地点如有变动，最终以采购人实际需求为准。</w:t>
            </w:r>
          </w:p>
          <w:p>
            <w:pPr>
              <w:pStyle w:val="null3"/>
              <w:jc w:val="both"/>
            </w:pPr>
            <w:r>
              <w:rPr>
                <w:rFonts w:ascii="仿宋_GB2312" w:hAnsi="仿宋_GB2312" w:cs="仿宋_GB2312" w:eastAsia="仿宋_GB2312"/>
                <w:sz w:val="24"/>
              </w:rPr>
              <w:t>二、技术规范</w:t>
            </w:r>
          </w:p>
          <w:p>
            <w:pPr>
              <w:pStyle w:val="null3"/>
              <w:ind w:firstLine="40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《地质灾害自动化仪器监测预警规范》</w:t>
            </w:r>
            <w:r>
              <w:rPr>
                <w:rFonts w:ascii="仿宋_GB2312" w:hAnsi="仿宋_GB2312" w:cs="仿宋_GB2312" w:eastAsia="仿宋_GB2312"/>
                <w:sz w:val="24"/>
              </w:rPr>
              <w:t>DZ/T 0460-2023；</w:t>
            </w:r>
          </w:p>
          <w:p>
            <w:pPr>
              <w:pStyle w:val="null3"/>
              <w:ind w:firstLine="40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《地质灾害监测预警普适型仪器布设安装及运行维护技术标准》；</w:t>
            </w:r>
          </w:p>
          <w:p>
            <w:pPr>
              <w:pStyle w:val="null3"/>
              <w:ind w:firstLine="40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《地质灾害监测预警数据库与平台建设标准》；</w:t>
            </w:r>
          </w:p>
          <w:p>
            <w:pPr>
              <w:pStyle w:val="null3"/>
              <w:ind w:firstLine="40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《地质灾害监测预警仪器设备检测检验技术规程》；</w:t>
            </w:r>
          </w:p>
          <w:p>
            <w:pPr>
              <w:pStyle w:val="null3"/>
              <w:ind w:firstLine="40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《中国地质调查局地质灾害监测预警普适型仪器设备示范试用工作方案》；</w:t>
            </w:r>
          </w:p>
          <w:p>
            <w:pPr>
              <w:pStyle w:val="null3"/>
              <w:ind w:firstLine="40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《滑坡、崩塌监测测量规范》（</w:t>
            </w:r>
            <w:r>
              <w:rPr>
                <w:rFonts w:ascii="仿宋_GB2312" w:hAnsi="仿宋_GB2312" w:cs="仿宋_GB2312" w:eastAsia="仿宋_GB2312"/>
                <w:sz w:val="24"/>
              </w:rPr>
              <w:t>DZ/T0227~2004）；</w:t>
            </w:r>
          </w:p>
          <w:p>
            <w:pPr>
              <w:pStyle w:val="null3"/>
              <w:ind w:firstLine="40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《崩塌、滑坡、泥石流监测规范》（</w:t>
            </w:r>
            <w:r>
              <w:rPr>
                <w:rFonts w:ascii="仿宋_GB2312" w:hAnsi="仿宋_GB2312" w:cs="仿宋_GB2312" w:eastAsia="仿宋_GB2312"/>
                <w:sz w:val="24"/>
              </w:rPr>
              <w:t>DZ/T0221~2019）；</w:t>
            </w:r>
          </w:p>
          <w:p>
            <w:pPr>
              <w:pStyle w:val="null3"/>
              <w:ind w:firstLine="40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《崩塌监测规范（试行）》（</w:t>
            </w:r>
            <w:r>
              <w:rPr>
                <w:rFonts w:ascii="仿宋_GB2312" w:hAnsi="仿宋_GB2312" w:cs="仿宋_GB2312" w:eastAsia="仿宋_GB2312"/>
                <w:sz w:val="24"/>
              </w:rPr>
              <w:t>T/CAGHP007~2018）；</w:t>
            </w:r>
          </w:p>
          <w:p>
            <w:pPr>
              <w:pStyle w:val="null3"/>
              <w:ind w:firstLine="40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《地质灾害地表变形监测技术规程（试行）》（</w:t>
            </w:r>
            <w:r>
              <w:rPr>
                <w:rFonts w:ascii="仿宋_GB2312" w:hAnsi="仿宋_GB2312" w:cs="仿宋_GB2312" w:eastAsia="仿宋_GB2312"/>
                <w:sz w:val="24"/>
              </w:rPr>
              <w:t>T/CAGHP014~2018）；</w:t>
            </w:r>
          </w:p>
          <w:p>
            <w:pPr>
              <w:pStyle w:val="null3"/>
              <w:ind w:firstLine="400"/>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《地质灾害监测仪器物理接口规定（试行）》（</w:t>
            </w:r>
            <w:r>
              <w:rPr>
                <w:rFonts w:ascii="仿宋_GB2312" w:hAnsi="仿宋_GB2312" w:cs="仿宋_GB2312" w:eastAsia="仿宋_GB2312"/>
                <w:sz w:val="24"/>
              </w:rPr>
              <w:t>T/CAGHP016~2018）；</w:t>
            </w:r>
          </w:p>
          <w:p>
            <w:pPr>
              <w:pStyle w:val="null3"/>
              <w:ind w:firstLine="400"/>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《突发地质灾害应急监测预警技术规范》（</w:t>
            </w:r>
            <w:r>
              <w:rPr>
                <w:rFonts w:ascii="仿宋_GB2312" w:hAnsi="仿宋_GB2312" w:cs="仿宋_GB2312" w:eastAsia="仿宋_GB2312"/>
                <w:sz w:val="24"/>
              </w:rPr>
              <w:t>T/CAGHP023~2018）；</w:t>
            </w:r>
          </w:p>
          <w:p>
            <w:pPr>
              <w:pStyle w:val="null3"/>
              <w:ind w:firstLine="400"/>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《地质灾害地面变形监测技术规程》（</w:t>
            </w:r>
            <w:r>
              <w:rPr>
                <w:rFonts w:ascii="仿宋_GB2312" w:hAnsi="仿宋_GB2312" w:cs="仿宋_GB2312" w:eastAsia="仿宋_GB2312"/>
                <w:sz w:val="24"/>
              </w:rPr>
              <w:t>T/CAGHP014-2018）；</w:t>
            </w:r>
          </w:p>
          <w:p>
            <w:pPr>
              <w:pStyle w:val="null3"/>
              <w:ind w:firstLine="40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《地质灾害监测数据通讯技术要求》（</w:t>
            </w:r>
            <w:r>
              <w:rPr>
                <w:rFonts w:ascii="仿宋_GB2312" w:hAnsi="仿宋_GB2312" w:cs="仿宋_GB2312" w:eastAsia="仿宋_GB2312"/>
                <w:sz w:val="24"/>
              </w:rPr>
              <w:t>DZ/T 0450-2023）；</w:t>
            </w:r>
          </w:p>
          <w:p>
            <w:pPr>
              <w:pStyle w:val="null3"/>
              <w:ind w:firstLine="400"/>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《地质灾害普适型仪器监测预警点建设与运维预算标准（试行）》（</w:t>
            </w:r>
            <w:r>
              <w:rPr>
                <w:rFonts w:ascii="仿宋_GB2312" w:hAnsi="仿宋_GB2312" w:cs="仿宋_GB2312" w:eastAsia="仿宋_GB2312"/>
                <w:sz w:val="24"/>
              </w:rPr>
              <w:t>2022 年 11 月）；</w:t>
            </w:r>
          </w:p>
          <w:p>
            <w:pPr>
              <w:pStyle w:val="null3"/>
              <w:ind w:firstLine="400"/>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《地质调查项目预算标准（</w:t>
            </w:r>
            <w:r>
              <w:rPr>
                <w:rFonts w:ascii="仿宋_GB2312" w:hAnsi="仿宋_GB2312" w:cs="仿宋_GB2312" w:eastAsia="仿宋_GB2312"/>
                <w:sz w:val="24"/>
              </w:rPr>
              <w:t>2021年）》。</w:t>
            </w:r>
          </w:p>
          <w:p>
            <w:pPr>
              <w:pStyle w:val="null3"/>
              <w:ind w:left="420"/>
              <w:jc w:val="both"/>
            </w:pPr>
            <w:r>
              <w:rPr>
                <w:rFonts w:ascii="仿宋_GB2312" w:hAnsi="仿宋_GB2312" w:cs="仿宋_GB2312" w:eastAsia="仿宋_GB2312"/>
                <w:sz w:val="24"/>
              </w:rPr>
              <w:t>三、服务内容和技术要求</w:t>
            </w:r>
          </w:p>
          <w:p>
            <w:pPr>
              <w:pStyle w:val="null3"/>
              <w:jc w:val="both"/>
            </w:pPr>
            <w:r>
              <w:rPr>
                <w:rFonts w:ascii="仿宋_GB2312" w:hAnsi="仿宋_GB2312" w:cs="仿宋_GB2312" w:eastAsia="仿宋_GB2312"/>
                <w:sz w:val="24"/>
              </w:rPr>
              <w:t>（一）服务内容工作量见表</w:t>
            </w:r>
            <w:r>
              <w:rPr>
                <w:rFonts w:ascii="仿宋_GB2312" w:hAnsi="仿宋_GB2312" w:cs="仿宋_GB2312" w:eastAsia="仿宋_GB2312"/>
                <w:sz w:val="24"/>
              </w:rPr>
              <w:t>1。</w:t>
            </w:r>
            <w:r>
              <w:br/>
            </w:r>
            <w:r>
              <w:rPr>
                <w:rFonts w:ascii="仿宋_GB2312" w:hAnsi="仿宋_GB2312" w:cs="仿宋_GB2312" w:eastAsia="仿宋_GB2312"/>
                <w:sz w:val="24"/>
              </w:rPr>
              <w:t>表</w:t>
            </w:r>
            <w:r>
              <w:rPr>
                <w:rFonts w:ascii="仿宋_GB2312" w:hAnsi="仿宋_GB2312" w:cs="仿宋_GB2312" w:eastAsia="仿宋_GB2312"/>
                <w:sz w:val="24"/>
              </w:rPr>
              <w:t>1 陕西省2026年地质灾害群专结合监测预警建设工作量表</w:t>
            </w:r>
          </w:p>
          <w:tbl>
            <w:tblPr>
              <w:tblBorders>
                <w:top w:val="none" w:color="000000" w:sz="4"/>
                <w:left w:val="none" w:color="000000" w:sz="4"/>
                <w:bottom w:val="none" w:color="000000" w:sz="4"/>
                <w:right w:val="none" w:color="000000" w:sz="4"/>
                <w:insideH w:val="none"/>
                <w:insideV w:val="none"/>
              </w:tblBorders>
            </w:tblPr>
            <w:tblGrid>
              <w:gridCol w:w="332"/>
              <w:gridCol w:w="1044"/>
              <w:gridCol w:w="324"/>
              <w:gridCol w:w="702"/>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4"/>
                    </w:rPr>
                    <w:t>工作内容</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工作量</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无人机正射影像图</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无人机三维模型</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监测设备选型</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264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设备安装、数据入网和运行维护</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264</w:t>
                  </w:r>
                </w:p>
              </w:tc>
            </w:tr>
          </w:tbl>
          <w:p>
            <w:pPr>
              <w:pStyle w:val="null3"/>
              <w:spacing w:before="150"/>
              <w:jc w:val="left"/>
            </w:pPr>
            <w:r>
              <w:rPr>
                <w:rFonts w:ascii="仿宋_GB2312" w:hAnsi="仿宋_GB2312" w:cs="仿宋_GB2312" w:eastAsia="仿宋_GB2312"/>
                <w:sz w:val="24"/>
              </w:rPr>
              <w:t>（二）安装监测设备不少于</w:t>
            </w:r>
            <w:r>
              <w:rPr>
                <w:rFonts w:ascii="仿宋_GB2312" w:hAnsi="仿宋_GB2312" w:cs="仿宋_GB2312" w:eastAsia="仿宋_GB2312"/>
                <w:sz w:val="24"/>
              </w:rPr>
              <w:t>264套，供应商所提供的伴随服务设备应具备高测量精度、稳定可靠的监测数据与稳定的运行性能，并自行负责相关资产的保管和更换。监测设备精度须满足《地质灾害普适型仪器监测预警规范》要求，具体参数详见表 2。</w:t>
            </w:r>
          </w:p>
          <w:p>
            <w:pPr>
              <w:pStyle w:val="null3"/>
              <w:spacing w:before="150"/>
              <w:jc w:val="center"/>
            </w:pPr>
            <w:r>
              <w:rPr>
                <w:rFonts w:ascii="仿宋_GB2312" w:hAnsi="仿宋_GB2312" w:cs="仿宋_GB2312" w:eastAsia="仿宋_GB2312"/>
                <w:sz w:val="24"/>
              </w:rPr>
              <w:t>表</w:t>
            </w:r>
            <w:r>
              <w:rPr>
                <w:rFonts w:ascii="仿宋_GB2312" w:hAnsi="仿宋_GB2312" w:cs="仿宋_GB2312" w:eastAsia="仿宋_GB2312"/>
                <w:sz w:val="24"/>
              </w:rPr>
              <w:t>2 可供选择的地质灾害监测设备</w:t>
            </w:r>
          </w:p>
          <w:tbl>
            <w:tblPr>
              <w:tblInd w:type="dxa" w:w="60"/>
              <w:tblBorders>
                <w:top w:val="none" w:color="000000" w:sz="4"/>
                <w:left w:val="none" w:color="000000" w:sz="4"/>
                <w:bottom w:val="none" w:color="000000" w:sz="4"/>
                <w:right w:val="none" w:color="000000" w:sz="4"/>
                <w:insideH w:val="none"/>
                <w:insideV w:val="none"/>
              </w:tblBorders>
            </w:tblPr>
            <w:tblGrid>
              <w:gridCol w:w="514"/>
              <w:gridCol w:w="923"/>
              <w:gridCol w:w="929"/>
              <w:gridCol w:w="1295"/>
              <w:gridCol w:w="539"/>
              <w:gridCol w:w="2162"/>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观测内容</w:t>
                  </w:r>
                </w:p>
              </w:tc>
              <w:tc>
                <w:tcPr>
                  <w:tcW w:type="dxa" w:w="1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自动化监测设备</w:t>
                  </w:r>
                </w:p>
                <w:p>
                  <w:pPr>
                    <w:pStyle w:val="null3"/>
                    <w:jc w:val="center"/>
                  </w:pPr>
                  <w:r>
                    <w:rPr>
                      <w:rFonts w:ascii="仿宋_GB2312" w:hAnsi="仿宋_GB2312" w:cs="仿宋_GB2312" w:eastAsia="仿宋_GB2312"/>
                      <w:sz w:val="24"/>
                      <w:b/>
                    </w:rPr>
                    <w:t>/方法</w:t>
                  </w:r>
                </w:p>
              </w:tc>
              <w:tc>
                <w:tcPr>
                  <w:tcW w:type="dxa" w:w="27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测量精度</w:t>
                  </w: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地表位移监测基准站</w:t>
                  </w:r>
                </w:p>
              </w:tc>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地表水平位移、沉降</w:t>
                  </w:r>
                </w:p>
              </w:tc>
              <w:tc>
                <w:tcPr>
                  <w:tcW w:type="dxa" w:w="1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GNSS监测，</w:t>
                  </w:r>
                </w:p>
                <w:p>
                  <w:pPr>
                    <w:pStyle w:val="null3"/>
                    <w:jc w:val="center"/>
                  </w:pPr>
                  <w:r>
                    <w:rPr>
                      <w:rFonts w:ascii="仿宋_GB2312" w:hAnsi="仿宋_GB2312" w:cs="仿宋_GB2312" w:eastAsia="仿宋_GB2312"/>
                      <w:sz w:val="24"/>
                    </w:rPr>
                    <w:t>可使用北斗三代卫星信号</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静态</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w:t>
                  </w:r>
                  <w:r>
                    <w:rPr>
                      <w:rFonts w:ascii="仿宋_GB2312" w:hAnsi="仿宋_GB2312" w:cs="仿宋_GB2312" w:eastAsia="仿宋_GB2312"/>
                      <w:sz w:val="24"/>
                    </w:rPr>
                    <w:t>2.5mm+0.5ppm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w:t>
                  </w:r>
                  <w:r>
                    <w:rPr>
                      <w:rFonts w:ascii="仿宋_GB2312" w:hAnsi="仿宋_GB2312" w:cs="仿宋_GB2312" w:eastAsia="仿宋_GB2312"/>
                      <w:sz w:val="24"/>
                    </w:rPr>
                    <w:t>:5mm+0.5ppm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w:t>
                  </w:r>
                  <w:r>
                    <w:rPr>
                      <w:rFonts w:ascii="仿宋_GB2312" w:hAnsi="仿宋_GB2312" w:cs="仿宋_GB2312" w:eastAsia="仿宋_GB2312"/>
                      <w:sz w:val="24"/>
                    </w:rPr>
                    <w:t>8mm+1ppm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w:t>
                  </w:r>
                  <w:r>
                    <w:rPr>
                      <w:rFonts w:ascii="仿宋_GB2312" w:hAnsi="仿宋_GB2312" w:cs="仿宋_GB2312" w:eastAsia="仿宋_GB2312"/>
                      <w:sz w:val="24"/>
                    </w:rPr>
                    <w:t>15mm+1ppm</w:t>
                  </w: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地表位移监测监测站</w:t>
                  </w:r>
                </w:p>
              </w:tc>
              <w:tc>
                <w:tcPr>
                  <w:tcW w:type="dxa" w:w="9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地表水平位移、沉降</w:t>
                  </w:r>
                </w:p>
              </w:tc>
              <w:tc>
                <w:tcPr>
                  <w:tcW w:type="dxa" w:w="1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GNSS监测</w:t>
                  </w:r>
                </w:p>
                <w:p>
                  <w:pPr>
                    <w:pStyle w:val="null3"/>
                    <w:jc w:val="center"/>
                  </w:pPr>
                  <w:r>
                    <w:rPr>
                      <w:rFonts w:ascii="仿宋_GB2312" w:hAnsi="仿宋_GB2312" w:cs="仿宋_GB2312" w:eastAsia="仿宋_GB2312"/>
                      <w:sz w:val="24"/>
                    </w:rPr>
                    <w:t>可使用北斗三代卫星信号</w:t>
                  </w: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静态</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w:t>
                  </w:r>
                  <w:r>
                    <w:rPr>
                      <w:rFonts w:ascii="仿宋_GB2312" w:hAnsi="仿宋_GB2312" w:cs="仿宋_GB2312" w:eastAsia="仿宋_GB2312"/>
                      <w:sz w:val="24"/>
                    </w:rPr>
                    <w:t>:5mm+1ppm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w:t>
                  </w:r>
                  <w:r>
                    <w:rPr>
                      <w:rFonts w:ascii="仿宋_GB2312" w:hAnsi="仿宋_GB2312" w:cs="仿宋_GB2312" w:eastAsia="仿宋_GB2312"/>
                      <w:sz w:val="24"/>
                    </w:rPr>
                    <w:t>:10mm+1ppm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w:t>
                  </w:r>
                  <w:r>
                    <w:rPr>
                      <w:rFonts w:ascii="仿宋_GB2312" w:hAnsi="仿宋_GB2312" w:cs="仿宋_GB2312" w:eastAsia="仿宋_GB2312"/>
                      <w:sz w:val="24"/>
                    </w:rPr>
                    <w:t>:10mm+1ppm</w:t>
                  </w:r>
                </w:p>
              </w:tc>
            </w:tr>
            <w:tr>
              <w:tc>
                <w:tcPr>
                  <w:tcW w:type="dxa" w:w="514"/>
                  <w:vMerge/>
                  <w:tcBorders>
                    <w:top w:val="none" w:color="000000" w:sz="4"/>
                    <w:left w:val="single" w:color="000000" w:sz="4"/>
                    <w:bottom w:val="single" w:color="000000" w:sz="4"/>
                    <w:right w:val="single" w:color="000000" w:sz="4"/>
                  </w:tcBorders>
                </w:tcPr>
                <w:p/>
              </w:tc>
              <w:tc>
                <w:tcPr>
                  <w:tcW w:type="dxa" w:w="923"/>
                  <w:vMerge/>
                  <w:tcBorders>
                    <w:top w:val="none" w:color="000000" w:sz="4"/>
                    <w:left w:val="single" w:color="000000" w:sz="4"/>
                    <w:bottom w:val="single" w:color="000000" w:sz="4"/>
                    <w:right w:val="single" w:color="000000" w:sz="4"/>
                  </w:tcBorders>
                </w:tcPr>
                <w:p/>
              </w:tc>
              <w:tc>
                <w:tcPr>
                  <w:tcW w:type="dxa" w:w="929"/>
                  <w:vMerge/>
                  <w:tcBorders>
                    <w:top w:val="none" w:color="000000" w:sz="4"/>
                    <w:left w:val="single" w:color="000000" w:sz="4"/>
                    <w:bottom w:val="single" w:color="000000" w:sz="4"/>
                    <w:right w:val="single" w:color="000000" w:sz="4"/>
                  </w:tcBorders>
                </w:tcPr>
                <w:p/>
              </w:tc>
              <w:tc>
                <w:tcPr>
                  <w:tcW w:type="dxa" w:w="1295"/>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垂直</w:t>
                  </w:r>
                  <w:r>
                    <w:rPr>
                      <w:rFonts w:ascii="仿宋_GB2312" w:hAnsi="仿宋_GB2312" w:cs="仿宋_GB2312" w:eastAsia="仿宋_GB2312"/>
                      <w:sz w:val="24"/>
                    </w:rPr>
                    <w:t>:20mm+1ppm</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裂缝监测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裂缝宽度</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裂缝监测仪</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±0.1%F•S</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降雨量监测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大气降水量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翻斗式</w:t>
                  </w:r>
                  <w:r>
                    <w:rPr>
                      <w:rFonts w:ascii="仿宋_GB2312" w:hAnsi="仿宋_GB2312" w:cs="仿宋_GB2312" w:eastAsia="仿宋_GB2312"/>
                      <w:sz w:val="24"/>
                    </w:rPr>
                    <w:t>雨量站</w:t>
                  </w:r>
                  <w:r>
                    <w:rPr>
                      <w:rFonts w:ascii="仿宋_GB2312" w:hAnsi="仿宋_GB2312" w:cs="仿宋_GB2312" w:eastAsia="仿宋_GB2312"/>
                      <w:sz w:val="24"/>
                    </w:rPr>
                    <w:t>、</w:t>
                  </w:r>
                  <w:r>
                    <w:rPr>
                      <w:rFonts w:ascii="仿宋_GB2312" w:hAnsi="仿宋_GB2312" w:cs="仿宋_GB2312" w:eastAsia="仿宋_GB2312"/>
                      <w:sz w:val="24"/>
                    </w:rPr>
                    <w:t>压电式雨量站</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泥水位监测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泥位、水位</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泥水位测量仪</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±0.1%F·S</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次声监测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次声</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声波探测</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3000mv/g左右</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含水率监测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管式含水率仪</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流量监测站</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河水流量监测</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测速精度</w:t>
                  </w:r>
                  <w:r>
                    <w:rPr>
                      <w:rFonts w:ascii="仿宋_GB2312" w:hAnsi="仿宋_GB2312" w:cs="仿宋_GB2312" w:eastAsia="仿宋_GB2312"/>
                      <w:sz w:val="24"/>
                    </w:rPr>
                    <w:t>±2%，速度分辨率0.01m/s</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8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w:t>
                  </w: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视频像素：</w:t>
                  </w:r>
                  <w:r>
                    <w:rPr>
                      <w:rFonts w:ascii="仿宋_GB2312" w:hAnsi="仿宋_GB2312" w:cs="仿宋_GB2312" w:eastAsia="仿宋_GB2312"/>
                      <w:sz w:val="24"/>
                    </w:rPr>
                    <w:t>≥500万像素</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8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雷视一体</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最大监测距离：探测距离</w:t>
                  </w:r>
                  <w:r>
                    <w:rPr>
                      <w:rFonts w:ascii="仿宋_GB2312" w:hAnsi="仿宋_GB2312" w:cs="仿宋_GB2312" w:eastAsia="仿宋_GB2312"/>
                      <w:sz w:val="24"/>
                    </w:rPr>
                    <w:t>≥200m；</w:t>
                  </w:r>
                </w:p>
                <w:p>
                  <w:pPr>
                    <w:pStyle w:val="null3"/>
                    <w:jc w:val="left"/>
                  </w:pPr>
                  <w:r>
                    <w:rPr>
                      <w:rFonts w:ascii="仿宋_GB2312" w:hAnsi="仿宋_GB2312" w:cs="仿宋_GB2312" w:eastAsia="仿宋_GB2312"/>
                      <w:sz w:val="24"/>
                    </w:rPr>
                    <w:t>位移监测精度：</w:t>
                  </w:r>
                  <w:r>
                    <w:rPr>
                      <w:rFonts w:ascii="仿宋_GB2312" w:hAnsi="仿宋_GB2312" w:cs="仿宋_GB2312" w:eastAsia="仿宋_GB2312"/>
                      <w:sz w:val="24"/>
                    </w:rPr>
                    <w:t>≤±1mm；</w:t>
                  </w:r>
                </w:p>
                <w:p>
                  <w:pPr>
                    <w:pStyle w:val="null3"/>
                    <w:jc w:val="left"/>
                  </w:pPr>
                  <w:r>
                    <w:rPr>
                      <w:rFonts w:ascii="仿宋_GB2312" w:hAnsi="仿宋_GB2312" w:cs="仿宋_GB2312" w:eastAsia="仿宋_GB2312"/>
                      <w:sz w:val="24"/>
                    </w:rPr>
                    <w:t>图形分辨率：</w:t>
                  </w:r>
                  <w:r>
                    <w:rPr>
                      <w:rFonts w:ascii="仿宋_GB2312" w:hAnsi="仿宋_GB2312" w:cs="仿宋_GB2312" w:eastAsia="仿宋_GB2312"/>
                      <w:sz w:val="24"/>
                    </w:rPr>
                    <w:t>≥200万像素</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8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预警</w:t>
                  </w:r>
                  <w:r>
                    <w:rPr>
                      <w:rFonts w:ascii="仿宋_GB2312" w:hAnsi="仿宋_GB2312" w:cs="仿宋_GB2312" w:eastAsia="仿宋_GB2312"/>
                      <w:sz w:val="24"/>
                    </w:rPr>
                    <w:t>广播站</w:t>
                  </w:r>
                </w:p>
              </w:tc>
              <w:tc>
                <w:tcPr>
                  <w:tcW w:type="dxa" w:w="1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输出功率</w:t>
                  </w:r>
                  <w:r>
                    <w:rPr>
                      <w:rFonts w:ascii="仿宋_GB2312" w:hAnsi="仿宋_GB2312" w:cs="仿宋_GB2312" w:eastAsia="仿宋_GB2312"/>
                      <w:sz w:val="24"/>
                    </w:rPr>
                    <w:t>≥100W</w:t>
                  </w:r>
                </w:p>
              </w:tc>
            </w:tr>
          </w:tbl>
          <w:p>
            <w:pPr>
              <w:pStyle w:val="null3"/>
              <w:ind w:firstLine="402"/>
              <w:jc w:val="both"/>
            </w:pPr>
            <w:r>
              <w:rPr>
                <w:rFonts w:ascii="仿宋_GB2312" w:hAnsi="仿宋_GB2312" w:cs="仿宋_GB2312" w:eastAsia="仿宋_GB2312"/>
                <w:sz w:val="24"/>
                <w:b/>
              </w:rPr>
              <w:t>以上设备均须采用锂电池供电。</w:t>
            </w:r>
          </w:p>
          <w:p>
            <w:pPr>
              <w:pStyle w:val="null3"/>
              <w:spacing w:after="120"/>
              <w:ind w:firstLine="420"/>
              <w:jc w:val="both"/>
            </w:pPr>
            <w:r>
              <w:rPr>
                <w:rFonts w:ascii="仿宋_GB2312" w:hAnsi="仿宋_GB2312" w:cs="仿宋_GB2312" w:eastAsia="仿宋_GB2312"/>
                <w:sz w:val="24"/>
              </w:rPr>
              <w:t>设备数量如下表：</w:t>
            </w:r>
            <w:r>
              <w:rPr>
                <w:rFonts w:ascii="仿宋_GB2312" w:hAnsi="仿宋_GB2312" w:cs="仿宋_GB2312" w:eastAsia="仿宋_GB2312"/>
                <w:sz w:val="24"/>
              </w:rPr>
              <w:t xml:space="preserve"> </w:t>
            </w:r>
          </w:p>
          <w:tbl>
            <w:tblPr>
              <w:tblBorders>
                <w:top w:val="none" w:color="000000" w:sz="4"/>
                <w:left w:val="none" w:color="000000" w:sz="4"/>
                <w:bottom w:val="none" w:color="000000" w:sz="4"/>
                <w:right w:val="none" w:color="000000" w:sz="4"/>
                <w:insideH w:val="none"/>
                <w:insideV w:val="none"/>
              </w:tblBorders>
            </w:tblPr>
            <w:tblGrid>
              <w:gridCol w:w="3124"/>
              <w:gridCol w:w="3241"/>
            </w:tblGrid>
            <w:tr>
              <w:tc>
                <w:tcPr>
                  <w:tcW w:type="dxa" w:w="3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数量及单位</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GNSS基准站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GNSS监测站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含水率监测站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多参数裂缝计</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预警广播站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泥位计</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雷视一体监测站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雷达流量计</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次声监测站</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翻斗式雨量计</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压电式雨量计</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警示牌</w:t>
                  </w:r>
                </w:p>
              </w:tc>
              <w:tc>
                <w:tcPr>
                  <w:tcW w:type="dxa" w:w="3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324块</w:t>
                  </w:r>
                </w:p>
              </w:tc>
            </w:tr>
          </w:tbl>
          <w:p>
            <w:pPr>
              <w:pStyle w:val="null3"/>
              <w:ind w:firstLine="400"/>
            </w:pPr>
            <w:r>
              <w:rPr>
                <w:rFonts w:ascii="仿宋_GB2312" w:hAnsi="仿宋_GB2312" w:cs="仿宋_GB2312" w:eastAsia="仿宋_GB2312"/>
                <w:sz w:val="24"/>
              </w:rPr>
              <w:t>建设完成后，航拍正射影像图、三维实景模型</w:t>
            </w:r>
            <w:r>
              <w:rPr>
                <w:rFonts w:ascii="仿宋_GB2312" w:hAnsi="仿宋_GB2312" w:cs="仿宋_GB2312" w:eastAsia="仿宋_GB2312"/>
                <w:sz w:val="24"/>
              </w:rPr>
              <w:t>60处，生成相关成果图件并标注设备安装位置和灾害体范围。</w:t>
            </w:r>
          </w:p>
          <w:p>
            <w:pPr>
              <w:pStyle w:val="null3"/>
              <w:ind w:firstLine="400"/>
            </w:pPr>
            <w:r>
              <w:rPr>
                <w:rFonts w:ascii="仿宋_GB2312" w:hAnsi="仿宋_GB2312" w:cs="仿宋_GB2312" w:eastAsia="仿宋_GB2312"/>
                <w:sz w:val="24"/>
              </w:rPr>
              <w:t>在</w:t>
            </w:r>
            <w:r>
              <w:rPr>
                <w:rFonts w:ascii="仿宋_GB2312" w:hAnsi="仿宋_GB2312" w:cs="仿宋_GB2312" w:eastAsia="仿宋_GB2312"/>
                <w:sz w:val="24"/>
              </w:rPr>
              <w:t>GNSS数据结算时，如遇共用GNSS基准站无法共用结算时，中标供应商负责新建GNSS基准站。每处监测点原则上需使用3km以内的共享含水率监测数据和共享降雨量数据，如遇无共享含水率监测数据和共享降雨量数据，中标供应商负责新建含水率站、雨量站。由此产生的费用均由中标供应商负责。</w:t>
            </w:r>
          </w:p>
          <w:p>
            <w:pPr>
              <w:pStyle w:val="null3"/>
            </w:pPr>
            <w:r>
              <w:rPr>
                <w:rFonts w:ascii="仿宋_GB2312" w:hAnsi="仿宋_GB2312" w:cs="仿宋_GB2312" w:eastAsia="仿宋_GB2312"/>
                <w:sz w:val="24"/>
                <w:b/>
              </w:rPr>
              <w:t>（三）设备安装和运行维护</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安装位置原则</w:t>
            </w:r>
          </w:p>
          <w:p>
            <w:pPr>
              <w:pStyle w:val="null3"/>
              <w:ind w:firstLine="400"/>
              <w:jc w:val="both"/>
            </w:pPr>
            <w:r>
              <w:rPr>
                <w:rFonts w:ascii="仿宋_GB2312" w:hAnsi="仿宋_GB2312" w:cs="仿宋_GB2312" w:eastAsia="仿宋_GB2312"/>
                <w:sz w:val="24"/>
              </w:rPr>
              <w:t>建设期和运维期设备</w:t>
            </w:r>
            <w:r>
              <w:rPr>
                <w:rFonts w:ascii="仿宋_GB2312" w:hAnsi="仿宋_GB2312" w:cs="仿宋_GB2312" w:eastAsia="仿宋_GB2312"/>
                <w:sz w:val="24"/>
              </w:rPr>
              <w:t>安装</w:t>
            </w:r>
            <w:r>
              <w:rPr>
                <w:rFonts w:ascii="仿宋_GB2312" w:hAnsi="仿宋_GB2312" w:cs="仿宋_GB2312" w:eastAsia="仿宋_GB2312"/>
                <w:sz w:val="24"/>
              </w:rPr>
              <w:t>位置</w:t>
            </w:r>
            <w:r>
              <w:rPr>
                <w:rFonts w:ascii="仿宋_GB2312" w:hAnsi="仿宋_GB2312" w:cs="仿宋_GB2312" w:eastAsia="仿宋_GB2312"/>
                <w:sz w:val="24"/>
              </w:rPr>
              <w:t>和安装方式必须经采购人确认后方可安装，如需</w:t>
            </w:r>
            <w:r>
              <w:rPr>
                <w:rFonts w:ascii="仿宋_GB2312" w:hAnsi="仿宋_GB2312" w:cs="仿宋_GB2312" w:eastAsia="仿宋_GB2312"/>
                <w:sz w:val="24"/>
              </w:rPr>
              <w:t>变动</w:t>
            </w:r>
            <w:r>
              <w:rPr>
                <w:rFonts w:ascii="仿宋_GB2312" w:hAnsi="仿宋_GB2312" w:cs="仿宋_GB2312" w:eastAsia="仿宋_GB2312"/>
                <w:sz w:val="24"/>
              </w:rPr>
              <w:t>安装位置和安装方式必须书面报告</w:t>
            </w:r>
            <w:r>
              <w:rPr>
                <w:rFonts w:ascii="仿宋_GB2312" w:hAnsi="仿宋_GB2312" w:cs="仿宋_GB2312" w:eastAsia="仿宋_GB2312"/>
                <w:sz w:val="24"/>
              </w:rPr>
              <w:t>采购人</w:t>
            </w:r>
            <w:r>
              <w:rPr>
                <w:rFonts w:ascii="仿宋_GB2312" w:hAnsi="仿宋_GB2312" w:cs="仿宋_GB2312" w:eastAsia="仿宋_GB2312"/>
                <w:sz w:val="24"/>
              </w:rPr>
              <w:t>，</w:t>
            </w:r>
            <w:r>
              <w:rPr>
                <w:rFonts w:ascii="仿宋_GB2312" w:hAnsi="仿宋_GB2312" w:cs="仿宋_GB2312" w:eastAsia="仿宋_GB2312"/>
                <w:sz w:val="24"/>
              </w:rPr>
              <w:t>经得同意后方可调整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基础施工</w:t>
            </w:r>
          </w:p>
          <w:p>
            <w:pPr>
              <w:pStyle w:val="null3"/>
              <w:ind w:firstLine="400"/>
              <w:jc w:val="both"/>
            </w:pPr>
            <w:r>
              <w:rPr>
                <w:rFonts w:ascii="仿宋_GB2312" w:hAnsi="仿宋_GB2312" w:cs="仿宋_GB2312" w:eastAsia="仿宋_GB2312"/>
                <w:sz w:val="24"/>
              </w:rPr>
              <w:t>设备基础施工应满足以下要求，设备安装完成后，应对每个隐患点开展设备验收，对不满足要求的设备及时进行更换，确保监测设备数据的可靠性。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采用地埋件安装立杆的监测设备，应采用钢筋混凝土基础，上端为地脚螺栓螺纹，下端为防拔结构；在保障稳定性需求前提下，可采用预埋箱、地插胀杆等新型绿色安装方式。地埋件应保持水平，上端与监控立杆法兰盘应可靠配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对采用混凝土浇筑安装立杆的监测设备，立杆长</w:t>
            </w:r>
            <w:r>
              <w:rPr>
                <w:rFonts w:ascii="仿宋_GB2312" w:hAnsi="仿宋_GB2312" w:cs="仿宋_GB2312" w:eastAsia="仿宋_GB2312"/>
                <w:sz w:val="24"/>
              </w:rPr>
              <w:t>2m时混凝土底座长×宽×深不小于500mm×500mm×600mm，立杆长3m时混凝土底座长×宽×深不小于600mm×600mm×800mm，立杆长5—6m时混凝土底座长×宽×深不小于800mm×800mm×1000mm。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对于地插胀杆式的新型安装方法，应保证钻孔直径不小于胀杆直径，地插部分长</w:t>
            </w:r>
            <w:r>
              <w:rPr>
                <w:rFonts w:ascii="仿宋_GB2312" w:hAnsi="仿宋_GB2312" w:cs="仿宋_GB2312" w:eastAsia="仿宋_GB2312"/>
                <w:sz w:val="24"/>
              </w:rPr>
              <w:t>度不小于</w:t>
            </w:r>
            <w:r>
              <w:rPr>
                <w:rFonts w:ascii="仿宋_GB2312" w:hAnsi="仿宋_GB2312" w:cs="仿宋_GB2312" w:eastAsia="仿宋_GB2312"/>
                <w:sz w:val="24"/>
              </w:rPr>
              <w:t>600mm，地插深度不小于 600mm。并采用原位土和泥浆填充空隙，保证仪器 安装稳定。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基础地面平台长、宽不小于</w:t>
            </w:r>
            <w:r>
              <w:rPr>
                <w:rFonts w:ascii="仿宋_GB2312" w:hAnsi="仿宋_GB2312" w:cs="仿宋_GB2312" w:eastAsia="仿宋_GB2312"/>
                <w:sz w:val="24"/>
              </w:rPr>
              <w:t>400mm，露出地面高度不小于200mm。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采用悬挂安装的仪器设备，应配备仪器安装背板，并安装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对需要采取避雷措施的监测仪器设备，基础施工时应预先埋入接地电极。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基坑开挖属隐蔽工程，开挖时应按施工流程做好影像记录以备查验。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监测工作须在监测点位的基础达到稳定状态后开展，监测数据也应在此之后方可被认为有效。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基准站一般为钢筋混凝土结构，依据基准站建站地理、地质环境，观测</w:t>
            </w:r>
            <w:r>
              <w:rPr>
                <w:rFonts w:ascii="仿宋_GB2312" w:hAnsi="仿宋_GB2312" w:cs="仿宋_GB2312" w:eastAsia="仿宋_GB2312"/>
                <w:sz w:val="24"/>
              </w:rPr>
              <w:t>墩可分为屋顶观测墩、土层观测墩和基岩观测墩，观测墩的建造要求如下：</w:t>
            </w:r>
          </w:p>
          <w:p>
            <w:pPr>
              <w:pStyle w:val="null3"/>
              <w:ind w:firstLine="200"/>
              <w:jc w:val="both"/>
            </w:pPr>
            <w:r>
              <w:rPr>
                <w:rFonts w:ascii="仿宋_GB2312" w:hAnsi="仿宋_GB2312" w:cs="仿宋_GB2312" w:eastAsia="仿宋_GB2312"/>
                <w:sz w:val="24"/>
              </w:rPr>
              <w:t>①对于基岩观测墩，内部钢筋与基岩紧密浇筑，浇筑深度不小于0.5m；</w:t>
            </w:r>
          </w:p>
          <w:p>
            <w:pPr>
              <w:pStyle w:val="null3"/>
              <w:ind w:firstLine="200"/>
              <w:jc w:val="both"/>
            </w:pPr>
            <w:r>
              <w:rPr>
                <w:rFonts w:ascii="仿宋_GB2312" w:hAnsi="仿宋_GB2312" w:cs="仿宋_GB2312" w:eastAsia="仿宋_GB2312"/>
                <w:sz w:val="24"/>
              </w:rPr>
              <w:t>②对于土层观测墩，钢筋混凝土墩体地下埋深不小于1m（冻土层上，墩体重心原则上应位于冻土层以下不少于0.5m）；观测墩主筋不低于M16规格，配筋不低于M10规格，主筋长度不小于相应观测墩高；</w:t>
            </w:r>
          </w:p>
          <w:p>
            <w:pPr>
              <w:pStyle w:val="null3"/>
              <w:ind w:firstLine="200"/>
              <w:jc w:val="both"/>
            </w:pPr>
            <w:r>
              <w:rPr>
                <w:rFonts w:ascii="仿宋_GB2312" w:hAnsi="仿宋_GB2312" w:cs="仿宋_GB2312" w:eastAsia="仿宋_GB2312"/>
                <w:sz w:val="24"/>
              </w:rPr>
              <w:t>③屋顶观测墩所在建筑物应为钢筋混凝土框架结构，屋顶观测墩长宽高尺寸不低于1000×1000×300mm，钢筋混凝土墩体应位于房屋承重柱、梁上；屋顶观测墩与屋顶面 接合处应做好防水处理。</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设备安装要求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雨量计应检查压敏（电）感应区是否水平，且安装高度选定后，不得随意变动，以保持历年降雨量观测高度的一致性和降雨记录的可比性。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GNSS立杆直径≥140mm，管壁厚度≥3mm，并加装防雷设施。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裂缝计在主裂缝位置应尽可能垂直穿过裂缝安装，拉绳必须通过保护管进行保护，激光式裂缝计标靶必须固定，且标靶面积不小于</w:t>
            </w:r>
            <w:r>
              <w:rPr>
                <w:rFonts w:ascii="仿宋_GB2312" w:hAnsi="仿宋_GB2312" w:cs="仿宋_GB2312" w:eastAsia="仿宋_GB2312"/>
                <w:sz w:val="24"/>
              </w:rPr>
              <w:t>500mm×500mm。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管式含水率计安装应满足下列要求：</w:t>
            </w:r>
          </w:p>
          <w:p>
            <w:pPr>
              <w:pStyle w:val="null3"/>
              <w:ind w:firstLine="200"/>
              <w:jc w:val="both"/>
            </w:pPr>
            <w:r>
              <w:rPr>
                <w:rFonts w:ascii="仿宋_GB2312" w:hAnsi="仿宋_GB2312" w:cs="仿宋_GB2312" w:eastAsia="仿宋_GB2312"/>
                <w:sz w:val="24"/>
              </w:rPr>
              <w:t>①安装前需采用手动或机械取土钻竖直向下打孔，孔径一般大于传感器外管直径的2～3mm，孔深大于等于传感器所标识的监测区域，保证各层传感器的埋设深度准确对应，避免安装后部分含水率传感器外露。</w:t>
            </w:r>
          </w:p>
          <w:p>
            <w:pPr>
              <w:pStyle w:val="null3"/>
              <w:ind w:firstLine="200"/>
              <w:jc w:val="both"/>
            </w:pPr>
            <w:r>
              <w:rPr>
                <w:rFonts w:ascii="仿宋_GB2312" w:hAnsi="仿宋_GB2312" w:cs="仿宋_GB2312" w:eastAsia="仿宋_GB2312"/>
                <w:sz w:val="24"/>
              </w:rPr>
              <w:t>②安装时需采用原状土泥浆回灌的方式，灌浆后泥浆应溢出地表，以保证传感器与土体之间紧密接触。</w:t>
            </w:r>
          </w:p>
          <w:p>
            <w:pPr>
              <w:pStyle w:val="null3"/>
              <w:ind w:firstLine="200"/>
              <w:jc w:val="both"/>
            </w:pPr>
            <w:r>
              <w:rPr>
                <w:rFonts w:ascii="仿宋_GB2312" w:hAnsi="仿宋_GB2312" w:cs="仿宋_GB2312" w:eastAsia="仿宋_GB2312"/>
                <w:sz w:val="24"/>
              </w:rPr>
              <w:t>③安装后需立即检查安装数据质量（以安装后30分钟内的前3包数据为准），一般要求相邻两层土壤含水率数据差不超过±4%，全部层差不超过±6%，若层差偏差较大，应尽快拔出重新进行灌浆安装，直至达到层差要求。</w:t>
            </w:r>
          </w:p>
          <w:p>
            <w:pPr>
              <w:pStyle w:val="null3"/>
              <w:ind w:firstLine="200"/>
              <w:jc w:val="both"/>
            </w:pPr>
            <w:r>
              <w:rPr>
                <w:rFonts w:ascii="仿宋_GB2312" w:hAnsi="仿宋_GB2312" w:cs="仿宋_GB2312" w:eastAsia="仿宋_GB2312"/>
                <w:sz w:val="24"/>
              </w:rPr>
              <w:t>④不具备免标定（校准）功能的管式含水率计，须采用现场环刀取样烘干法或原位取样室内烘干法的任一种方式来标定，然后现场或远程设定参数。标定工作全部完成后进行数据质量检查。（现场环刀取样方式要求每组监测层不少于4个200cc的环刀，原位取样方式要求土样不小于50kg）。</w:t>
            </w:r>
          </w:p>
          <w:p>
            <w:pPr>
              <w:pStyle w:val="null3"/>
              <w:ind w:firstLine="200"/>
              <w:jc w:val="both"/>
            </w:pPr>
            <w:r>
              <w:rPr>
                <w:rFonts w:ascii="仿宋_GB2312" w:hAnsi="仿宋_GB2312" w:cs="仿宋_GB2312" w:eastAsia="仿宋_GB2312"/>
                <w:sz w:val="24"/>
              </w:rPr>
              <w:t>⑤设备周围50cm内不应有金属，以免干扰传感器采集和信号传输。安装后，不应采用影响水分入渗或滑移的装置进行防护，以免数据失去代表性。</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泥位计立杆和横杆管径应分别</w:t>
            </w:r>
            <w:r>
              <w:rPr>
                <w:rFonts w:ascii="仿宋_GB2312" w:hAnsi="仿宋_GB2312" w:cs="仿宋_GB2312" w:eastAsia="仿宋_GB2312"/>
                <w:sz w:val="24"/>
              </w:rPr>
              <w:t>≥140mm、76mm，管壁厚度≥4mm，支撑杆管径和长度视实际需求而定，要求雷达传感器晃动幅度不超过精度范围。</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需配备太阳能电池板的仪器设备，应将太阳能支架固定在立杆上，并确保太阳能板受力均匀，朝向为南向。</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采用外置传输天线的设备应通过机箱预留开孔固定在机箱外侧。</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设备安装完成后，应整理接线，收纳美观。对安装的所有监测仪器支架进行接地电阻测试，达到防雷设计规范。及时清理安装现场残余垃圾，保护环境。</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设备安装完成后，现场应</w:t>
            </w:r>
            <w:r>
              <w:rPr>
                <w:rFonts w:ascii="仿宋_GB2312" w:hAnsi="仿宋_GB2312" w:cs="仿宋_GB2312" w:eastAsia="仿宋_GB2312"/>
                <w:sz w:val="24"/>
              </w:rPr>
              <w:t>根据情况建设围栏</w:t>
            </w:r>
            <w:r>
              <w:rPr>
                <w:rFonts w:ascii="仿宋_GB2312" w:hAnsi="仿宋_GB2312" w:cs="仿宋_GB2312" w:eastAsia="仿宋_GB2312"/>
                <w:sz w:val="24"/>
              </w:rPr>
              <w:t>，</w:t>
            </w:r>
            <w:r>
              <w:rPr>
                <w:rFonts w:ascii="仿宋_GB2312" w:hAnsi="仿宋_GB2312" w:cs="仿宋_GB2312" w:eastAsia="仿宋_GB2312"/>
                <w:sz w:val="24"/>
              </w:rPr>
              <w:t>统一安装地质灾害监测仪器标识牌，仪器设备二维码应刻蚀、印刷或贴于仪器外壳明显处，并防止损毁。</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设备数据接入运行要求</w:t>
            </w:r>
          </w:p>
          <w:p>
            <w:pPr>
              <w:pStyle w:val="null3"/>
              <w:ind w:firstLine="400"/>
              <w:jc w:val="both"/>
            </w:pPr>
            <w:r>
              <w:rPr>
                <w:rFonts w:ascii="仿宋_GB2312" w:hAnsi="仿宋_GB2312" w:cs="仿宋_GB2312" w:eastAsia="仿宋_GB2312"/>
                <w:sz w:val="24"/>
              </w:rPr>
              <w:t>设备安装完成后，应按照自然资源部统一的数据传输协议将监测数据传输至陕西省地质灾害监测预警信息系统，实现监测数据在线查询与预警。开展监测运行维护工作，对预警消息进行及时分析、处置与反馈，对运行过程中存在问题的设备进行及时更换，具备阈值动态调整功能。</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运维要求</w:t>
            </w:r>
          </w:p>
          <w:p>
            <w:pPr>
              <w:pStyle w:val="null3"/>
              <w:ind w:firstLine="400"/>
              <w:jc w:val="both"/>
            </w:pPr>
            <w:r>
              <w:rPr>
                <w:rFonts w:ascii="仿宋_GB2312" w:hAnsi="仿宋_GB2312" w:cs="仿宋_GB2312" w:eastAsia="仿宋_GB2312"/>
                <w:sz w:val="24"/>
              </w:rPr>
              <w:t>设备运行维护期：</w:t>
            </w:r>
            <w:r>
              <w:rPr>
                <w:rFonts w:ascii="仿宋_GB2312" w:hAnsi="仿宋_GB2312" w:cs="仿宋_GB2312" w:eastAsia="仿宋_GB2312"/>
                <w:sz w:val="24"/>
              </w:rPr>
              <w:t>自验收合格之日起</w:t>
            </w:r>
            <w:r>
              <w:rPr>
                <w:rFonts w:ascii="仿宋_GB2312" w:hAnsi="仿宋_GB2312" w:cs="仿宋_GB2312" w:eastAsia="仿宋_GB2312"/>
                <w:sz w:val="24"/>
              </w:rPr>
              <w:t>2029年12月31日</w:t>
            </w:r>
            <w:r>
              <w:rPr>
                <w:rFonts w:ascii="仿宋_GB2312" w:hAnsi="仿宋_GB2312" w:cs="仿宋_GB2312" w:eastAsia="仿宋_GB2312"/>
                <w:sz w:val="24"/>
              </w:rPr>
              <w:t>。</w:t>
            </w:r>
          </w:p>
          <w:p>
            <w:pPr>
              <w:pStyle w:val="null3"/>
              <w:ind w:firstLine="400"/>
              <w:jc w:val="both"/>
            </w:pPr>
            <w:r>
              <w:rPr>
                <w:rFonts w:ascii="仿宋_GB2312" w:hAnsi="仿宋_GB2312" w:cs="仿宋_GB2312" w:eastAsia="仿宋_GB2312"/>
                <w:sz w:val="24"/>
              </w:rPr>
              <w:t>应配备专职监测预警值班人员对物联网平台值守，配合自然资源主管部门核实处置预报预警和信息报送。</w:t>
            </w:r>
          </w:p>
          <w:p>
            <w:pPr>
              <w:pStyle w:val="null3"/>
              <w:ind w:firstLine="400"/>
            </w:pPr>
            <w:r>
              <w:rPr>
                <w:rFonts w:ascii="仿宋_GB2312" w:hAnsi="仿宋_GB2312" w:cs="仿宋_GB2312" w:eastAsia="仿宋_GB2312"/>
                <w:sz w:val="24"/>
              </w:rPr>
              <w:t>负责监测预警的运行维护工作，主要负责物联网平台阈值设定和数据的导入、修订、维护与分发工作，确保监测预警信息及时准确发送到相关责任人</w:t>
            </w:r>
            <w:r>
              <w:rPr>
                <w:rFonts w:ascii="仿宋_GB2312" w:hAnsi="仿宋_GB2312" w:cs="仿宋_GB2312" w:eastAsia="仿宋_GB2312"/>
                <w:sz w:val="24"/>
              </w:rPr>
              <w:t>;每年至少开展3次设备运行情况巡查检查，汛前巡检一次，汛中巡检一次，汛后巡检一次，并填写巡检记录(</w:t>
            </w:r>
            <w:r>
              <w:rPr>
                <w:rFonts w:ascii="仿宋_GB2312" w:hAnsi="仿宋_GB2312" w:cs="仿宋_GB2312" w:eastAsia="仿宋_GB2312"/>
                <w:sz w:val="24"/>
              </w:rPr>
              <w:t>按照</w:t>
            </w:r>
            <w:r>
              <w:rPr>
                <w:rFonts w:ascii="仿宋_GB2312" w:hAnsi="仿宋_GB2312" w:cs="仿宋_GB2312" w:eastAsia="仿宋_GB2312"/>
                <w:sz w:val="24"/>
              </w:rPr>
              <w:t>《地质灾害专群结合监测预警技术指南》</w:t>
            </w:r>
            <w:r>
              <w:rPr>
                <w:rFonts w:ascii="仿宋_GB2312" w:hAnsi="仿宋_GB2312" w:cs="仿宋_GB2312" w:eastAsia="仿宋_GB2312"/>
                <w:sz w:val="24"/>
              </w:rPr>
              <w:t>要求</w:t>
            </w:r>
            <w:r>
              <w:rPr>
                <w:rFonts w:ascii="仿宋_GB2312" w:hAnsi="仿宋_GB2312" w:cs="仿宋_GB2312" w:eastAsia="仿宋_GB2312"/>
                <w:sz w:val="24"/>
              </w:rPr>
              <w:t>)。对不正常工作的设备，包括但不限于数据异常、损坏、丢失、功能缺陷等，进行及时处置、维修或更换。原则上应保证设备在线率达到100%，如有设备维修、更换等不可抗力情况年平均在线率应不低于95%</w:t>
            </w:r>
            <w:r>
              <w:rPr>
                <w:rFonts w:ascii="仿宋_GB2312" w:hAnsi="仿宋_GB2312" w:cs="仿宋_GB2312" w:eastAsia="仿宋_GB2312"/>
                <w:sz w:val="24"/>
              </w:rPr>
              <w:t>。</w:t>
            </w:r>
          </w:p>
          <w:p>
            <w:pPr>
              <w:pStyle w:val="null3"/>
              <w:ind w:firstLine="402"/>
            </w:pPr>
            <w:r>
              <w:rPr>
                <w:rFonts w:ascii="仿宋_GB2312" w:hAnsi="仿宋_GB2312" w:cs="仿宋_GB2312" w:eastAsia="仿宋_GB2312"/>
                <w:sz w:val="24"/>
                <w:b/>
              </w:rPr>
              <w:t>（四）</w:t>
            </w:r>
            <w:r>
              <w:rPr>
                <w:rFonts w:ascii="仿宋_GB2312" w:hAnsi="仿宋_GB2312" w:cs="仿宋_GB2312" w:eastAsia="仿宋_GB2312"/>
                <w:sz w:val="24"/>
                <w:b/>
              </w:rPr>
              <w:t>报告</w:t>
            </w:r>
            <w:r>
              <w:rPr>
                <w:rFonts w:ascii="仿宋_GB2312" w:hAnsi="仿宋_GB2312" w:cs="仿宋_GB2312" w:eastAsia="仿宋_GB2312"/>
                <w:sz w:val="24"/>
                <w:b/>
              </w:rPr>
              <w:t>提交</w:t>
            </w:r>
          </w:p>
          <w:p>
            <w:pPr>
              <w:pStyle w:val="null3"/>
              <w:ind w:firstLine="400"/>
            </w:pPr>
            <w:r>
              <w:rPr>
                <w:rFonts w:ascii="仿宋_GB2312" w:hAnsi="仿宋_GB2312" w:cs="仿宋_GB2312" w:eastAsia="仿宋_GB2312"/>
                <w:sz w:val="24"/>
              </w:rPr>
              <w:t>在充分分析建设目的和技术要求的基础上，结合实际情况，编制</w:t>
            </w:r>
            <w:r>
              <w:rPr>
                <w:rFonts w:ascii="仿宋_GB2312" w:hAnsi="仿宋_GB2312" w:cs="仿宋_GB2312" w:eastAsia="仿宋_GB2312"/>
                <w:sz w:val="24"/>
              </w:rPr>
              <w:t>施工</w:t>
            </w:r>
            <w:r>
              <w:rPr>
                <w:rFonts w:ascii="仿宋_GB2312" w:hAnsi="仿宋_GB2312" w:cs="仿宋_GB2312" w:eastAsia="仿宋_GB2312"/>
                <w:sz w:val="24"/>
              </w:rPr>
              <w:t>方案、施工报告、运行维护总结报告</w:t>
            </w:r>
            <w:r>
              <w:rPr>
                <w:rFonts w:ascii="仿宋_GB2312" w:hAnsi="仿宋_GB2312" w:cs="仿宋_GB2312" w:eastAsia="仿宋_GB2312"/>
                <w:sz w:val="24"/>
              </w:rPr>
              <w:t>等</w:t>
            </w:r>
            <w:r>
              <w:rPr>
                <w:rFonts w:ascii="仿宋_GB2312" w:hAnsi="仿宋_GB2312" w:cs="仿宋_GB2312" w:eastAsia="仿宋_GB2312"/>
                <w:sz w:val="24"/>
              </w:rPr>
              <w:t>。提交的报告、图件、数据库及其附件</w:t>
            </w:r>
            <w:r>
              <w:rPr>
                <w:rFonts w:ascii="仿宋_GB2312" w:hAnsi="仿宋_GB2312" w:cs="仿宋_GB2312" w:eastAsia="仿宋_GB2312"/>
                <w:sz w:val="24"/>
              </w:rPr>
              <w:t>（</w:t>
            </w:r>
            <w:r>
              <w:rPr>
                <w:rFonts w:ascii="仿宋_GB2312" w:hAnsi="仿宋_GB2312" w:cs="仿宋_GB2312" w:eastAsia="仿宋_GB2312"/>
                <w:sz w:val="24"/>
              </w:rPr>
              <w:t>纸质版和电子版不少于</w:t>
            </w:r>
            <w:r>
              <w:rPr>
                <w:rFonts w:ascii="仿宋_GB2312" w:hAnsi="仿宋_GB2312" w:cs="仿宋_GB2312" w:eastAsia="仿宋_GB2312"/>
                <w:sz w:val="24"/>
              </w:rPr>
              <w:t>3套</w:t>
            </w:r>
            <w:r>
              <w:rPr>
                <w:rFonts w:ascii="仿宋_GB2312" w:hAnsi="仿宋_GB2312" w:cs="仿宋_GB2312" w:eastAsia="仿宋_GB2312"/>
                <w:sz w:val="24"/>
              </w:rPr>
              <w:t>）。包括但不限于：</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陕西省</w:t>
            </w:r>
            <w:r>
              <w:rPr>
                <w:rFonts w:ascii="仿宋_GB2312" w:hAnsi="仿宋_GB2312" w:cs="仿宋_GB2312" w:eastAsia="仿宋_GB2312"/>
                <w:sz w:val="24"/>
              </w:rPr>
              <w:t>2026年地质灾害群专结合监测预警建设项目监测设备数据服务与安装服务施工方案。</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陕西省</w:t>
            </w:r>
            <w:r>
              <w:rPr>
                <w:rFonts w:ascii="仿宋_GB2312" w:hAnsi="仿宋_GB2312" w:cs="仿宋_GB2312" w:eastAsia="仿宋_GB2312"/>
                <w:sz w:val="24"/>
              </w:rPr>
              <w:t>2026年地质灾害群专结合监测预警建设项目监测设备数据服务与安装服务施工报告。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陕西省</w:t>
            </w:r>
            <w:r>
              <w:rPr>
                <w:rFonts w:ascii="仿宋_GB2312" w:hAnsi="仿宋_GB2312" w:cs="仿宋_GB2312" w:eastAsia="仿宋_GB2312"/>
                <w:sz w:val="24"/>
              </w:rPr>
              <w:t>2026年地质灾害群专结合监测预警建设年度运行维护报告</w:t>
            </w:r>
            <w:r>
              <w:rPr>
                <w:rFonts w:ascii="仿宋_GB2312" w:hAnsi="仿宋_GB2312" w:cs="仿宋_GB2312" w:eastAsia="仿宋_GB2312"/>
                <w:sz w:val="24"/>
              </w:rPr>
              <w:t>，</w:t>
            </w:r>
            <w:r>
              <w:rPr>
                <w:rFonts w:ascii="仿宋_GB2312" w:hAnsi="仿宋_GB2312" w:cs="仿宋_GB2312" w:eastAsia="仿宋_GB2312"/>
                <w:sz w:val="24"/>
              </w:rPr>
              <w:t>运行维护总结报告</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陕西省地质灾害监测预警信息平台建设资料完善。</w:t>
            </w:r>
          </w:p>
          <w:p>
            <w:pPr>
              <w:pStyle w:val="null3"/>
            </w:pPr>
            <w:r>
              <w:rPr>
                <w:rFonts w:ascii="仿宋_GB2312" w:hAnsi="仿宋_GB2312" w:cs="仿宋_GB2312" w:eastAsia="仿宋_GB2312"/>
                <w:sz w:val="24"/>
              </w:rPr>
              <w:t>（</w:t>
            </w:r>
            <w:r>
              <w:rPr>
                <w:rFonts w:ascii="仿宋_GB2312" w:hAnsi="仿宋_GB2312" w:cs="仿宋_GB2312" w:eastAsia="仿宋_GB2312"/>
                <w:sz w:val="24"/>
              </w:rPr>
              <w:t>5）陕西省2026年地质灾害群专结合监测预警建设正射影像图集，</w:t>
            </w:r>
            <w:r>
              <w:rPr>
                <w:rFonts w:ascii="仿宋_GB2312" w:hAnsi="仿宋_GB2312" w:cs="仿宋_GB2312" w:eastAsia="仿宋_GB2312"/>
                <w:sz w:val="24"/>
              </w:rPr>
              <w:t>三维实景模型</w:t>
            </w:r>
            <w:r>
              <w:rPr>
                <w:rFonts w:ascii="仿宋_GB2312" w:hAnsi="仿宋_GB2312" w:cs="仿宋_GB2312" w:eastAsia="仿宋_GB2312"/>
                <w:sz w:val="24"/>
              </w:rPr>
              <w:t>图集。</w:t>
            </w:r>
            <w:r>
              <w:br/>
            </w:r>
            <w:r>
              <w:rPr>
                <w:rFonts w:ascii="仿宋_GB2312" w:hAnsi="仿宋_GB2312" w:cs="仿宋_GB2312" w:eastAsia="仿宋_GB2312"/>
                <w:sz w:val="24"/>
                <w:b/>
              </w:rPr>
              <w:t>四、服务要求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人员要求</w:t>
            </w:r>
          </w:p>
          <w:p>
            <w:pPr>
              <w:pStyle w:val="null3"/>
              <w:ind w:firstLine="400"/>
            </w:pPr>
            <w:r>
              <w:rPr>
                <w:rFonts w:ascii="仿宋_GB2312" w:hAnsi="仿宋_GB2312" w:cs="仿宋_GB2312" w:eastAsia="仿宋_GB2312"/>
                <w:sz w:val="24"/>
              </w:rPr>
              <w:t>投标人应提供满足本项目服务需求的人员配置，能够满足本项目技术服务要求，服务人员应是投标人在职人员。</w:t>
            </w:r>
            <w:r>
              <w:br/>
            </w:r>
            <w:r>
              <w:rPr>
                <w:rFonts w:ascii="仿宋_GB2312" w:hAnsi="仿宋_GB2312" w:cs="仿宋_GB2312" w:eastAsia="仿宋_GB2312"/>
                <w:sz w:val="24"/>
              </w:rPr>
              <w:t>2.</w:t>
            </w:r>
            <w:r>
              <w:rPr>
                <w:rFonts w:ascii="仿宋_GB2312" w:hAnsi="仿宋_GB2312" w:cs="仿宋_GB2312" w:eastAsia="仿宋_GB2312"/>
                <w:sz w:val="24"/>
              </w:rPr>
              <w:t>质量保障</w:t>
            </w:r>
          </w:p>
          <w:p>
            <w:pPr>
              <w:pStyle w:val="null3"/>
              <w:ind w:firstLine="400"/>
            </w:pPr>
            <w:r>
              <w:rPr>
                <w:rFonts w:ascii="仿宋_GB2312" w:hAnsi="仿宋_GB2312" w:cs="仿宋_GB2312" w:eastAsia="仿宋_GB2312"/>
                <w:sz w:val="24"/>
              </w:rPr>
              <w:t>供应商应建立完善的质量控制体系，确保服务过程和成果符合国家、陕西省及行业相关规定，且内容真实、准确、完整。</w:t>
            </w:r>
            <w:r>
              <w:br/>
            </w:r>
            <w:r>
              <w:rPr>
                <w:rFonts w:ascii="仿宋_GB2312" w:hAnsi="仿宋_GB2312" w:cs="仿宋_GB2312" w:eastAsia="仿宋_GB2312"/>
                <w:sz w:val="24"/>
                <w:b/>
              </w:rPr>
              <w:t>五、报价要求</w:t>
            </w:r>
          </w:p>
          <w:p>
            <w:pPr>
              <w:pStyle w:val="null3"/>
              <w:ind w:firstLine="400"/>
            </w:pPr>
            <w:r>
              <w:rPr>
                <w:rFonts w:ascii="仿宋_GB2312" w:hAnsi="仿宋_GB2312" w:cs="仿宋_GB2312" w:eastAsia="仿宋_GB2312"/>
                <w:sz w:val="24"/>
              </w:rPr>
              <w:t>投标人</w:t>
            </w:r>
            <w:r>
              <w:rPr>
                <w:rFonts w:ascii="仿宋_GB2312" w:hAnsi="仿宋_GB2312" w:cs="仿宋_GB2312" w:eastAsia="仿宋_GB2312"/>
                <w:sz w:val="24"/>
              </w:rPr>
              <w:t>的</w:t>
            </w:r>
            <w:r>
              <w:rPr>
                <w:rFonts w:ascii="仿宋_GB2312" w:hAnsi="仿宋_GB2312" w:cs="仿宋_GB2312" w:eastAsia="仿宋_GB2312"/>
                <w:sz w:val="24"/>
              </w:rPr>
              <w:t>投标</w:t>
            </w:r>
            <w:r>
              <w:rPr>
                <w:rFonts w:ascii="仿宋_GB2312" w:hAnsi="仿宋_GB2312" w:cs="仿宋_GB2312" w:eastAsia="仿宋_GB2312"/>
                <w:sz w:val="24"/>
              </w:rPr>
              <w:t>报价应包括完成本项目服务要求和内容的全部费用，供应商对报价的准确性负责，任何漏报、错报等风险均由</w:t>
            </w:r>
            <w:r>
              <w:rPr>
                <w:rFonts w:ascii="仿宋_GB2312" w:hAnsi="仿宋_GB2312" w:cs="仿宋_GB2312" w:eastAsia="仿宋_GB2312"/>
                <w:sz w:val="24"/>
              </w:rPr>
              <w:t>投标人</w:t>
            </w:r>
            <w:r>
              <w:rPr>
                <w:rFonts w:ascii="仿宋_GB2312" w:hAnsi="仿宋_GB2312" w:cs="仿宋_GB2312" w:eastAsia="仿宋_GB2312"/>
                <w:sz w:val="24"/>
              </w:rPr>
              <w:t>自行承担。</w:t>
            </w:r>
          </w:p>
          <w:p>
            <w:pPr>
              <w:pStyle w:val="null3"/>
            </w:pPr>
            <w:r>
              <w:rPr>
                <w:rFonts w:ascii="仿宋_GB2312" w:hAnsi="仿宋_GB2312" w:cs="仿宋_GB2312" w:eastAsia="仿宋_GB2312"/>
                <w:sz w:val="24"/>
                <w:b/>
              </w:rPr>
              <w:t>六、需要由供应商提供的设计方案、解决方案或者组织方案</w:t>
            </w:r>
            <w:r>
              <w:br/>
            </w:r>
            <w:r>
              <w:rPr>
                <w:rFonts w:ascii="仿宋_GB2312" w:hAnsi="仿宋_GB2312" w:cs="仿宋_GB2312" w:eastAsia="仿宋_GB2312"/>
                <w:sz w:val="24"/>
              </w:rPr>
              <w:t>1.重点难点分析及解决方案</w:t>
            </w:r>
          </w:p>
          <w:p>
            <w:pPr>
              <w:pStyle w:val="null3"/>
              <w:ind w:firstLine="400"/>
            </w:pPr>
            <w:r>
              <w:rPr>
                <w:rFonts w:ascii="仿宋_GB2312" w:hAnsi="仿宋_GB2312" w:cs="仿宋_GB2312" w:eastAsia="仿宋_GB2312"/>
                <w:sz w:val="24"/>
              </w:rPr>
              <w:t>投标人应针对本项目实际情况结合过往经验分析并指出项目实施过程中潜在的困难点、风险点，并能够给出妥善的解决方案。</w:t>
            </w:r>
            <w:r>
              <w:rPr>
                <w:rFonts w:ascii="仿宋_GB2312" w:hAnsi="仿宋_GB2312" w:cs="仿宋_GB2312" w:eastAsia="仿宋_GB2312"/>
                <w:sz w:val="24"/>
              </w:rPr>
              <w:t xml:space="preserve">  </w:t>
            </w:r>
          </w:p>
          <w:p>
            <w:pPr>
              <w:pStyle w:val="null3"/>
            </w:pPr>
            <w:r>
              <w:rPr>
                <w:rFonts w:ascii="仿宋_GB2312" w:hAnsi="仿宋_GB2312" w:cs="仿宋_GB2312" w:eastAsia="仿宋_GB2312"/>
                <w:sz w:val="24"/>
              </w:rPr>
              <w:t>2.应急保障组织方案</w:t>
            </w:r>
          </w:p>
          <w:p>
            <w:pPr>
              <w:pStyle w:val="null3"/>
              <w:ind w:firstLine="400"/>
            </w:pPr>
            <w:r>
              <w:rPr>
                <w:rFonts w:ascii="仿宋_GB2312" w:hAnsi="仿宋_GB2312" w:cs="仿宋_GB2312" w:eastAsia="仿宋_GB2312"/>
                <w:sz w:val="24"/>
              </w:rPr>
              <w:t>投标人应制定合理可行的应急保障组织方案，通过优化组织程序，提高不可预见事件的处理效率、加强控制保障等多种手段，确保项目顺利进行。</w:t>
            </w:r>
          </w:p>
          <w:p>
            <w:pPr>
              <w:pStyle w:val="null3"/>
            </w:pPr>
            <w:r>
              <w:rPr>
                <w:rFonts w:ascii="仿宋_GB2312" w:hAnsi="仿宋_GB2312" w:cs="仿宋_GB2312" w:eastAsia="仿宋_GB2312"/>
                <w:sz w:val="24"/>
              </w:rPr>
              <w:t>3.保密措施解决方案</w:t>
            </w:r>
          </w:p>
          <w:p>
            <w:pPr>
              <w:pStyle w:val="null3"/>
              <w:ind w:firstLine="400"/>
            </w:pPr>
            <w:r>
              <w:rPr>
                <w:rFonts w:ascii="仿宋_GB2312" w:hAnsi="仿宋_GB2312" w:cs="仿宋_GB2312" w:eastAsia="仿宋_GB2312"/>
                <w:sz w:val="24"/>
              </w:rPr>
              <w:t>投标人应制定合理保密措施解决方案，确保项目团队对项目执行中所获知信息保密。本项目所形成的数据成果归采购人所有。未经采购人同意，投标人不得以商业目的使用该资料或者开发和生产其他产品。</w:t>
            </w:r>
          </w:p>
          <w:p>
            <w:pPr>
              <w:pStyle w:val="null3"/>
            </w:pPr>
            <w:r>
              <w:rPr>
                <w:rFonts w:ascii="仿宋_GB2312" w:hAnsi="仿宋_GB2312" w:cs="仿宋_GB2312" w:eastAsia="仿宋_GB2312"/>
                <w:sz w:val="24"/>
              </w:rPr>
              <w:t>4.服务承诺</w:t>
            </w:r>
          </w:p>
          <w:p>
            <w:pPr>
              <w:pStyle w:val="null3"/>
            </w:pPr>
            <w:r>
              <w:rPr>
                <w:rFonts w:ascii="仿宋_GB2312" w:hAnsi="仿宋_GB2312" w:cs="仿宋_GB2312" w:eastAsia="仿宋_GB2312"/>
                <w:sz w:val="24"/>
              </w:rPr>
              <w:t>投标人应根据本项目服务要求，针对本项目服务工作中的常见质量和服务问题进行梳理，投标人可根据自身情况对服务标准、过程管理、质量保证、人员培训、后续服务等方面作出有利于本项目开展的承诺。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投标人应提供满足本项目服务需求的人员配置，要求人员为投标单位在职人员，具体详见评审细则及标准。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投标人应提供满足本项目服务需求的设施设备。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负责完成本项目采购需求内的一切事项，并完成相关工作。凡涉及的数据收集、测量绘制、服务所需的设备仪器、土地使用补偿、运输补偿、损坏设备的更换和维修、税金、验收等，所有费用一次性计入投标总价，合同履约过程中采购人不再支付其他额外费用。 2.供应商为本项目实施涉及的商品包装和快递包装，均符合《关于印发〈商品包装政府采购需求标准（试行）〉〈快递包装政府采购需求标准（试行）〉》（财办库〔2020〕123 号）要求。由于其包装或防护措施不妥而引起的货物锈蚀、损坏和丢失等造成的损失，中标人自行承担。 3.售后响应时间：接到采购人售后要求后，2 小时内远程响应，12 小时内给出解决方案，若远程无法解决问题48 小时内安排专人到达现场处理。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工期：2026年7月31日前完成设备安装与数据接入，设备运行维护至2029年12月31日。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中标人向采购人提交验收申请。2.采购人收到验收申请后自行组织验收，验收时中标人应无条件予以配合并提供验收所需的全部资料，若中标人不配合或者未按合同要求提供服务的，采购人将拒绝验收。 3.验收标准符合国家及行业相关标准及招标文件要求。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进度款，合同签订后，中标人向采购人开具相应额度增值税发票，采购人在收到中标人的履约保函（合同总额的5%）后 ，达到付款条件起30个工作日内，支付合同总金额的80.0%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进度款，通过采购人验收合格后，中标人向采购人开具剩余相应额度的增值税发票，达到付款条件起30个工作日内，支付合同总金额的20.0%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3.4.1本采购项目需落实的政府采购政策如下： 1.《关于在政府采购活动中查询及使用信用记录有关问题的通知》（财库〔2016〕125号）； 2.《政府采购促进中小企业发展管理办法》（财库〔2020〕46号）、《关于进一步加大政府采购支持中小企业力度的通知》（财库〔2022〕 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5.《关于推动解决政府采购异常低价问题的通知》（财库〔2026〕2号）； 6. 如有颁布最新的政策，以最新已生效的政策为准。 3.4.2保证金的收取与退回 1.本项目的保证金是否收取、收取金额及缴交渠道详见投标人须知前附表，其他要求如下： （1）如同时参与多个采购包，分别递交。 （2）投标保证金到账时间：投标文件提交截止时间前。 （3）投标人缴交保证金时须在支付凭据附言栏写明项目编号、采购包号（如有）及用途（保证金）。 （4）保证金应当采用对公转账、支票、汇票、本票或者金融机构、担保机构出具的保函等非现金形式交纳。 2.保证金的退还 采购代理机构应当在采购活动结束后及时退还投标人的投标保证金，但因投标人自身原因导致无法及时退还的除外。未中标人的投标保证金应当在中标通知书发出后5个工作日内退还，中标人的投标保证金应当在采购合同签订后5个工作日内退还投标保证金或者转为中标人的履约保证金。 投标人在投标截止时间前撤回已提交的投标文件的，采购人或者采购代理机构应当自收到投标人书面撤回通知之日起5个工作日内，退还已收取的投标保证金，但因投标人自身原因导致无法及时退还的除外。 3.有下列情形之一的，投标保证金不予退还： （1）投标人在提交投标文件截止时间后撤回投标文件的； （2）投标人在投标文件中提供虚假材料的； （3）除因不可抗力或招标文件认可的情形以外，中标人不与采购人签订合同的； （4）投标人与采购人、其他供应商或者采购代理机构恶意串通的； （5）招标文件规定的其他情形。 3.4.3 评分标准释义 1.内容不足或存在缺陷是指：方案内容不完整或缺少关键要素；对同一问题的阐述前后矛盾；存在逻辑漏洞、科学原理错误或违背常识；不利于实现本项目采购目标等任意一种情形，包括但不限于： 关键要素缺失：对项目实施起决定性作用的关键要素有遗漏，致使方案完整性与可操作性严重不足，无法为项目开展提供充分指导，严重影响采购目标实现。 前后表述矛盾：针对关键问题或重要事项，方案不同章节、段落、条款的阐述相互冲突，破坏逻辑连贯性与准确性，严重影响方案可信度与有效性。 逻辑性、科学性或常识性错误：方案存在明显逻辑推理错误，如前提与结论脱节、论证不合理；涉及专业技术、科学原理、行业常识时，表述与公认标准、理论相悖；或者出现常识性错误，脱离实际，难以付诸实践。 不利于采购目标实现：方案未围绕本项目采购核心需求响应，在项目范围、质量标准、交付成果等关键方面，与采购预期方向和实际要求偏差过大，无法保障采购目标达成，甚至对项目实施产生负面影响。 2.内容存在部分瑕疵是指：方案内容大体上完备，具备一定的可行性，但在某些方面与项目的实际需求不符；商务技术方案的响应内容与评分标准中的评分点未能完全对应；或存在细节上的错误；不利于项目等任意一种情形，包括但不限于： 适配性问题：方案整体框架完整，主要内容可行，有实施基础，但部分细节未结合项目特定环境、资源条件、业务流程等进行针对性设计，实际应用可能出现适配问题，影响项目采购目标实现。 细节错误：方案存在数据精度不准、商务技术方案响应与评分标准未能完全对应、格式不合项目规范、文字表述有歧义或错别字等细节问题。这些虽不改变方案整体方向与可行性，但降低专业性和严谨性，对采购目标实现和高质量实施产生不利影响。 3.4.4其他要求 中标供应商在领取中标通知书时，应同时向采购代理机构提交电子化交易系统导出的投标文件纸质版贰份，并胶装成册。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tc>
        <w:tc>
          <w:tcPr>
            <w:tcW w:type="dxa" w:w="1661"/>
          </w:tcPr>
          <w:p>
            <w:pPr>
              <w:pStyle w:val="null3"/>
            </w:pPr>
            <w:r>
              <w:rPr>
                <w:rFonts w:ascii="仿宋_GB2312" w:hAnsi="仿宋_GB2312" w:cs="仿宋_GB2312" w:eastAsia="仿宋_GB2312"/>
              </w:rPr>
              <w:t>投标函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1-资格证明文件.docx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本采购包不专门面向中小企业采购。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（一）根据财政部《关于推动解决政府采购异常低价问题的通知》（财库〔2026〕2号），政府采购评审中出现下列情形之一的，评标委员会应当启动异常低价投标审查程序：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投标审查后，属于前述第1项至第4项情形的，应当要求相关供应商在评审现场合理的时间内对投标价格作出解释，通过项目电子化交易系统提交项目具体成本测算等与报价合理性相关的书面说明及必要的证明材料并加盖供应商（法定名称）电子印章，包括但不限于原材料成本、人工成本、制造费用等，给予相关供应商的合理时间为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异常低价投标审查的启动原因、审查意见报告中记录，并随和审查结果应当在评审供应商提供的相关书面说明及证明材料，以及评标委员会有关互联网浏览、查询历史一并归档。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 2-分项报价明细表.docx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按照招标文件的规定提交投标保证金的（如有设置）</w:t>
            </w:r>
          </w:p>
        </w:tc>
        <w:tc>
          <w:tcPr>
            <w:tcW w:type="dxa" w:w="1661"/>
          </w:tcPr>
          <w:p>
            <w:pPr>
              <w:pStyle w:val="null3"/>
            </w:pPr>
            <w:r>
              <w:rPr>
                <w:rFonts w:ascii="仿宋_GB2312" w:hAnsi="仿宋_GB2312" w:cs="仿宋_GB2312" w:eastAsia="仿宋_GB2312"/>
              </w:rPr>
              <w:t>7-投标保证金缴纳凭证.docx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4-评分细则相应的商务技术资料.docx 投标函 6-政府采购拒绝商业贿赂书.docx 中小企业声明函 残疾人福利性单位声明函 3-商务技术偏离表.docx 标的清单 投标文件封面 1-资格证明文件.docx 2-分项报价明细表.docx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报价未超过招标文件中规定的预算金额或者最高限价的</w:t>
            </w:r>
          </w:p>
        </w:tc>
        <w:tc>
          <w:tcPr>
            <w:tcW w:type="dxa" w:w="1661"/>
          </w:tcPr>
          <w:p>
            <w:pPr>
              <w:pStyle w:val="null3"/>
            </w:pPr>
            <w:r>
              <w:rPr>
                <w:rFonts w:ascii="仿宋_GB2312" w:hAnsi="仿宋_GB2312" w:cs="仿宋_GB2312" w:eastAsia="仿宋_GB2312"/>
              </w:rPr>
              <w:t>开标一览表 标的清单 2-分项报价明细表.docx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开标一览表 4-评分细则相应的商务技术资料.docx 6-政府采购拒绝商业贿赂书.docx 投标函 中小企业声明函 残疾人福利性单位声明函 3-商务技术偏离表.docx 标的清单 投标文件封面 1-资格证明文件.docx 2-分项报价明细表.docx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投标文件中承诺的投标有效期不少于招标文件载明的投标有效期的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投标文件符合法律、法规和招标文件中标注 “★”的实质性条款要求的</w:t>
            </w:r>
          </w:p>
        </w:tc>
        <w:tc>
          <w:tcPr>
            <w:tcW w:type="dxa" w:w="1661"/>
          </w:tcPr>
          <w:p>
            <w:pPr>
              <w:pStyle w:val="null3"/>
            </w:pPr>
            <w:r>
              <w:rPr>
                <w:rFonts w:ascii="仿宋_GB2312" w:hAnsi="仿宋_GB2312" w:cs="仿宋_GB2312" w:eastAsia="仿宋_GB2312"/>
              </w:rPr>
              <w:t>开标一览表 4-评分细则相应的商务技术资料.docx 6-政府采购拒绝商业贿赂书.docx 投标函 中小企业声明函 残疾人福利性单位声明函 3-商务技术偏离表.docx 标的清单 投标文件封面 1-资格证明文件.docx 2-分项报价明细表.docx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投标人提供针对项目的理解和难点、关键点分析，至少应包括：①工作重点；②关键点分析；③工作难点；④服务优势；⑤合理化建议。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项目的服务，至少应包括：①工作思路和工作原则；②监测设备选型及配置清单；③设备安装调试及施工方案；④数据接入方案；⑤预警响应时效；⑥运行维护方案；包含但不限于上述全部内容，且方案详细，清晰有利于项目的得满分(如有缺陷或不足在此分数基础上进行扣分)，以上6项中： (1)每有1项缺失或内容无法满足项目需求的扣5分； (2)有1项中内容存在缺陷或不足(是指内容方案缺少关键点；对同一问题前后表述矛盾；存在逻辑漏洞、科学原理或常识错误；不利于本项日采购目标实现等任意一种情形)扣3分；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交付实施方案</w:t>
            </w:r>
          </w:p>
        </w:tc>
        <w:tc>
          <w:tcPr>
            <w:tcW w:type="dxa" w:w="2492"/>
          </w:tcPr>
          <w:p>
            <w:pPr>
              <w:pStyle w:val="null3"/>
            </w:pPr>
            <w:r>
              <w:rPr>
                <w:rFonts w:ascii="仿宋_GB2312" w:hAnsi="仿宋_GB2312" w:cs="仿宋_GB2312" w:eastAsia="仿宋_GB2312"/>
              </w:rPr>
              <w:t>投标人提供针对项目的交付实施方案，至少应包括： ①项目实施进度计划；②应急保障方案；③风险防范及保密措施。包含但不限于上述全部内容，且方案详细，清晰有利于项目的得满分(如有缺陷或不足在此分数基础上进行扣分)，以上3项中：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成果质量管理</w:t>
            </w:r>
          </w:p>
        </w:tc>
        <w:tc>
          <w:tcPr>
            <w:tcW w:type="dxa" w:w="2492"/>
          </w:tcPr>
          <w:p>
            <w:pPr>
              <w:pStyle w:val="null3"/>
            </w:pPr>
            <w:r>
              <w:rPr>
                <w:rFonts w:ascii="仿宋_GB2312" w:hAnsi="仿宋_GB2312" w:cs="仿宋_GB2312" w:eastAsia="仿宋_GB2312"/>
              </w:rPr>
              <w:t>投标人提供针对项目的项目质量保证措施，至少应包括：①技术力量配备方案；②质量管理体系建设及证明文件。包含但不限于上述全部内容，且方案详细，清晰有利于项目的得满分。(如有缺陷或不足在此分数基础上进行扣分)，以上2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投标人提供拟投入本项目团队人员配置清单或人员配置承诺函，其中： 1、拟投入人员数量：①拟投入人员在20人（含）及以上的计5分；②15人（含）以上-20人以下计3分； ③10人（含）以上-15人以下计1分，不足10人的不计分。 2、拟投入人员技术能力：具有地质、计算机或软件类相关中级及以上技术职称人员每有1人得1分，最高得5分。以上人员职称不可重复得分。 投标人仅提供团队人员配置承诺函未提供证明材料的，本项最高得1分，满分10分。 注：投标文件应提供上述人员有效的职称证复印件，以及在本单位投标截止日前六个月内任意一个月的任意类别社保缴纳证明文件。若未提供或提供不全，则不得分。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服务支持和保障方案</w:t>
            </w:r>
          </w:p>
        </w:tc>
        <w:tc>
          <w:tcPr>
            <w:tcW w:type="dxa" w:w="2492"/>
          </w:tcPr>
          <w:p>
            <w:pPr>
              <w:pStyle w:val="null3"/>
            </w:pPr>
            <w:r>
              <w:rPr>
                <w:rFonts w:ascii="仿宋_GB2312" w:hAnsi="仿宋_GB2312" w:cs="仿宋_GB2312" w:eastAsia="仿宋_GB2312"/>
              </w:rPr>
              <w:t>投标人提供针对项目的服务支持和保障方案，至少应包括：①服务资源配置和保障方案；②响应与解决时效方案；③服务水平证明文件；④售后服务体系；⑤增值服务。包含但不限于上述全部内容，且方案详细，清晰有利于项目的得满分。(如有缺陷或不足在此分数基础上进行扣分)，以上5项中： (1)每有1项缺失或内容无法满足项目需求的扣3分； (2)有1项中内容存在缺陷或不足(是指内容方案缺少关键点；对同一问题前后表述矛盾；存在逻辑漏洞、科学原理或常识错误；不利于本项日采购目标实现等任意一种情形)扣2分；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vMerge/>
          </w:tcPr>
          <w:p/>
        </w:tc>
        <w:tc>
          <w:tcPr>
            <w:tcW w:type="dxa" w:w="1661"/>
          </w:tcPr>
          <w:p>
            <w:pPr>
              <w:pStyle w:val="null3"/>
            </w:pPr>
            <w:r>
              <w:rPr>
                <w:rFonts w:ascii="仿宋_GB2312" w:hAnsi="仿宋_GB2312" w:cs="仿宋_GB2312" w:eastAsia="仿宋_GB2312"/>
              </w:rPr>
              <w:t>项目经验</w:t>
            </w:r>
          </w:p>
        </w:tc>
        <w:tc>
          <w:tcPr>
            <w:tcW w:type="dxa" w:w="2492"/>
          </w:tcPr>
          <w:p>
            <w:pPr>
              <w:pStyle w:val="null3"/>
            </w:pPr>
            <w:r>
              <w:rPr>
                <w:rFonts w:ascii="仿宋_GB2312" w:hAnsi="仿宋_GB2312" w:cs="仿宋_GB2312" w:eastAsia="仿宋_GB2312"/>
              </w:rPr>
              <w:t>投标人提供2023年1月1日至投标截止日期承接的类似项目业绩，每份合格业绩计1分，满分5分。 备注：投标人需提供业绩合同证明材料（至少应包含内容关键页、签订日期与签章页、对应业绩合同发票复印件），提供不全或无法辨识的不得分。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4-评分细则相应的商务技术资料.docx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财政部令第87号《政府采购货物和服务招标投标管理办法》，综合评分法中的价格分统一采用低价优先法计算，即满足招标文件要求且投标价格最低的投标报价为评标基准价，其价格分为满分。其他投标人的价格分统一按照下列公式计算： 投标报价得分=(评标基准价／投标报价)×10 2.若落实政府采购政策的，以享受政策调整后的价格参与评审。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详见附件：2-分项报价明细表.docx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详见附件：4-评分细则相应的商务技术资料.docx</w:t>
      </w:r>
    </w:p>
    <w:p>
      <w:pPr>
        <w:pStyle w:val="null3"/>
        <w:ind w:firstLine="960"/>
      </w:pPr>
      <w:r>
        <w:rPr>
          <w:rFonts w:ascii="仿宋_GB2312" w:hAnsi="仿宋_GB2312" w:cs="仿宋_GB2312" w:eastAsia="仿宋_GB2312"/>
        </w:rPr>
        <w:t>详见附件：6-政府采购拒绝商业贿赂书.docx</w:t>
      </w:r>
    </w:p>
    <w:p>
      <w:pPr>
        <w:pStyle w:val="null3"/>
        <w:ind w:firstLine="960"/>
      </w:pPr>
      <w:r>
        <w:rPr>
          <w:rFonts w:ascii="仿宋_GB2312" w:hAnsi="仿宋_GB2312" w:cs="仿宋_GB2312" w:eastAsia="仿宋_GB2312"/>
        </w:rPr>
        <w:t>详见附件：7-投标保证金缴纳凭证.docx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详见附件：5-拟签订的合同文本.docx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