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版本号：ZCSP-渭南高新区-2026-00025、XHLJZC-WN2026-07320260721002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渭南高新区公共环卫设施更新购置项目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ZCSP-渭南高新区-2026-00025、XHLJZC-WN2026-073</w:t>
      </w:r>
      <w:r>
        <w:br/>
      </w:r>
      <w:r>
        <w:br/>
      </w:r>
      <w:r>
        <w:br/>
      </w:r>
    </w:p>
    <w:p>
      <w:pPr>
        <w:pStyle w:val="null3"/>
        <w:jc w:val="center"/>
        <w:outlineLvl w:val="2"/>
      </w:pPr>
      <w:r>
        <w:rPr>
          <w:rFonts w:ascii="仿宋_GB2312" w:hAnsi="仿宋_GB2312" w:cs="仿宋_GB2312" w:eastAsia="仿宋_GB2312"/>
          <w:sz w:val="28"/>
          <w:b/>
        </w:rPr>
        <w:t>渭南高新区城市管理处</w:t>
      </w:r>
    </w:p>
    <w:p>
      <w:pPr>
        <w:pStyle w:val="null3"/>
        <w:jc w:val="center"/>
        <w:outlineLvl w:val="2"/>
      </w:pPr>
      <w:r>
        <w:rPr>
          <w:rFonts w:ascii="仿宋_GB2312" w:hAnsi="仿宋_GB2312" w:cs="仿宋_GB2312" w:eastAsia="仿宋_GB2312"/>
          <w:sz w:val="28"/>
          <w:b/>
        </w:rPr>
        <w:t>西安欣华联建工程咨询有限公司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西安欣华联建工程咨询有限公司</w:t>
      </w:r>
      <w:r>
        <w:rPr>
          <w:rFonts w:ascii="仿宋_GB2312" w:hAnsi="仿宋_GB2312" w:cs="仿宋_GB2312" w:eastAsia="仿宋_GB2312"/>
        </w:rPr>
        <w:t>（以下简称“代理机构”）受</w:t>
      </w:r>
      <w:r>
        <w:rPr>
          <w:rFonts w:ascii="仿宋_GB2312" w:hAnsi="仿宋_GB2312" w:cs="仿宋_GB2312" w:eastAsia="仿宋_GB2312"/>
        </w:rPr>
        <w:t>渭南高新区城市管理处</w:t>
      </w:r>
      <w:r>
        <w:rPr>
          <w:rFonts w:ascii="仿宋_GB2312" w:hAnsi="仿宋_GB2312" w:cs="仿宋_GB2312" w:eastAsia="仿宋_GB2312"/>
        </w:rPr>
        <w:t>委托，拟对</w:t>
      </w:r>
      <w:r>
        <w:rPr>
          <w:rFonts w:ascii="仿宋_GB2312" w:hAnsi="仿宋_GB2312" w:cs="仿宋_GB2312" w:eastAsia="仿宋_GB2312"/>
        </w:rPr>
        <w:t>渭南高新区公共环卫设施更新购置项目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ZCSP-渭南高新区-2026-00025、XHLJZC-WN2026-073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渭南高新区公共环卫设施更新购置项目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更换灯箱式果皮箱104个、更换陈旧破损三箱果皮箱376个、增补缺失果皮箱内胆700个、更换陈旧破损240L垃圾桶20个、增补垃圾车附属设备（箱）200个。含安装。具体详见招标文件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采购包1（渭南高新区城市管理处渭南高新区公共环卫设施更新购置项目）：属于专门面向中小企业采购。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供应商应具有独立承担民事责任的能力且具备向采购人提供相关货物及服务的企业法人、其他组织，企业法人应提供统一社会信用代码的营业执照；其他组织应提供合法证明文件；</w:t>
      </w:r>
    </w:p>
    <w:p>
      <w:pPr>
        <w:pStyle w:val="null3"/>
      </w:pPr>
      <w:r>
        <w:rPr>
          <w:rFonts w:ascii="仿宋_GB2312" w:hAnsi="仿宋_GB2312" w:cs="仿宋_GB2312" w:eastAsia="仿宋_GB2312"/>
        </w:rPr>
        <w:t>2、供应商授权合法的人员参加投标全过程：法定代表人授权委托书（附法定代表人身份证复印件）及被授权委托人身份证（法定代表人参加投标只须提供法定代表人身份证）；</w:t>
      </w:r>
    </w:p>
    <w:p>
      <w:pPr>
        <w:pStyle w:val="null3"/>
      </w:pPr>
      <w:r>
        <w:rPr>
          <w:rFonts w:ascii="仿宋_GB2312" w:hAnsi="仿宋_GB2312" w:cs="仿宋_GB2312" w:eastAsia="仿宋_GB2312"/>
        </w:rPr>
        <w:t>3、具有良好的商业信誉和健全的财务会计制度：提供2025年度经审计并通过注册会计师行业统一监管平台备案赋码的财务报告（包括“四表一注”，即资产负债表、利润表、现金流量表、所有者权益变动表及其附注，会计师事务所营业执照、执业证书、注册会计师证书。）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4、有依法缴纳税收和社会保障资金的良好记录：提供2025年6月以来任意3个月依法缴纳税收和社会保险的相关证明材料；注：依法免税或不需要缴纳社会保险的供应商提供相关部门出具的证明文件；（以税款所属时期为准）</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6、参加政府采购活动前三年内，在经营活动中没有重大违法记录：提供参加政府采购活动前3年内在经营活动中没有重大违法记录的书面声明；</w:t>
      </w:r>
    </w:p>
    <w:p>
      <w:pPr>
        <w:pStyle w:val="null3"/>
      </w:pPr>
      <w:r>
        <w:rPr>
          <w:rFonts w:ascii="仿宋_GB2312" w:hAnsi="仿宋_GB2312" w:cs="仿宋_GB2312" w:eastAsia="仿宋_GB2312"/>
        </w:rPr>
        <w:t>7、投标承诺：单位负责人为同一人或者存在直接控股、管理关系的不同供应商，不得参加同一合同项下的政府采购活动；</w:t>
      </w:r>
    </w:p>
    <w:p>
      <w:pPr>
        <w:pStyle w:val="null3"/>
      </w:pPr>
      <w:r>
        <w:rPr>
          <w:rFonts w:ascii="仿宋_GB2312" w:hAnsi="仿宋_GB2312" w:cs="仿宋_GB2312" w:eastAsia="仿宋_GB2312"/>
        </w:rPr>
        <w:t>8、声明函：提供《中小企业声明函》；监狱企业应提供监狱企业相关资格证明材料；残疾人福利性单位应提供《残疾人福利性单位声明函》。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渭南高新区城市管理处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渭南高新区朝阳大街西段58号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潘小钰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0913-2115182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西安欣华联建工程咨询有限公司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陕西省西安市高新区科技二路71号竹园天寰国际14层1404室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孙梦妮、毛嘉伟、樊锐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029-82513983、029-89183511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高新区政府采购管理股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贺晓静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0913-2111101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采购包1：1,270,000.00元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原《国家计委关于印发&lt;招标代理服务收费管理暂行办法&gt;的通知》（计价格〔2002〕1980号）、《国家发展改革委办公厅关于招标代理服务收费有关问题的通知》（发改办价格〔2003〕857号）的规定标准执行，按差额定率累进法收取费用，100万以下按1.5%收取，100万-500万按1.1%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渭南高新区城市管理处</w:t>
      </w:r>
      <w:r>
        <w:rPr>
          <w:rFonts w:ascii="仿宋_GB2312" w:hAnsi="仿宋_GB2312" w:cs="仿宋_GB2312" w:eastAsia="仿宋_GB2312"/>
        </w:rPr>
        <w:t>和</w:t>
      </w:r>
      <w:r>
        <w:rPr>
          <w:rFonts w:ascii="仿宋_GB2312" w:hAnsi="仿宋_GB2312" w:cs="仿宋_GB2312" w:eastAsia="仿宋_GB2312"/>
        </w:rPr>
        <w:t>西安欣华联建工程咨询有限公司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渭南高新区城市管理处</w:t>
      </w:r>
      <w:r>
        <w:rPr>
          <w:rFonts w:ascii="仿宋_GB2312" w:hAnsi="仿宋_GB2312" w:cs="仿宋_GB2312" w:eastAsia="仿宋_GB2312"/>
        </w:rPr>
        <w:t>负责解释。除上述招标文件内容，其他内容由</w:t>
      </w:r>
      <w:r>
        <w:rPr>
          <w:rFonts w:ascii="仿宋_GB2312" w:hAnsi="仿宋_GB2312" w:cs="仿宋_GB2312" w:eastAsia="仿宋_GB2312"/>
        </w:rPr>
        <w:t>西安欣华联建工程咨询有限公司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渭南高新区城市管理处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西安欣华联建工程咨询有限公司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不涉及</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联系人：孙梦妮、毛嘉伟、樊锐</w:t>
      </w:r>
    </w:p>
    <w:p>
      <w:pPr>
        <w:pStyle w:val="null3"/>
      </w:pPr>
      <w:r>
        <w:rPr>
          <w:rFonts w:ascii="仿宋_GB2312" w:hAnsi="仿宋_GB2312" w:cs="仿宋_GB2312" w:eastAsia="仿宋_GB2312"/>
        </w:rPr>
        <w:t>联系电话：029-82513983</w:t>
      </w:r>
    </w:p>
    <w:p>
      <w:pPr>
        <w:pStyle w:val="null3"/>
      </w:pPr>
      <w:r>
        <w:rPr>
          <w:rFonts w:ascii="仿宋_GB2312" w:hAnsi="仿宋_GB2312" w:cs="仿宋_GB2312" w:eastAsia="仿宋_GB2312"/>
        </w:rPr>
        <w:t>地址：陕西省西安市高新区科技二路71号竹园天寰国际14层1404室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更换灯箱式果皮箱104个、更换陈旧破损三箱果皮箱376个、增补缺失果皮箱内胆700个、更换陈旧破损240L垃圾桶20个、增补垃圾车附属设备（箱）200个。含安装</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1,270,000.00</w:t>
      </w:r>
    </w:p>
    <w:p>
      <w:pPr>
        <w:pStyle w:val="null3"/>
      </w:pPr>
      <w:r>
        <w:rPr>
          <w:rFonts w:ascii="仿宋_GB2312" w:hAnsi="仿宋_GB2312" w:cs="仿宋_GB2312" w:eastAsia="仿宋_GB2312"/>
        </w:rPr>
        <w:t>采购包最高限价（元）: 1,270,000.00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垃圾箱</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1,270,000.00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标的名称：垃圾箱</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52"/>
            </w:tblGrid>
            <w:tr>
              <w:tc>
                <w:tcPr>
                  <w:tcW w:type="dxa" w:w="25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tbl>
                  <w:tblPr>
                    <w:tblBorders>
                      <w:top w:val="none" w:color="000000" w:sz="4"/>
                      <w:left w:val="none" w:color="000000" w:sz="4"/>
                      <w:bottom w:val="none" w:color="000000" w:sz="4"/>
                      <w:right w:val="none" w:color="000000" w:sz="4"/>
                      <w:insideH w:val="none"/>
                      <w:insideV w:val="none"/>
                    </w:tblBorders>
                  </w:tblPr>
                  <w:tblGrid>
                    <w:gridCol w:w="230"/>
                    <w:gridCol w:w="1337"/>
                    <w:gridCol w:w="346"/>
                    <w:gridCol w:w="299"/>
                  </w:tblGrid>
                  <w:tr>
                    <w:tc>
                      <w:tcPr>
                        <w:tcW w:type="dxa" w:w="2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13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设备名称</w:t>
                        </w:r>
                      </w:p>
                    </w:tc>
                    <w:tc>
                      <w:tcPr>
                        <w:tcW w:type="dxa" w:w="3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2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更换灯箱式果皮箱</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104</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更换陈旧破损三箱果皮箱</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376</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果皮箱内胆</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700</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垃圾桶</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增补垃圾车附属设备（箱）</w:t>
                        </w:r>
                      </w:p>
                    </w:tc>
                    <w:tc>
                      <w:tcPr>
                        <w:tcW w:type="dxa" w:w="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r>
                </w:tbl>
                <w:p>
                  <w:pPr>
                    <w:pStyle w:val="null3"/>
                    <w:jc w:val="both"/>
                  </w:pPr>
                  <w:r>
                    <w:rPr>
                      <w:rFonts w:ascii="仿宋_GB2312" w:hAnsi="仿宋_GB2312" w:cs="仿宋_GB2312" w:eastAsia="仿宋_GB2312"/>
                      <w:sz w:val="24"/>
                      <w:b/>
                      <w:color w:val="000000"/>
                    </w:rPr>
                    <w:t>一、更换灯箱式果皮箱技术要求</w:t>
                  </w:r>
                </w:p>
                <w:p>
                  <w:pPr>
                    <w:pStyle w:val="null3"/>
                    <w:jc w:val="both"/>
                  </w:pPr>
                  <w:r>
                    <w:rPr>
                      <w:rFonts w:ascii="仿宋_GB2312" w:hAnsi="仿宋_GB2312" w:cs="仿宋_GB2312" w:eastAsia="仿宋_GB2312"/>
                      <w:sz w:val="24"/>
                      <w:color w:val="000000"/>
                    </w:rPr>
                    <w:t>1.▲整体外形</w:t>
                  </w:r>
                  <w:r>
                    <w:rPr>
                      <w:rFonts w:ascii="仿宋_GB2312" w:hAnsi="仿宋_GB2312" w:cs="仿宋_GB2312" w:eastAsia="仿宋_GB2312"/>
                      <w:sz w:val="24"/>
                      <w:color w:val="000000"/>
                    </w:rPr>
                    <w:t>尺寸（长</w:t>
                  </w:r>
                  <w:r>
                    <w:rPr>
                      <w:rFonts w:ascii="仿宋_GB2312" w:hAnsi="仿宋_GB2312" w:cs="仿宋_GB2312" w:eastAsia="仿宋_GB2312"/>
                      <w:sz w:val="24"/>
                      <w:color w:val="000000"/>
                    </w:rPr>
                    <w:t>×宽×高）</w:t>
                  </w:r>
                  <w:r>
                    <w:rPr>
                      <w:rFonts w:ascii="仿宋_GB2312" w:hAnsi="仿宋_GB2312" w:cs="仿宋_GB2312" w:eastAsia="仿宋_GB2312"/>
                      <w:sz w:val="24"/>
                      <w:color w:val="000000"/>
                    </w:rPr>
                    <w:t>：</w:t>
                  </w:r>
                  <w:r>
                    <w:rPr>
                      <w:rFonts w:ascii="仿宋_GB2312" w:hAnsi="仿宋_GB2312" w:cs="仿宋_GB2312" w:eastAsia="仿宋_GB2312"/>
                      <w:sz w:val="24"/>
                      <w:color w:val="000000"/>
                    </w:rPr>
                    <w:t>9</w:t>
                  </w:r>
                  <w:r>
                    <w:rPr>
                      <w:rFonts w:ascii="仿宋_GB2312" w:hAnsi="仿宋_GB2312" w:cs="仿宋_GB2312" w:eastAsia="仿宋_GB2312"/>
                      <w:sz w:val="24"/>
                      <w:color w:val="000000"/>
                    </w:rPr>
                    <w:t>00mm</w:t>
                  </w:r>
                  <w:r>
                    <w:rPr>
                      <w:rFonts w:ascii="仿宋_GB2312" w:hAnsi="仿宋_GB2312" w:cs="仿宋_GB2312" w:eastAsia="仿宋_GB2312"/>
                      <w:sz w:val="24"/>
                      <w:color w:val="000000"/>
                    </w:rPr>
                    <w:t>×36</w:t>
                  </w:r>
                  <w:r>
                    <w:rPr>
                      <w:rFonts w:ascii="仿宋_GB2312" w:hAnsi="仿宋_GB2312" w:cs="仿宋_GB2312" w:eastAsia="仿宋_GB2312"/>
                      <w:sz w:val="24"/>
                      <w:color w:val="000000"/>
                    </w:rPr>
                    <w:t>0mm</w:t>
                  </w:r>
                  <w:r>
                    <w:rPr>
                      <w:rFonts w:ascii="仿宋_GB2312" w:hAnsi="仿宋_GB2312" w:cs="仿宋_GB2312" w:eastAsia="仿宋_GB2312"/>
                      <w:sz w:val="24"/>
                      <w:color w:val="000000"/>
                    </w:rPr>
                    <w:t>×9</w:t>
                  </w:r>
                  <w:r>
                    <w:rPr>
                      <w:rFonts w:ascii="仿宋_GB2312" w:hAnsi="仿宋_GB2312" w:cs="仿宋_GB2312" w:eastAsia="仿宋_GB2312"/>
                      <w:sz w:val="24"/>
                      <w:color w:val="000000"/>
                    </w:rPr>
                    <w:t>50mm（±10mm</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2.▲材质</w:t>
                  </w:r>
                  <w:r>
                    <w:rPr>
                      <w:rFonts w:ascii="仿宋_GB2312" w:hAnsi="仿宋_GB2312" w:cs="仿宋_GB2312" w:eastAsia="仿宋_GB2312"/>
                      <w:sz w:val="24"/>
                      <w:color w:val="000000"/>
                    </w:rPr>
                    <w:t>部分</w:t>
                  </w:r>
                  <w:r>
                    <w:rPr>
                      <w:rFonts w:ascii="仿宋_GB2312" w:hAnsi="仿宋_GB2312" w:cs="仿宋_GB2312" w:eastAsia="仿宋_GB2312"/>
                      <w:sz w:val="24"/>
                      <w:color w:val="000000"/>
                    </w:rPr>
                    <w:t>：</w:t>
                  </w:r>
                  <w:r>
                    <w:rPr>
                      <w:rFonts w:ascii="仿宋_GB2312" w:hAnsi="仿宋_GB2312" w:cs="仿宋_GB2312" w:eastAsia="仿宋_GB2312"/>
                      <w:sz w:val="24"/>
                      <w:color w:val="000000"/>
                    </w:rPr>
                    <w:t>整体采用</w:t>
                  </w:r>
                  <w:r>
                    <w:rPr>
                      <w:rFonts w:ascii="仿宋_GB2312" w:hAnsi="仿宋_GB2312" w:cs="仿宋_GB2312" w:eastAsia="仿宋_GB2312"/>
                      <w:sz w:val="24"/>
                      <w:color w:val="000000"/>
                    </w:rPr>
                    <w:t>不锈钢板</w:t>
                  </w:r>
                  <w:r>
                    <w:rPr>
                      <w:rFonts w:ascii="仿宋_GB2312" w:hAnsi="仿宋_GB2312" w:cs="仿宋_GB2312" w:eastAsia="仿宋_GB2312"/>
                      <w:sz w:val="24"/>
                      <w:color w:val="000000"/>
                    </w:rPr>
                    <w:t>材质，厚度</w:t>
                  </w:r>
                  <w:r>
                    <w:rPr>
                      <w:rFonts w:ascii="仿宋_GB2312" w:hAnsi="仿宋_GB2312" w:cs="仿宋_GB2312" w:eastAsia="仿宋_GB2312"/>
                      <w:sz w:val="24"/>
                      <w:color w:val="000000"/>
                    </w:rPr>
                    <w:t>≥1.</w:t>
                  </w:r>
                  <w:r>
                    <w:rPr>
                      <w:rFonts w:ascii="仿宋_GB2312" w:hAnsi="仿宋_GB2312" w:cs="仿宋_GB2312" w:eastAsia="仿宋_GB2312"/>
                      <w:sz w:val="24"/>
                      <w:color w:val="000000"/>
                    </w:rPr>
                    <w:t>0</w:t>
                  </w:r>
                  <w:r>
                    <w:rPr>
                      <w:rFonts w:ascii="仿宋_GB2312" w:hAnsi="仿宋_GB2312" w:cs="仿宋_GB2312" w:eastAsia="仿宋_GB2312"/>
                      <w:sz w:val="24"/>
                      <w:color w:val="000000"/>
                    </w:rPr>
                    <w:t>mm</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中柱</w:t>
                  </w:r>
                  <w:r>
                    <w:rPr>
                      <w:rFonts w:ascii="仿宋_GB2312" w:hAnsi="仿宋_GB2312" w:cs="仿宋_GB2312" w:eastAsia="仿宋_GB2312"/>
                      <w:sz w:val="24"/>
                      <w:color w:val="000000"/>
                    </w:rPr>
                    <w:t>：</w:t>
                  </w:r>
                  <w:r>
                    <w:rPr>
                      <w:rFonts w:ascii="仿宋_GB2312" w:hAnsi="仿宋_GB2312" w:cs="仿宋_GB2312" w:eastAsia="仿宋_GB2312"/>
                      <w:sz w:val="24"/>
                      <w:color w:val="000000"/>
                    </w:rPr>
                    <w:t>配置一次性模压成型</w:t>
                  </w:r>
                  <w:r>
                    <w:rPr>
                      <w:rFonts w:ascii="仿宋_GB2312" w:hAnsi="仿宋_GB2312" w:cs="仿宋_GB2312" w:eastAsia="仿宋_GB2312"/>
                      <w:sz w:val="24"/>
                      <w:color w:val="000000"/>
                    </w:rPr>
                    <w:t>的</w:t>
                  </w:r>
                  <w:r>
                    <w:rPr>
                      <w:rFonts w:ascii="仿宋_GB2312" w:hAnsi="仿宋_GB2312" w:cs="仿宋_GB2312" w:eastAsia="仿宋_GB2312"/>
                      <w:sz w:val="24"/>
                      <w:color w:val="000000"/>
                    </w:rPr>
                    <w:t>烟蒂收集盒子投口</w:t>
                  </w:r>
                </w:p>
                <w:p>
                  <w:pPr>
                    <w:pStyle w:val="null3"/>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门挡板</w:t>
                  </w:r>
                  <w:r>
                    <w:rPr>
                      <w:rFonts w:ascii="仿宋_GB2312" w:hAnsi="仿宋_GB2312" w:cs="仿宋_GB2312" w:eastAsia="仿宋_GB2312"/>
                      <w:sz w:val="24"/>
                      <w:color w:val="000000"/>
                    </w:rPr>
                    <w:t>：</w:t>
                  </w:r>
                  <w:r>
                    <w:rPr>
                      <w:rFonts w:ascii="仿宋_GB2312" w:hAnsi="仿宋_GB2312" w:cs="仿宋_GB2312" w:eastAsia="仿宋_GB2312"/>
                      <w:sz w:val="24"/>
                      <w:color w:val="000000"/>
                    </w:rPr>
                    <w:t>须双层折叠防割手设计</w:t>
                  </w:r>
                </w:p>
                <w:p>
                  <w:pPr>
                    <w:pStyle w:val="null3"/>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开门设置</w:t>
                  </w:r>
                  <w:r>
                    <w:rPr>
                      <w:rFonts w:ascii="仿宋_GB2312" w:hAnsi="仿宋_GB2312" w:cs="仿宋_GB2312" w:eastAsia="仿宋_GB2312"/>
                      <w:sz w:val="24"/>
                      <w:color w:val="000000"/>
                    </w:rPr>
                    <w:t>：</w:t>
                  </w:r>
                  <w:r>
                    <w:rPr>
                      <w:rFonts w:ascii="仿宋_GB2312" w:hAnsi="仿宋_GB2312" w:cs="仿宋_GB2312" w:eastAsia="仿宋_GB2312"/>
                      <w:sz w:val="24"/>
                      <w:color w:val="000000"/>
                    </w:rPr>
                    <w:t>具有</w:t>
                  </w:r>
                  <w:r>
                    <w:rPr>
                      <w:rFonts w:ascii="仿宋_GB2312" w:hAnsi="仿宋_GB2312" w:cs="仿宋_GB2312" w:eastAsia="仿宋_GB2312"/>
                      <w:sz w:val="24"/>
                      <w:color w:val="000000"/>
                    </w:rPr>
                    <w:t>自动回弹功能</w:t>
                  </w:r>
                </w:p>
                <w:p>
                  <w:pPr>
                    <w:pStyle w:val="null3"/>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门锁</w:t>
                  </w:r>
                  <w:r>
                    <w:rPr>
                      <w:rFonts w:ascii="仿宋_GB2312" w:hAnsi="仿宋_GB2312" w:cs="仿宋_GB2312" w:eastAsia="仿宋_GB2312"/>
                      <w:sz w:val="24"/>
                      <w:color w:val="000000"/>
                    </w:rPr>
                    <w:t>：</w:t>
                  </w:r>
                  <w:r>
                    <w:rPr>
                      <w:rFonts w:ascii="仿宋_GB2312" w:hAnsi="仿宋_GB2312" w:cs="仿宋_GB2312" w:eastAsia="仿宋_GB2312"/>
                      <w:sz w:val="24"/>
                      <w:color w:val="000000"/>
                    </w:rPr>
                    <w:t>通用三角锁</w:t>
                  </w:r>
                </w:p>
                <w:p>
                  <w:pPr>
                    <w:pStyle w:val="null3"/>
                    <w:jc w:val="both"/>
                  </w:pPr>
                  <w:r>
                    <w:rPr>
                      <w:rFonts w:ascii="仿宋_GB2312" w:hAnsi="仿宋_GB2312" w:cs="仿宋_GB2312" w:eastAsia="仿宋_GB2312"/>
                      <w:sz w:val="24"/>
                      <w:color w:val="000000"/>
                    </w:rPr>
                    <w:t>7.</w:t>
                  </w:r>
                  <w:r>
                    <w:rPr>
                      <w:rFonts w:ascii="仿宋_GB2312" w:hAnsi="仿宋_GB2312" w:cs="仿宋_GB2312" w:eastAsia="仿宋_GB2312"/>
                      <w:sz w:val="24"/>
                      <w:color w:val="000000"/>
                    </w:rPr>
                    <w:t>门铰链</w:t>
                  </w:r>
                  <w:r>
                    <w:rPr>
                      <w:rFonts w:ascii="仿宋_GB2312" w:hAnsi="仿宋_GB2312" w:cs="仿宋_GB2312" w:eastAsia="仿宋_GB2312"/>
                      <w:sz w:val="24"/>
                      <w:color w:val="000000"/>
                    </w:rPr>
                    <w:t>：</w:t>
                  </w:r>
                  <w:r>
                    <w:rPr>
                      <w:rFonts w:ascii="仿宋_GB2312" w:hAnsi="仿宋_GB2312" w:cs="仿宋_GB2312" w:eastAsia="仿宋_GB2312"/>
                      <w:sz w:val="24"/>
                      <w:color w:val="000000"/>
                    </w:rPr>
                    <w:t>采用隐藏合页，不锈钢插销</w:t>
                  </w:r>
                </w:p>
                <w:p>
                  <w:pPr>
                    <w:pStyle w:val="null3"/>
                    <w:jc w:val="both"/>
                  </w:pPr>
                  <w:r>
                    <w:rPr>
                      <w:rFonts w:ascii="仿宋_GB2312" w:hAnsi="仿宋_GB2312" w:cs="仿宋_GB2312" w:eastAsia="仿宋_GB2312"/>
                      <w:sz w:val="24"/>
                      <w:color w:val="000000"/>
                    </w:rPr>
                    <w:t>8.</w:t>
                  </w:r>
                  <w:r>
                    <w:rPr>
                      <w:rFonts w:ascii="仿宋_GB2312" w:hAnsi="仿宋_GB2312" w:cs="仿宋_GB2312" w:eastAsia="仿宋_GB2312"/>
                      <w:sz w:val="24"/>
                      <w:color w:val="000000"/>
                    </w:rPr>
                    <w:t>内胆</w:t>
                  </w:r>
                  <w:r>
                    <w:rPr>
                      <w:rFonts w:ascii="仿宋_GB2312" w:hAnsi="仿宋_GB2312" w:cs="仿宋_GB2312" w:eastAsia="仿宋_GB2312"/>
                      <w:sz w:val="24"/>
                      <w:color w:val="000000"/>
                    </w:rPr>
                    <w:t>：镀锌板材质，</w:t>
                  </w:r>
                  <w:r>
                    <w:rPr>
                      <w:rFonts w:ascii="仿宋_GB2312" w:hAnsi="仿宋_GB2312" w:cs="仿宋_GB2312" w:eastAsia="仿宋_GB2312"/>
                      <w:sz w:val="24"/>
                      <w:color w:val="000000"/>
                    </w:rPr>
                    <w:t>制作尺寸</w:t>
                  </w:r>
                  <w:r>
                    <w:rPr>
                      <w:rFonts w:ascii="仿宋_GB2312" w:hAnsi="仿宋_GB2312" w:cs="仿宋_GB2312" w:eastAsia="仿宋_GB2312"/>
                      <w:sz w:val="24"/>
                      <w:color w:val="000000"/>
                    </w:rPr>
                    <w:t>25*</w:t>
                  </w:r>
                  <w:r>
                    <w:rPr>
                      <w:rFonts w:ascii="仿宋_GB2312" w:hAnsi="仿宋_GB2312" w:cs="仿宋_GB2312" w:eastAsia="仿宋_GB2312"/>
                      <w:sz w:val="24"/>
                      <w:color w:val="000000"/>
                    </w:rPr>
                    <w:t>31</w:t>
                  </w:r>
                  <w:r>
                    <w:rPr>
                      <w:rFonts w:ascii="仿宋_GB2312" w:hAnsi="仿宋_GB2312" w:cs="仿宋_GB2312" w:eastAsia="仿宋_GB2312"/>
                      <w:sz w:val="24"/>
                      <w:color w:val="000000"/>
                    </w:rPr>
                    <w:t>*</w:t>
                  </w:r>
                  <w:r>
                    <w:rPr>
                      <w:rFonts w:ascii="仿宋_GB2312" w:hAnsi="仿宋_GB2312" w:cs="仿宋_GB2312" w:eastAsia="仿宋_GB2312"/>
                      <w:sz w:val="24"/>
                      <w:color w:val="000000"/>
                    </w:rPr>
                    <w:t>43cm</w:t>
                  </w:r>
                  <w:r>
                    <w:rPr>
                      <w:rFonts w:ascii="仿宋_GB2312" w:hAnsi="仿宋_GB2312" w:cs="仿宋_GB2312" w:eastAsia="仿宋_GB2312"/>
                      <w:sz w:val="24"/>
                      <w:color w:val="000000"/>
                    </w:rPr>
                    <w:t>（</w:t>
                  </w:r>
                  <w:r>
                    <w:rPr>
                      <w:rFonts w:ascii="仿宋_GB2312" w:hAnsi="仿宋_GB2312" w:cs="仿宋_GB2312" w:eastAsia="仿宋_GB2312"/>
                      <w:sz w:val="24"/>
                      <w:color w:val="000000"/>
                    </w:rPr>
                    <w:t>±5cm），</w:t>
                  </w:r>
                  <w:r>
                    <w:rPr>
                      <w:rFonts w:ascii="仿宋_GB2312" w:hAnsi="仿宋_GB2312" w:cs="仿宋_GB2312" w:eastAsia="仿宋_GB2312"/>
                      <w:sz w:val="24"/>
                      <w:color w:val="000000"/>
                    </w:rPr>
                    <w:t>内胆采用压机模具一次性成型</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9.</w:t>
                  </w:r>
                  <w:r>
                    <w:rPr>
                      <w:rFonts w:ascii="仿宋_GB2312" w:hAnsi="仿宋_GB2312" w:cs="仿宋_GB2312" w:eastAsia="仿宋_GB2312"/>
                      <w:sz w:val="24"/>
                      <w:color w:val="000000"/>
                    </w:rPr>
                    <w:t>底部</w:t>
                  </w:r>
                  <w:r>
                    <w:rPr>
                      <w:rFonts w:ascii="仿宋_GB2312" w:hAnsi="仿宋_GB2312" w:cs="仿宋_GB2312" w:eastAsia="仿宋_GB2312"/>
                      <w:sz w:val="24"/>
                      <w:color w:val="000000"/>
                    </w:rPr>
                    <w:t>：底座最底边沿内里须加焊跟边一圈以防伤手，果皮箱底部须设底座固定梁</w:t>
                  </w:r>
                  <w:r>
                    <w:rPr>
                      <w:rFonts w:ascii="仿宋_GB2312" w:hAnsi="仿宋_GB2312" w:cs="仿宋_GB2312" w:eastAsia="仿宋_GB2312"/>
                      <w:sz w:val="24"/>
                      <w:color w:val="000000"/>
                    </w:rPr>
                    <w:t>2条，每条梁预留螺栓孔2个;内置固定膨胀螺栓安装4只</w:t>
                  </w:r>
                  <w:r>
                    <w:rPr>
                      <w:rFonts w:ascii="仿宋_GB2312" w:hAnsi="仿宋_GB2312" w:cs="仿宋_GB2312" w:eastAsia="仿宋_GB2312"/>
                      <w:sz w:val="24"/>
                      <w:color w:val="000000"/>
                    </w:rPr>
                    <w:t>。膨胀栓规格为</w:t>
                  </w:r>
                  <w:r>
                    <w:rPr>
                      <w:rFonts w:ascii="仿宋_GB2312" w:hAnsi="仿宋_GB2312" w:cs="仿宋_GB2312" w:eastAsia="仿宋_GB2312"/>
                      <w:sz w:val="24"/>
                      <w:color w:val="000000"/>
                    </w:rPr>
                    <w:t>ф12X120mm(入地深度为100mm)，须具有防盗功能。</w:t>
                  </w:r>
                </w:p>
                <w:p>
                  <w:pPr>
                    <w:pStyle w:val="null3"/>
                    <w:jc w:val="both"/>
                  </w:pPr>
                  <w:r>
                    <w:rPr>
                      <w:rFonts w:ascii="仿宋_GB2312" w:hAnsi="仿宋_GB2312" w:cs="仿宋_GB2312" w:eastAsia="仿宋_GB2312"/>
                      <w:sz w:val="24"/>
                      <w:color w:val="000000"/>
                    </w:rPr>
                    <w:t>10.表面处理：整体采用户外塑粉静电喷涂，具有较高的户外适应性，表面坚固，不易脱落，抗紫外线及耐候性强。</w:t>
                  </w:r>
                </w:p>
                <w:p>
                  <w:pPr>
                    <w:pStyle w:val="null3"/>
                    <w:jc w:val="both"/>
                  </w:pPr>
                  <w:r>
                    <w:rPr>
                      <w:rFonts w:ascii="仿宋_GB2312" w:hAnsi="仿宋_GB2312" w:cs="仿宋_GB2312" w:eastAsia="仿宋_GB2312"/>
                      <w:sz w:val="24"/>
                      <w:color w:val="000000"/>
                    </w:rPr>
                    <w:t>11.</w:t>
                  </w:r>
                  <w:r>
                    <w:rPr>
                      <w:rFonts w:ascii="仿宋_GB2312" w:hAnsi="仿宋_GB2312" w:cs="仿宋_GB2312" w:eastAsia="仿宋_GB2312"/>
                      <w:sz w:val="24"/>
                      <w:color w:val="000000"/>
                    </w:rPr>
                    <w:t>外立面</w:t>
                  </w:r>
                  <w:r>
                    <w:rPr>
                      <w:rFonts w:ascii="仿宋_GB2312" w:hAnsi="仿宋_GB2312" w:cs="仿宋_GB2312" w:eastAsia="仿宋_GB2312"/>
                      <w:sz w:val="24"/>
                      <w:color w:val="000000"/>
                    </w:rPr>
                    <w:t>和门板</w:t>
                  </w:r>
                  <w:r>
                    <w:rPr>
                      <w:rFonts w:ascii="仿宋_GB2312" w:hAnsi="仿宋_GB2312" w:cs="仿宋_GB2312" w:eastAsia="仿宋_GB2312"/>
                      <w:sz w:val="24"/>
                      <w:color w:val="000000"/>
                    </w:rPr>
                    <w:t>：设置</w:t>
                  </w:r>
                  <w:r>
                    <w:rPr>
                      <w:rFonts w:ascii="仿宋_GB2312" w:hAnsi="仿宋_GB2312" w:cs="仿宋_GB2312" w:eastAsia="仿宋_GB2312"/>
                      <w:sz w:val="24"/>
                      <w:color w:val="000000"/>
                    </w:rPr>
                    <w:t>"可回收物"、"其他垃圾"标识;采用丝网印刷技术，分类标识</w:t>
                  </w:r>
                  <w:r>
                    <w:rPr>
                      <w:rFonts w:ascii="仿宋_GB2312" w:hAnsi="仿宋_GB2312" w:cs="仿宋_GB2312" w:eastAsia="仿宋_GB2312"/>
                      <w:sz w:val="24"/>
                      <w:color w:val="000000"/>
                    </w:rPr>
                    <w:t>按采购方要求设置</w:t>
                  </w:r>
                  <w:r>
                    <w:rPr>
                      <w:rFonts w:ascii="仿宋_GB2312" w:hAnsi="仿宋_GB2312" w:cs="仿宋_GB2312" w:eastAsia="仿宋_GB2312"/>
                      <w:sz w:val="24"/>
                      <w:color w:val="000000"/>
                    </w:rPr>
                    <w:t>。</w:t>
                  </w:r>
                </w:p>
                <w:p>
                  <w:pPr>
                    <w:pStyle w:val="null3"/>
                    <w:jc w:val="center"/>
                  </w:pPr>
                  <w:r>
                    <w:rPr>
                      <w:rFonts w:ascii="仿宋_GB2312" w:hAnsi="仿宋_GB2312" w:cs="仿宋_GB2312" w:eastAsia="仿宋_GB2312"/>
                      <w:sz w:val="24"/>
                      <w:b/>
                      <w:color w:val="000000"/>
                    </w:rPr>
                    <w:t>二、更换陈旧破损三箱果皮箱技术要求</w:t>
                  </w:r>
                </w:p>
                <w:p>
                  <w:pPr>
                    <w:pStyle w:val="null3"/>
                  </w:pPr>
                  <w:r>
                    <w:rPr>
                      <w:rFonts w:ascii="仿宋_GB2312" w:hAnsi="仿宋_GB2312" w:cs="仿宋_GB2312" w:eastAsia="仿宋_GB2312"/>
                      <w:sz w:val="24"/>
                      <w:color w:val="000000"/>
                    </w:rPr>
                    <w:t>▲1、整体外形尺寸（长×宽×高）：900mm*360mm*930mm（±10mm）</w:t>
                  </w:r>
                </w:p>
                <w:p>
                  <w:pPr>
                    <w:pStyle w:val="null3"/>
                  </w:pPr>
                  <w:r>
                    <w:rPr>
                      <w:rFonts w:ascii="仿宋_GB2312" w:hAnsi="仿宋_GB2312" w:cs="仿宋_GB2312" w:eastAsia="仿宋_GB2312"/>
                      <w:sz w:val="24"/>
                      <w:color w:val="000000"/>
                    </w:rPr>
                    <w:t>▲2、材质：整体采用不锈钢材质或更优，厚度≥1.0mm。</w:t>
                  </w:r>
                </w:p>
                <w:p>
                  <w:pPr>
                    <w:pStyle w:val="null3"/>
                  </w:pPr>
                  <w:r>
                    <w:rPr>
                      <w:rFonts w:ascii="仿宋_GB2312" w:hAnsi="仿宋_GB2312" w:cs="仿宋_GB2312" w:eastAsia="仿宋_GB2312"/>
                      <w:sz w:val="24"/>
                      <w:color w:val="000000"/>
                    </w:rPr>
                    <w:t>3、中柱：配置一次性模压成型的烟蒂收集盒投口。</w:t>
                  </w:r>
                </w:p>
                <w:p>
                  <w:pPr>
                    <w:pStyle w:val="null3"/>
                  </w:pPr>
                  <w:r>
                    <w:rPr>
                      <w:rFonts w:ascii="仿宋_GB2312" w:hAnsi="仿宋_GB2312" w:cs="仿宋_GB2312" w:eastAsia="仿宋_GB2312"/>
                      <w:sz w:val="24"/>
                      <w:color w:val="000000"/>
                    </w:rPr>
                    <w:t>4、门挡板：双层折叠防割手设计。</w:t>
                  </w:r>
                </w:p>
                <w:p>
                  <w:pPr>
                    <w:pStyle w:val="null3"/>
                  </w:pPr>
                  <w:r>
                    <w:rPr>
                      <w:rFonts w:ascii="仿宋_GB2312" w:hAnsi="仿宋_GB2312" w:cs="仿宋_GB2312" w:eastAsia="仿宋_GB2312"/>
                      <w:sz w:val="24"/>
                      <w:color w:val="000000"/>
                    </w:rPr>
                    <w:t>5、开门设置：具有自动回弹功能。</w:t>
                  </w:r>
                </w:p>
                <w:p>
                  <w:pPr>
                    <w:pStyle w:val="null3"/>
                  </w:pPr>
                  <w:r>
                    <w:rPr>
                      <w:rFonts w:ascii="仿宋_GB2312" w:hAnsi="仿宋_GB2312" w:cs="仿宋_GB2312" w:eastAsia="仿宋_GB2312"/>
                      <w:sz w:val="24"/>
                      <w:color w:val="000000"/>
                    </w:rPr>
                    <w:t>6、门锁：通用三角锁。</w:t>
                  </w:r>
                </w:p>
                <w:p>
                  <w:pPr>
                    <w:pStyle w:val="null3"/>
                  </w:pPr>
                  <w:r>
                    <w:rPr>
                      <w:rFonts w:ascii="仿宋_GB2312" w:hAnsi="仿宋_GB2312" w:cs="仿宋_GB2312" w:eastAsia="仿宋_GB2312"/>
                      <w:sz w:val="24"/>
                      <w:color w:val="000000"/>
                    </w:rPr>
                    <w:t>7、门铰链：采用隐藏合页，不锈钢插销。</w:t>
                  </w:r>
                </w:p>
                <w:p>
                  <w:pPr>
                    <w:pStyle w:val="null3"/>
                  </w:pPr>
                  <w:r>
                    <w:rPr>
                      <w:rFonts w:ascii="仿宋_GB2312" w:hAnsi="仿宋_GB2312" w:cs="仿宋_GB2312" w:eastAsia="仿宋_GB2312"/>
                      <w:sz w:val="24"/>
                      <w:color w:val="000000"/>
                    </w:rPr>
                    <w:t>8、内胆：镀锌板材质或更优，尺寸 25*31*43cm（±5cm），厚度≥0.4mm。</w:t>
                  </w:r>
                </w:p>
                <w:p>
                  <w:pPr>
                    <w:pStyle w:val="null3"/>
                  </w:pPr>
                  <w:r>
                    <w:rPr>
                      <w:rFonts w:ascii="仿宋_GB2312" w:hAnsi="仿宋_GB2312" w:cs="仿宋_GB2312" w:eastAsia="仿宋_GB2312"/>
                      <w:sz w:val="24"/>
                      <w:color w:val="000000"/>
                    </w:rPr>
                    <w:t>9、底部：最底边沿内里须加焊跟边一圈以防伤手，果皮箱底部须设底座固定梁2条，每条梁预留螺栓孔2个；内置固定膨胀螺栓4只。膨胀栓规格为ф12×120mm(入地深度为100mm)，具有防盗功能。</w:t>
                  </w:r>
                </w:p>
                <w:p>
                  <w:pPr>
                    <w:pStyle w:val="null3"/>
                  </w:pPr>
                  <w:r>
                    <w:rPr>
                      <w:rFonts w:ascii="仿宋_GB2312" w:hAnsi="仿宋_GB2312" w:cs="仿宋_GB2312" w:eastAsia="仿宋_GB2312"/>
                      <w:sz w:val="24"/>
                      <w:color w:val="000000"/>
                    </w:rPr>
                    <w:t>10、表面处理：整体采用户外塑粉静电喷涂，具备较高的户外适应性，表面涂层坚固，不易脱落，抗紫外线以及耐候性强。</w:t>
                  </w:r>
                </w:p>
                <w:p>
                  <w:pPr>
                    <w:pStyle w:val="null3"/>
                  </w:pPr>
                  <w:r>
                    <w:rPr>
                      <w:rFonts w:ascii="仿宋_GB2312" w:hAnsi="仿宋_GB2312" w:cs="仿宋_GB2312" w:eastAsia="仿宋_GB2312"/>
                      <w:sz w:val="24"/>
                      <w:color w:val="000000"/>
                    </w:rPr>
                    <w:t>11、外立面和门板：设置"可回收物"、"其他垃圾"标识；采用丝网印刷技术，分类标识按采购方要求设置。</w:t>
                  </w:r>
                </w:p>
                <w:p>
                  <w:pPr>
                    <w:pStyle w:val="null3"/>
                    <w:jc w:val="center"/>
                  </w:pPr>
                  <w:r>
                    <w:rPr>
                      <w:rFonts w:ascii="仿宋_GB2312" w:hAnsi="仿宋_GB2312" w:cs="仿宋_GB2312" w:eastAsia="仿宋_GB2312"/>
                      <w:sz w:val="24"/>
                      <w:b/>
                      <w:color w:val="000000"/>
                    </w:rPr>
                    <w:t>三、果皮箱内桶</w:t>
                  </w:r>
                  <w:r>
                    <w:rPr>
                      <w:rFonts w:ascii="仿宋_GB2312" w:hAnsi="仿宋_GB2312" w:cs="仿宋_GB2312" w:eastAsia="仿宋_GB2312"/>
                      <w:sz w:val="24"/>
                      <w:b/>
                      <w:color w:val="000000"/>
                    </w:rPr>
                    <w:t>技术要求</w:t>
                  </w:r>
                </w:p>
                <w:p>
                  <w:pPr>
                    <w:pStyle w:val="null3"/>
                  </w:pPr>
                  <w:r>
                    <w:rPr>
                      <w:rFonts w:ascii="仿宋_GB2312" w:hAnsi="仿宋_GB2312" w:cs="仿宋_GB2312" w:eastAsia="仿宋_GB2312"/>
                      <w:sz w:val="24"/>
                      <w:color w:val="000000"/>
                    </w:rPr>
                    <w:t>1、规格尺寸：（长</w:t>
                  </w:r>
                  <w:r>
                    <w:rPr>
                      <w:rFonts w:ascii="仿宋_GB2312" w:hAnsi="仿宋_GB2312" w:cs="仿宋_GB2312" w:eastAsia="仿宋_GB2312"/>
                      <w:sz w:val="24"/>
                      <w:color w:val="000000"/>
                    </w:rPr>
                    <w:t>*宽*高）:25*31*43cm(±0.05cm）。</w:t>
                  </w:r>
                </w:p>
                <w:p>
                  <w:pPr>
                    <w:pStyle w:val="null3"/>
                  </w:pPr>
                  <w:r>
                    <w:rPr>
                      <w:rFonts w:ascii="仿宋_GB2312" w:hAnsi="仿宋_GB2312" w:cs="仿宋_GB2312" w:eastAsia="仿宋_GB2312"/>
                      <w:sz w:val="24"/>
                      <w:color w:val="000000"/>
                    </w:rPr>
                    <w:t>2、</w:t>
                  </w:r>
                  <w:r>
                    <w:rPr>
                      <w:rFonts w:ascii="仿宋_GB2312" w:hAnsi="仿宋_GB2312" w:cs="仿宋_GB2312" w:eastAsia="仿宋_GB2312"/>
                      <w:sz w:val="24"/>
                      <w:color w:val="000000"/>
                    </w:rPr>
                    <w:t>材质</w:t>
                  </w:r>
                  <w:r>
                    <w:rPr>
                      <w:rFonts w:ascii="仿宋_GB2312" w:hAnsi="仿宋_GB2312" w:cs="仿宋_GB2312" w:eastAsia="仿宋_GB2312"/>
                      <w:sz w:val="24"/>
                      <w:color w:val="000000"/>
                    </w:rPr>
                    <w:t>:整体选用优质镀锌板或更优材料制作，标厚≥0.3mm(±0.03mm）。</w:t>
                  </w:r>
                </w:p>
                <w:p>
                  <w:pPr>
                    <w:pStyle w:val="null3"/>
                    <w:jc w:val="center"/>
                  </w:pPr>
                  <w:r>
                    <w:rPr>
                      <w:rFonts w:ascii="仿宋_GB2312" w:hAnsi="仿宋_GB2312" w:cs="仿宋_GB2312" w:eastAsia="仿宋_GB2312"/>
                      <w:sz w:val="24"/>
                      <w:b/>
                      <w:color w:val="000000"/>
                    </w:rPr>
                    <w:t>四、更换陈旧破损</w:t>
                  </w:r>
                  <w:r>
                    <w:rPr>
                      <w:rFonts w:ascii="仿宋_GB2312" w:hAnsi="仿宋_GB2312" w:cs="仿宋_GB2312" w:eastAsia="仿宋_GB2312"/>
                      <w:sz w:val="24"/>
                      <w:b/>
                      <w:color w:val="000000"/>
                    </w:rPr>
                    <w:t>240L塑料垃圾桶技术要求</w:t>
                  </w:r>
                </w:p>
                <w:p>
                  <w:pPr>
                    <w:pStyle w:val="null3"/>
                    <w:jc w:val="left"/>
                  </w:pPr>
                  <w:r>
                    <w:rPr>
                      <w:rFonts w:ascii="仿宋_GB2312" w:hAnsi="仿宋_GB2312" w:cs="仿宋_GB2312" w:eastAsia="仿宋_GB2312"/>
                      <w:sz w:val="24"/>
                      <w:color w:val="000000"/>
                    </w:rPr>
                    <w:t>1、容积：240L（±2%）</w:t>
                  </w:r>
                </w:p>
                <w:p>
                  <w:pPr>
                    <w:pStyle w:val="null3"/>
                    <w:jc w:val="left"/>
                  </w:pPr>
                  <w:r>
                    <w:rPr>
                      <w:rFonts w:ascii="仿宋_GB2312" w:hAnsi="仿宋_GB2312" w:cs="仿宋_GB2312" w:eastAsia="仿宋_GB2312"/>
                      <w:sz w:val="24"/>
                      <w:color w:val="000000"/>
                    </w:rPr>
                    <w:t>2、▲长*宽*高（mm）：720*575*1050（±5mm）</w:t>
                  </w:r>
                </w:p>
                <w:p>
                  <w:pPr>
                    <w:pStyle w:val="null3"/>
                    <w:jc w:val="left"/>
                  </w:pPr>
                  <w:r>
                    <w:rPr>
                      <w:rFonts w:ascii="仿宋_GB2312" w:hAnsi="仿宋_GB2312" w:cs="仿宋_GB2312" w:eastAsia="仿宋_GB2312"/>
                      <w:sz w:val="24"/>
                      <w:color w:val="000000"/>
                    </w:rPr>
                    <w:t>3、▲整体重量：14.50Kg(±0.2Kg)，桶身：10.50Kg(±0.2Kg)，盖子：1.5Kg(±0.1Kg)，轮轴重量：0.35Kg(±0.1Kg)， 轮子：1.15Kg(±0.1Kg)</w:t>
                  </w:r>
                </w:p>
                <w:p>
                  <w:pPr>
                    <w:pStyle w:val="null3"/>
                    <w:jc w:val="left"/>
                  </w:pPr>
                  <w:r>
                    <w:rPr>
                      <w:rFonts w:ascii="仿宋_GB2312" w:hAnsi="仿宋_GB2312" w:cs="仿宋_GB2312" w:eastAsia="仿宋_GB2312"/>
                      <w:sz w:val="24"/>
                      <w:color w:val="000000"/>
                    </w:rPr>
                    <w:t>4、橡胶轮：ф200*50*100mm，内圈聚乙烯，外圈橡胶轮</w:t>
                  </w:r>
                </w:p>
                <w:p>
                  <w:pPr>
                    <w:pStyle w:val="null3"/>
                    <w:jc w:val="left"/>
                  </w:pPr>
                  <w:r>
                    <w:rPr>
                      <w:rFonts w:ascii="仿宋_GB2312" w:hAnsi="仿宋_GB2312" w:cs="仿宋_GB2312" w:eastAsia="仿宋_GB2312"/>
                      <w:sz w:val="24"/>
                      <w:color w:val="000000"/>
                    </w:rPr>
                    <w:t>5、钢轴规格：ф21.5*555mm</w:t>
                  </w:r>
                </w:p>
                <w:p>
                  <w:pPr>
                    <w:pStyle w:val="null3"/>
                    <w:jc w:val="left"/>
                  </w:pPr>
                  <w:r>
                    <w:rPr>
                      <w:rFonts w:ascii="仿宋_GB2312" w:hAnsi="仿宋_GB2312" w:cs="仿宋_GB2312" w:eastAsia="仿宋_GB2312"/>
                      <w:sz w:val="24"/>
                      <w:color w:val="000000"/>
                    </w:rPr>
                    <w:t>6、壁厚：桶身壁厚≥5mm；桶顶部外沿和两侧设加强筋，厚度≥6mm；顶部外沿每边设纵向加强筋≥3条，桶底四周壁厚≥6mm。</w:t>
                  </w:r>
                </w:p>
                <w:p>
                  <w:pPr>
                    <w:pStyle w:val="null3"/>
                    <w:jc w:val="left"/>
                  </w:pPr>
                  <w:r>
                    <w:rPr>
                      <w:rFonts w:ascii="仿宋_GB2312" w:hAnsi="仿宋_GB2312" w:cs="仿宋_GB2312" w:eastAsia="仿宋_GB2312"/>
                      <w:sz w:val="24"/>
                      <w:color w:val="000000"/>
                    </w:rPr>
                    <w:t>7、材料：产品使用100%高密度聚乙烯（HDPE）全新料一次性注模成型；原料中高质量防紫外线原料占比≥3%，颜料色素占比≥5%；耐腐蚀且具有良好的冲击韧性。</w:t>
                  </w:r>
                </w:p>
                <w:p>
                  <w:pPr>
                    <w:pStyle w:val="null3"/>
                    <w:jc w:val="left"/>
                  </w:pPr>
                  <w:r>
                    <w:rPr>
                      <w:rFonts w:ascii="仿宋_GB2312" w:hAnsi="仿宋_GB2312" w:cs="仿宋_GB2312" w:eastAsia="仿宋_GB2312"/>
                      <w:sz w:val="24"/>
                      <w:color w:val="000000"/>
                    </w:rPr>
                    <w:t>8、外观:表面光滑平整，不应有波纹、划痕、黑点、杂质、气泡和裂纹，闭合部位不应有明显变形；色彩鲜艳，质保期内不褪色，质保期内有损坏由供应商更换及赔偿；耐腐蚀且有足够的机械强度和良好的冲击韧性，能与现有的垃圾车配套使用。</w:t>
                  </w:r>
                </w:p>
                <w:p>
                  <w:pPr>
                    <w:pStyle w:val="null3"/>
                    <w:jc w:val="left"/>
                  </w:pPr>
                  <w:r>
                    <w:rPr>
                      <w:rFonts w:ascii="仿宋_GB2312" w:hAnsi="仿宋_GB2312" w:cs="仿宋_GB2312" w:eastAsia="仿宋_GB2312"/>
                      <w:sz w:val="24"/>
                      <w:color w:val="000000"/>
                    </w:rPr>
                    <w:t>9、桶身:桶身设计成倒梯形，上宽下窄，可叠放，便于运输、仓储和管理。</w:t>
                  </w:r>
                </w:p>
                <w:p>
                  <w:pPr>
                    <w:pStyle w:val="null3"/>
                    <w:jc w:val="left"/>
                  </w:pPr>
                  <w:r>
                    <w:rPr>
                      <w:rFonts w:ascii="仿宋_GB2312" w:hAnsi="仿宋_GB2312" w:cs="仿宋_GB2312" w:eastAsia="仿宋_GB2312"/>
                      <w:sz w:val="24"/>
                      <w:color w:val="000000"/>
                    </w:rPr>
                    <w:t>10、桶底:桶底中心设有尺寸不小于150mm*140mm的四边形，内部为辐射条形；桶底由若干个六角菱形组成，增加底部牢度；底部不少于20颗耐磨钉。</w:t>
                  </w:r>
                </w:p>
                <w:p>
                  <w:pPr>
                    <w:pStyle w:val="null3"/>
                    <w:jc w:val="left"/>
                  </w:pPr>
                  <w:r>
                    <w:rPr>
                      <w:rFonts w:ascii="仿宋_GB2312" w:hAnsi="仿宋_GB2312" w:cs="仿宋_GB2312" w:eastAsia="仿宋_GB2312"/>
                      <w:sz w:val="24"/>
                      <w:color w:val="000000"/>
                    </w:rPr>
                    <w:t>11、桶盖：尺寸≥695mm*565mm*75mm，桶盖提手位置设有不少于4条加强筋加固，加强筋厚度为≥4mm，并且有效防止提手位置变形或损坏。桶盖表面有不少于4条加强筋，增加垃圾桶强度。投料口有明显防火标记、垃圾桶型号和最大载重量标志。</w:t>
                  </w:r>
                </w:p>
                <w:p>
                  <w:pPr>
                    <w:pStyle w:val="null3"/>
                    <w:jc w:val="left"/>
                  </w:pPr>
                  <w:r>
                    <w:rPr>
                      <w:rFonts w:ascii="仿宋_GB2312" w:hAnsi="仿宋_GB2312" w:cs="仿宋_GB2312" w:eastAsia="仿宋_GB2312"/>
                      <w:sz w:val="24"/>
                      <w:color w:val="000000"/>
                    </w:rPr>
                    <w:t>12、把手:手柄上添加防滑装置，设有波浪形状，使手掌能舒适的掌握，并能发挥全部手部力量。设有不少于8条加强筋连接，增加桶体把手的抗冲击能力，提高对把手的保护程度。</w:t>
                  </w:r>
                </w:p>
                <w:p>
                  <w:pPr>
                    <w:pStyle w:val="null3"/>
                    <w:jc w:val="left"/>
                  </w:pPr>
                  <w:r>
                    <w:rPr>
                      <w:rFonts w:ascii="仿宋_GB2312" w:hAnsi="仿宋_GB2312" w:cs="仿宋_GB2312" w:eastAsia="仿宋_GB2312"/>
                      <w:sz w:val="24"/>
                      <w:color w:val="000000"/>
                    </w:rPr>
                    <w:t>13、销子：安装简单并具备倒钩防盗特性。</w:t>
                  </w:r>
                </w:p>
                <w:p>
                  <w:pPr>
                    <w:pStyle w:val="null3"/>
                    <w:jc w:val="left"/>
                  </w:pPr>
                  <w:r>
                    <w:rPr>
                      <w:rFonts w:ascii="仿宋_GB2312" w:hAnsi="仿宋_GB2312" w:cs="仿宋_GB2312" w:eastAsia="仿宋_GB2312"/>
                      <w:sz w:val="24"/>
                      <w:color w:val="000000"/>
                    </w:rPr>
                    <w:t>14、容量刻度表：在揭开盖子可见的桶内部后侧，有识别垃圾储存容量的垃圾桶成型时就有的容量刻度表（60—220L）。</w:t>
                  </w:r>
                </w:p>
                <w:p>
                  <w:pPr>
                    <w:pStyle w:val="null3"/>
                    <w:jc w:val="left"/>
                  </w:pPr>
                  <w:r>
                    <w:rPr>
                      <w:rFonts w:ascii="仿宋_GB2312" w:hAnsi="仿宋_GB2312" w:cs="仿宋_GB2312" w:eastAsia="仿宋_GB2312"/>
                      <w:sz w:val="24"/>
                      <w:color w:val="000000"/>
                    </w:rPr>
                    <w:t>15、垃圾桶投放标志采用烫金工艺印制与桶体连接一体，保证垃圾桶使用寿命期间不脱落。</w:t>
                  </w:r>
                </w:p>
                <w:p>
                  <w:pPr>
                    <w:pStyle w:val="null3"/>
                    <w:jc w:val="left"/>
                  </w:pPr>
                  <w:r>
                    <w:rPr>
                      <w:rFonts w:ascii="仿宋_GB2312" w:hAnsi="仿宋_GB2312" w:cs="仿宋_GB2312" w:eastAsia="仿宋_GB2312"/>
                      <w:sz w:val="24"/>
                      <w:color w:val="000000"/>
                    </w:rPr>
                    <w:t>16、标准号：符合中华人民共和国城镇建设行业标准《塑料垃圾桶通用技术条件》CJ/T 280-2020标准</w:t>
                  </w:r>
                  <w:r>
                    <w:rPr>
                      <w:rFonts w:ascii="仿宋_GB2312" w:hAnsi="仿宋_GB2312" w:cs="仿宋_GB2312" w:eastAsia="仿宋_GB2312"/>
                      <w:sz w:val="24"/>
                      <w:color w:val="000000"/>
                    </w:rPr>
                    <w:t>。</w:t>
                  </w:r>
                </w:p>
                <w:p>
                  <w:pPr>
                    <w:pStyle w:val="null3"/>
                    <w:jc w:val="center"/>
                  </w:pPr>
                  <w:r>
                    <w:rPr>
                      <w:rFonts w:ascii="仿宋_GB2312" w:hAnsi="仿宋_GB2312" w:cs="仿宋_GB2312" w:eastAsia="仿宋_GB2312"/>
                      <w:sz w:val="24"/>
                      <w:b/>
                      <w:color w:val="000000"/>
                    </w:rPr>
                    <w:t>五、增补垃圾车附属设备（箱）</w:t>
                  </w:r>
                  <w:r>
                    <w:rPr>
                      <w:rFonts w:ascii="仿宋_GB2312" w:hAnsi="仿宋_GB2312" w:cs="仿宋_GB2312" w:eastAsia="仿宋_GB2312"/>
                      <w:sz w:val="24"/>
                      <w:b/>
                      <w:color w:val="000000"/>
                    </w:rPr>
                    <w:t>200个技术要求</w:t>
                  </w:r>
                </w:p>
                <w:p>
                  <w:pPr>
                    <w:pStyle w:val="null3"/>
                    <w:ind w:firstLine="24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▲箱体尺寸:2000mm×1500mm×1160mm（±50mm）</w:t>
                  </w:r>
                </w:p>
                <w:p>
                  <w:pPr>
                    <w:pStyle w:val="null3"/>
                    <w:ind w:firstLine="240"/>
                    <w:jc w:val="both"/>
                  </w:pPr>
                  <w:r>
                    <w:rPr>
                      <w:rFonts w:ascii="仿宋_GB2312" w:hAnsi="仿宋_GB2312" w:cs="仿宋_GB2312" w:eastAsia="仿宋_GB2312"/>
                      <w:sz w:val="24"/>
                      <w:color w:val="000000"/>
                    </w:rPr>
                    <w:t>2、▲箱体主材质：</w:t>
                  </w:r>
                </w:p>
                <w:p>
                  <w:pPr>
                    <w:pStyle w:val="null3"/>
                    <w:ind w:firstLine="240"/>
                    <w:jc w:val="both"/>
                  </w:pPr>
                  <w:r>
                    <w:rPr>
                      <w:rFonts w:ascii="仿宋_GB2312" w:hAnsi="仿宋_GB2312" w:cs="仿宋_GB2312" w:eastAsia="仿宋_GB2312"/>
                      <w:sz w:val="24"/>
                      <w:color w:val="000000"/>
                    </w:rPr>
                    <w:t>1)箱体底板厚度≥3.0mm，选用国标镀锌钢板或更优。</w:t>
                  </w:r>
                </w:p>
                <w:p>
                  <w:pPr>
                    <w:pStyle w:val="null3"/>
                    <w:ind w:firstLine="240"/>
                    <w:jc w:val="both"/>
                  </w:pPr>
                  <w:r>
                    <w:rPr>
                      <w:rFonts w:ascii="仿宋_GB2312" w:hAnsi="仿宋_GB2312" w:cs="仿宋_GB2312" w:eastAsia="仿宋_GB2312"/>
                      <w:sz w:val="24"/>
                      <w:color w:val="000000"/>
                    </w:rPr>
                    <w:t>2)箱体侧板厚度≥2.0mm，选用国标镀锌钢板或更优。</w:t>
                  </w:r>
                </w:p>
                <w:p>
                  <w:pPr>
                    <w:pStyle w:val="null3"/>
                    <w:ind w:firstLine="240"/>
                    <w:jc w:val="both"/>
                  </w:pPr>
                  <w:r>
                    <w:rPr>
                      <w:rFonts w:ascii="仿宋_GB2312" w:hAnsi="仿宋_GB2312" w:cs="仿宋_GB2312" w:eastAsia="仿宋_GB2312"/>
                      <w:sz w:val="24"/>
                      <w:color w:val="000000"/>
                    </w:rPr>
                    <w:t>3)左右投物口侧门采用厚度≥2.0mm，选用国标镀锌钢板或更优。</w:t>
                  </w:r>
                </w:p>
                <w:p>
                  <w:pPr>
                    <w:pStyle w:val="null3"/>
                    <w:ind w:firstLine="240"/>
                    <w:jc w:val="both"/>
                  </w:pPr>
                  <w:r>
                    <w:rPr>
                      <w:rFonts w:ascii="仿宋_GB2312" w:hAnsi="仿宋_GB2312" w:cs="仿宋_GB2312" w:eastAsia="仿宋_GB2312"/>
                      <w:sz w:val="24"/>
                      <w:color w:val="000000"/>
                    </w:rPr>
                    <w:t>4)吊挂轴≥φ22mm，实心钢轴。</w:t>
                  </w:r>
                </w:p>
                <w:p>
                  <w:pPr>
                    <w:pStyle w:val="null3"/>
                    <w:ind w:firstLine="240"/>
                    <w:jc w:val="both"/>
                  </w:pPr>
                  <w:r>
                    <w:rPr>
                      <w:rFonts w:ascii="仿宋_GB2312" w:hAnsi="仿宋_GB2312" w:cs="仿宋_GB2312" w:eastAsia="仿宋_GB2312"/>
                      <w:sz w:val="24"/>
                      <w:color w:val="000000"/>
                    </w:rPr>
                    <w:t>3、箱底部采用汽车式大梁结构，框架选用30×50mm（±2mm）镀锌方钢，管壁厚度≥2.5mm，底部大梁选用50×100mm（±2mm）国标镀锌方钢制作。</w:t>
                  </w:r>
                </w:p>
                <w:p>
                  <w:pPr>
                    <w:pStyle w:val="null3"/>
                    <w:ind w:firstLine="240"/>
                    <w:jc w:val="both"/>
                  </w:pPr>
                  <w:r>
                    <w:rPr>
                      <w:rFonts w:ascii="仿宋_GB2312" w:hAnsi="仿宋_GB2312" w:cs="仿宋_GB2312" w:eastAsia="仿宋_GB2312"/>
                      <w:sz w:val="24"/>
                      <w:color w:val="000000"/>
                    </w:rPr>
                    <w:t>4、箱底配置两个实心铸钢滑轮，滑轮直径为140mm（±2mm）。</w:t>
                  </w:r>
                </w:p>
                <w:p>
                  <w:pPr>
                    <w:pStyle w:val="null3"/>
                    <w:ind w:firstLine="240"/>
                    <w:jc w:val="both"/>
                  </w:pPr>
                  <w:r>
                    <w:rPr>
                      <w:rFonts w:ascii="仿宋_GB2312" w:hAnsi="仿宋_GB2312" w:cs="仿宋_GB2312" w:eastAsia="仿宋_GB2312"/>
                      <w:sz w:val="24"/>
                      <w:color w:val="000000"/>
                    </w:rPr>
                    <w:t>5、后门安装密封胶条。</w:t>
                  </w:r>
                </w:p>
                <w:p>
                  <w:pPr>
                    <w:pStyle w:val="null3"/>
                    <w:ind w:firstLine="240"/>
                    <w:jc w:val="both"/>
                  </w:pPr>
                  <w:r>
                    <w:rPr>
                      <w:rFonts w:ascii="仿宋_GB2312" w:hAnsi="仿宋_GB2312" w:cs="仿宋_GB2312" w:eastAsia="仿宋_GB2312"/>
                      <w:sz w:val="24"/>
                      <w:color w:val="000000"/>
                    </w:rPr>
                    <w:t>6、箱体左右侧门采用机械撑杆辅助操作开启。</w:t>
                  </w:r>
                </w:p>
                <w:p>
                  <w:pPr>
                    <w:pStyle w:val="null3"/>
                    <w:ind w:firstLine="240"/>
                    <w:jc w:val="both"/>
                  </w:pPr>
                  <w:r>
                    <w:rPr>
                      <w:rFonts w:ascii="仿宋_GB2312" w:hAnsi="仿宋_GB2312" w:cs="仿宋_GB2312" w:eastAsia="仿宋_GB2312"/>
                      <w:sz w:val="24"/>
                      <w:color w:val="000000"/>
                    </w:rPr>
                    <w:t>7、所有材质表面经喷砂、防锈处理，表面清洁干净后再采用静电整体喷塑，涂料厚度≥80μm，经过不低于200℃高温固化处理，保证耐酸、耐碱、耐盐雾，增加耐候性，抗恶劣环境侵蚀。</w:t>
                  </w:r>
                </w:p>
                <w:p>
                  <w:pPr>
                    <w:pStyle w:val="null3"/>
                    <w:ind w:firstLine="240"/>
                    <w:jc w:val="both"/>
                  </w:pPr>
                  <w:r>
                    <w:rPr>
                      <w:rFonts w:ascii="仿宋_GB2312" w:hAnsi="仿宋_GB2312" w:cs="仿宋_GB2312" w:eastAsia="仿宋_GB2312"/>
                      <w:sz w:val="24"/>
                      <w:color w:val="000000"/>
                    </w:rPr>
                    <w:t>8、整体焊点底部焊接处为实焊，其余焊点处间隔为60mm（±2mm），焊接长度为50mm（±2mm）。</w:t>
                  </w:r>
                </w:p>
                <w:p>
                  <w:pPr>
                    <w:pStyle w:val="null3"/>
                    <w:jc w:val="both"/>
                  </w:pPr>
                  <w:r>
                    <w:rPr>
                      <w:rFonts w:ascii="仿宋_GB2312" w:hAnsi="仿宋_GB2312" w:cs="仿宋_GB2312" w:eastAsia="仿宋_GB2312"/>
                      <w:sz w:val="24"/>
                      <w:color w:val="000000"/>
                    </w:rPr>
                    <w:t>9、与现有勾臂车配套使用</w:t>
                  </w:r>
                  <w:r>
                    <w:rPr>
                      <w:rFonts w:ascii="仿宋_GB2312" w:hAnsi="仿宋_GB2312" w:cs="仿宋_GB2312" w:eastAsia="仿宋_GB2312"/>
                      <w:sz w:val="24"/>
                      <w:color w:val="000000"/>
                    </w:rPr>
                    <w:t>。</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合同签订后20日历日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渭南高新区城市管理处指定地点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其他，验收合格无质量问题后，达到付款条件起20个工作日内，支付合同总金额的70.0%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（1）应有产品合格证、检测报告、产品说明书、保修证明以及相应产品的检定证书和其他应具有的单证； （2）质量符合国家法律法规规定的合格标准、招标文件、投标文件的要求。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从项目验收合格之日起，质保1年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1、甲方逾期付款，应就逾期部分向乙方支付按照中国人民银行规定的同期贷款基准利率计算的逾期付款违约金。2、甲方违反合同规定拒绝接货的，应当承担由此对乙方造成的损失。3、乙方不能按期交货的，每逾期1日，乙方应向甲方赔付合同总价的0.1%作为违约金。4、乙方所交货物不符合国家法律法规和合同规定的，甲方有权拒收，并由乙方承担一切费用。 解决争议的方法：双方本着友好合作的态度,对合同履行过程中发生的纠纷应及时协商解决，协商不成的，向甲方所在地有管辖权的人民法院诉讼解决。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供应商应具有独立承担民事责任的能力且具备向采购人提供相关货物及服务的企业法人、其他组织，企业法人应提供统一社会信用代码的营业执照；其他组织应提供合法证明文件；</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法定代表人授权委托书（附法定代表人身份证复印件）及被授权委托人身份证（法定代表人参加投标只须提供法定代表人身份证）；</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2025年度经审计并通过注册会计师行业统一监管平台备案赋码的财务报告（包括“四表一注”，即资产负债表、利润表、现金流量表、所有者权益变动表及其附注，会计师事务所营业执照、执业证书、注册会计师证书。）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提供2025年6月以来任意3个月依法缴纳税收和社会保险的相关证明材料；注：依法免税或不需要缴纳社会保险的供应商提供相关部门出具的证明文件；（以税款所属时期为准）</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投标承诺</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提供《中小企业声明函》；监狱企业应提供监狱企业相关资格证明材料；残疾人福利性单位应提供《残疾人福利性单位声明函》。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投标文件签章 （实质性要求）</w:t>
            </w:r>
          </w:p>
        </w:tc>
        <w:tc>
          <w:tcPr>
            <w:tcW w:type="dxa" w:w="3322"/>
          </w:tcPr>
          <w:p>
            <w:pPr>
              <w:pStyle w:val="null3"/>
            </w:pPr>
            <w:r>
              <w:rPr>
                <w:rFonts w:ascii="仿宋_GB2312" w:hAnsi="仿宋_GB2312" w:cs="仿宋_GB2312" w:eastAsia="仿宋_GB2312"/>
              </w:rPr>
              <w:t>投标文件、投标函加盖单位公章、经法定代表人或被授权委托人签字或盖章</w:t>
            </w:r>
          </w:p>
        </w:tc>
        <w:tc>
          <w:tcPr>
            <w:tcW w:type="dxa" w:w="1661"/>
          </w:tcPr>
          <w:p>
            <w:pPr>
              <w:pStyle w:val="null3"/>
            </w:pPr>
            <w:r>
              <w:rPr>
                <w:rFonts w:ascii="仿宋_GB2312" w:hAnsi="仿宋_GB2312" w:cs="仿宋_GB2312" w:eastAsia="仿宋_GB2312"/>
              </w:rPr>
              <w:t>开标一览表 分项报价表 中小企业声明函 技术要求响应表 商务要求响应表 投标方案说明 政府采购供应商拒绝政府采购领域商业贿赂承诺书 投标函 残疾人福利性单位声明函 标的清单 关于符合本国产品标准的声明函 投标文件封面 供应商承诺书 业绩证明文件 监狱企业的证明文件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 （实质性要求）</w:t>
            </w:r>
          </w:p>
        </w:tc>
        <w:tc>
          <w:tcPr>
            <w:tcW w:type="dxa" w:w="3322"/>
          </w:tcPr>
          <w:p>
            <w:pPr>
              <w:pStyle w:val="null3"/>
            </w:pPr>
            <w:r>
              <w:rPr>
                <w:rFonts w:ascii="仿宋_GB2312" w:hAnsi="仿宋_GB2312" w:cs="仿宋_GB2312" w:eastAsia="仿宋_GB2312"/>
              </w:rPr>
              <w:t>从提交投标文件的截止之日起不少于90日历日</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 （实质性要求）</w:t>
            </w:r>
          </w:p>
        </w:tc>
        <w:tc>
          <w:tcPr>
            <w:tcW w:type="dxa" w:w="3322"/>
          </w:tcPr>
          <w:p>
            <w:pPr>
              <w:pStyle w:val="null3"/>
            </w:pPr>
            <w:r>
              <w:rPr>
                <w:rFonts w:ascii="仿宋_GB2312" w:hAnsi="仿宋_GB2312" w:cs="仿宋_GB2312" w:eastAsia="仿宋_GB2312"/>
              </w:rPr>
              <w:t>（1）报价未超过本项目预算金额（2）未出现选择性报价</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文件响应情况 （实质性要求）</w:t>
            </w:r>
          </w:p>
        </w:tc>
        <w:tc>
          <w:tcPr>
            <w:tcW w:type="dxa" w:w="3322"/>
          </w:tcPr>
          <w:p>
            <w:pPr>
              <w:pStyle w:val="null3"/>
            </w:pPr>
            <w:r>
              <w:rPr>
                <w:rFonts w:ascii="仿宋_GB2312" w:hAnsi="仿宋_GB2312" w:cs="仿宋_GB2312" w:eastAsia="仿宋_GB2312"/>
              </w:rPr>
              <w:t>（1）符合商务、技术要求，不存在重大负偏离（2）未附有采购人不能接受的条件（3）符合招标文件规定的其他实质性要求（4）未违反《中华人民共和国政府采购法》和其他相关法律、法规的规定</w:t>
            </w:r>
          </w:p>
        </w:tc>
        <w:tc>
          <w:tcPr>
            <w:tcW w:type="dxa" w:w="1661"/>
          </w:tcPr>
          <w:p>
            <w:pPr>
              <w:pStyle w:val="null3"/>
            </w:pPr>
            <w:r>
              <w:rPr>
                <w:rFonts w:ascii="仿宋_GB2312" w:hAnsi="仿宋_GB2312" w:cs="仿宋_GB2312" w:eastAsia="仿宋_GB2312"/>
              </w:rPr>
              <w:t>技术要求响应表 商务要求响应表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商务要求</w:t>
            </w:r>
          </w:p>
        </w:tc>
        <w:tc>
          <w:tcPr>
            <w:tcW w:type="dxa" w:w="2492"/>
          </w:tcPr>
          <w:p>
            <w:pPr>
              <w:pStyle w:val="null3"/>
            </w:pPr>
            <w:r>
              <w:rPr>
                <w:rFonts w:ascii="仿宋_GB2312" w:hAnsi="仿宋_GB2312" w:cs="仿宋_GB2312" w:eastAsia="仿宋_GB2312"/>
              </w:rPr>
              <w:t>对商务要求完全响应招标文件要求的得2分。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所投产品技术参数指标</w:t>
            </w:r>
          </w:p>
        </w:tc>
        <w:tc>
          <w:tcPr>
            <w:tcW w:type="dxa" w:w="2492"/>
          </w:tcPr>
          <w:p>
            <w:pPr>
              <w:pStyle w:val="null3"/>
            </w:pPr>
            <w:r>
              <w:rPr>
                <w:rFonts w:ascii="仿宋_GB2312" w:hAnsi="仿宋_GB2312" w:cs="仿宋_GB2312" w:eastAsia="仿宋_GB2312"/>
              </w:rPr>
              <w:t>所投产品技术参数指标，未提供不得分。 标▲参数有一项不满足扣1分，非▲参数有一项不满足扣0.5分，扣完为止。 注：投标文件中需提供的作为评审依据的证明文件（第三方检测报告或加盖公章的产品彩页或加盖公章的官网截图等）。</w:t>
            </w:r>
          </w:p>
        </w:tc>
        <w:tc>
          <w:tcPr>
            <w:tcW w:type="dxa" w:w="831"/>
          </w:tcPr>
          <w:p>
            <w:pPr>
              <w:pStyle w:val="null3"/>
              <w:jc w:val="right"/>
            </w:pPr>
            <w:r>
              <w:rPr>
                <w:rFonts w:ascii="仿宋_GB2312" w:hAnsi="仿宋_GB2312" w:cs="仿宋_GB2312" w:eastAsia="仿宋_GB2312"/>
              </w:rPr>
              <w:t>28.5000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所投产品合法来源渠道</w:t>
            </w:r>
          </w:p>
        </w:tc>
        <w:tc>
          <w:tcPr>
            <w:tcW w:type="dxa" w:w="2492"/>
          </w:tcPr>
          <w:p>
            <w:pPr>
              <w:pStyle w:val="null3"/>
            </w:pPr>
            <w:r>
              <w:rPr>
                <w:rFonts w:ascii="仿宋_GB2312" w:hAnsi="仿宋_GB2312" w:cs="仿宋_GB2312" w:eastAsia="仿宋_GB2312"/>
              </w:rPr>
              <w:t>提供针对本项目的所投产品合法来源渠道（产品制造商授权书或销售协议或代理协议或产品生产证明等），每提供一类产品计1分，满分5分；未提供不得分。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1、评审内容 提供针对本项目的总体实施方案，内容包括： ①产品运输送货方案； ②产品验收实施方案； ③产品出现质量问题时的处理方案。 2、评审标准 ①完整性：方案须全面，对评审内容中的各项要求有详细描述及说明； ②可实施性：切合本项目实际情况，实施步骤清晰、合理； ③针对性：方案能够紧扣项目实际情况，内容科学合理。 3、赋分标准 ①产品运输送货方案：每完全满足一项评审标准得1分，满分3分； ②产品验收实施方案：每完全满足一项评审标准得1分，满分3分； ③产品出现质量问题时的处理方案：每完全满足一项评审标准得1分，满分3分。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产品质量保障</w:t>
            </w:r>
          </w:p>
        </w:tc>
        <w:tc>
          <w:tcPr>
            <w:tcW w:type="dxa" w:w="2492"/>
          </w:tcPr>
          <w:p>
            <w:pPr>
              <w:pStyle w:val="null3"/>
            </w:pPr>
            <w:r>
              <w:rPr>
                <w:rFonts w:ascii="仿宋_GB2312" w:hAnsi="仿宋_GB2312" w:cs="仿宋_GB2312" w:eastAsia="仿宋_GB2312"/>
              </w:rPr>
              <w:t>1、评审内容 提供针对本项目的产品质量保障，内容包括： ①产品质量管控措施； ②备品备件质量保障方案。 2、评审标准 ①完整性：方案须全面，对评审内容中的各项要求有详细描述及说明； ②可实施性：切合本项目实际情况，实施步骤清晰、合理； ③针对性：方案能够紧扣项目实际情况，内容科学合理。 3、赋分标准 ①产品质量管控措施：每完全满足一项评审标准得0.5分，满分1.5分； ②备品备件质量保障方案：每完全满足一项评审标准得0.5分，满分1.5分。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应急响应</w:t>
            </w:r>
          </w:p>
        </w:tc>
        <w:tc>
          <w:tcPr>
            <w:tcW w:type="dxa" w:w="2492"/>
          </w:tcPr>
          <w:p>
            <w:pPr>
              <w:pStyle w:val="null3"/>
            </w:pPr>
            <w:r>
              <w:rPr>
                <w:rFonts w:ascii="仿宋_GB2312" w:hAnsi="仿宋_GB2312" w:cs="仿宋_GB2312" w:eastAsia="仿宋_GB2312"/>
              </w:rPr>
              <w:t>1、评审内容 提供针对本项目的应急响应方案，方案内容包含：①应急处理工作流程②应急保障方案。 2、评审标准 ①完整性：方案全面，梳理出项目关键点，并给出控制策略，对评审内容中的各项要求有详细描述及说明； ②可实施性：切合本项目实际情况，实施步骤清晰、合理； ③针对性：方案能够紧扣项目实际情况，内容科学合理。 3、赋分标准 ①应急处理工作流程：每完全满足一项评审标准得0.5分，满分1.5分； ②应急保障方案：每完全满足一项评审标准得0.5分，满分1.5分。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提供2023年1月1日以来供应商类似项目的业绩合同（以合同签订日期为准），附业绩合同复印件加盖公章，每份2分，满分10分；未提供不得分。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1、评审内容 供应商提供针对本项目提供具体的售后服务承诺，内容包括： ①质保期内的售后服务保障；②售后服务人员安排及响应处理时间； ③质保期外的售后服务保障。 2、评审标准 ①完整性：承诺须全面，对评审内容中的各项要求有详细描述及说明； ②可实施性：切合本项目实际情况，步骤清晰、合理，操作性强； ③针对性：承诺能够紧扣项目实际情况，内容科学合理。 3、赋分标准 ①质保期内的售后服务保障：每完全满足一项评审标准得0.5分，满分1.5分； ②售后服务人员安排及响应处理时间：每完全满足一项评审标准得0.5分，满分1.5分； ③质保期外的售后服务保障：每完全满足一项评审标准得0.5分，满分1.5分。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价格分采用低价优先法计算，即满足招标文件要求且投标报价最低的投标报价为评标基准价，其价格分为满分。其他供应商的价格分统一按照下列公式计算： 投标报价得分=（评标基准价/有效报价）×价格权值（35%）×100</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详见附件：技术要求响应表</w:t>
      </w:r>
    </w:p>
    <w:p>
      <w:pPr>
        <w:pStyle w:val="null3"/>
        <w:ind w:firstLine="960"/>
      </w:pPr>
      <w:r>
        <w:rPr>
          <w:rFonts w:ascii="仿宋_GB2312" w:hAnsi="仿宋_GB2312" w:cs="仿宋_GB2312" w:eastAsia="仿宋_GB2312"/>
        </w:rPr>
        <w:t>详见附件：投标方案说明</w:t>
      </w:r>
    </w:p>
    <w:p>
      <w:pPr>
        <w:pStyle w:val="null3"/>
        <w:ind w:firstLine="960"/>
      </w:pPr>
      <w:r>
        <w:rPr>
          <w:rFonts w:ascii="仿宋_GB2312" w:hAnsi="仿宋_GB2312" w:cs="仿宋_GB2312" w:eastAsia="仿宋_GB2312"/>
        </w:rPr>
        <w:t>详见附件：业绩证明文件</w:t>
      </w:r>
    </w:p>
    <w:p>
      <w:pPr>
        <w:pStyle w:val="null3"/>
        <w:ind w:firstLine="960"/>
      </w:pPr>
      <w:r>
        <w:rPr>
          <w:rFonts w:ascii="仿宋_GB2312" w:hAnsi="仿宋_GB2312" w:cs="仿宋_GB2312" w:eastAsia="仿宋_GB2312"/>
        </w:rPr>
        <w:t>详见附件：政府采购供应商拒绝政府采购领域商业贿赂承诺书</w:t>
      </w:r>
    </w:p>
    <w:p>
      <w:pPr>
        <w:pStyle w:val="null3"/>
        <w:ind w:firstLine="960"/>
      </w:pPr>
      <w:r>
        <w:rPr>
          <w:rFonts w:ascii="仿宋_GB2312" w:hAnsi="仿宋_GB2312" w:cs="仿宋_GB2312" w:eastAsia="仿宋_GB2312"/>
        </w:rPr>
        <w:t>详见附件：商务要求响应表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