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EA08D2">
      <w:pPr>
        <w:keepNext w:val="0"/>
        <w:keepLines w:val="0"/>
        <w:pageBreakBefore w:val="0"/>
        <w:overflowPunct/>
        <w:autoSpaceDE/>
        <w:autoSpaceDN/>
        <w:bidi w:val="0"/>
        <w:adjustRightInd/>
        <w:snapToGrid/>
        <w:spacing w:line="360" w:lineRule="auto"/>
        <w:ind w:left="0" w:leftChars="0"/>
        <w:rPr>
          <w:rFonts w:hint="eastAsia" w:ascii="宋体" w:hAnsi="宋体" w:cs="宋体"/>
          <w:b/>
          <w:bCs/>
          <w:sz w:val="24"/>
        </w:rPr>
      </w:pPr>
      <w:r>
        <w:rPr>
          <w:rFonts w:ascii="宋体" w:hAnsi="宋体" w:cs="宋体"/>
          <w:b/>
          <w:bCs/>
          <w:sz w:val="24"/>
        </w:rPr>
        <w:t>一、项目概况</w:t>
      </w:r>
    </w:p>
    <w:p w14:paraId="61CD3AF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b w:val="0"/>
          <w:bCs w:val="0"/>
          <w:sz w:val="24"/>
          <w:lang w:eastAsia="zh-CN"/>
        </w:rPr>
      </w:pPr>
      <w:r>
        <w:rPr>
          <w:rFonts w:hint="eastAsia" w:ascii="宋体" w:hAnsi="宋体" w:cs="宋体"/>
          <w:b w:val="0"/>
          <w:bCs w:val="0"/>
          <w:sz w:val="24"/>
          <w:lang w:eastAsia="zh-CN"/>
        </w:rPr>
        <w:t>2026年石化类、挥发性有机物产品；燃气具及配件、电动自行车、电子电器等3C认证产品；学生用品等日常消费品质量监督抽检。</w:t>
      </w:r>
    </w:p>
    <w:p w14:paraId="252110F8">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eastAsia="zh-CN"/>
        </w:rPr>
      </w:pPr>
      <w:r>
        <w:rPr>
          <w:rFonts w:ascii="宋体" w:hAnsi="宋体" w:eastAsia="宋体" w:cs="宋体"/>
          <w:b/>
          <w:bCs/>
          <w:sz w:val="24"/>
        </w:rPr>
        <w:t>二、</w:t>
      </w:r>
      <w:r>
        <w:rPr>
          <w:rFonts w:hint="eastAsia" w:ascii="宋体" w:hAnsi="宋体" w:eastAsia="宋体" w:cs="宋体"/>
          <w:b/>
          <w:bCs/>
          <w:sz w:val="24"/>
          <w:lang w:eastAsia="zh-CN"/>
        </w:rPr>
        <w:t>功能目标</w:t>
      </w:r>
    </w:p>
    <w:p w14:paraId="798A1DD7">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对相关产品的实物质量按照《中华人民共和国产品质量法》、《产品质量监督抽查管理暂行办法》等法律法规的要求，依据产品对应的国家标准、行业标准等检验标准及我局有关文件要求完成此次监督抽查工作。</w:t>
      </w:r>
    </w:p>
    <w:p w14:paraId="517C04D8">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eastAsia="zh-CN"/>
        </w:rPr>
      </w:pPr>
      <w:r>
        <w:rPr>
          <w:rFonts w:hint="eastAsia" w:ascii="宋体" w:hAnsi="宋体" w:eastAsia="宋体" w:cs="宋体"/>
          <w:b/>
          <w:bCs/>
          <w:sz w:val="24"/>
        </w:rPr>
        <w:t>三</w:t>
      </w:r>
      <w:r>
        <w:rPr>
          <w:rFonts w:ascii="宋体" w:hAnsi="宋体" w:eastAsia="宋体" w:cs="宋体"/>
          <w:b/>
          <w:bCs/>
          <w:sz w:val="24"/>
        </w:rPr>
        <w:t>、</w:t>
      </w:r>
      <w:r>
        <w:rPr>
          <w:rFonts w:hint="eastAsia" w:ascii="宋体" w:hAnsi="宋体" w:eastAsia="宋体" w:cs="宋体"/>
          <w:b/>
          <w:bCs/>
          <w:sz w:val="24"/>
          <w:lang w:eastAsia="zh-CN"/>
        </w:rPr>
        <w:t>项目内容</w:t>
      </w:r>
    </w:p>
    <w:p w14:paraId="790F8200">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val="0"/>
          <w:bCs w:val="0"/>
          <w:sz w:val="24"/>
          <w:lang w:val="en-US" w:eastAsia="zh-CN"/>
        </w:rPr>
      </w:pPr>
      <w:r>
        <w:rPr>
          <w:rFonts w:hint="eastAsia" w:ascii="宋体" w:hAnsi="宋体" w:cs="宋体"/>
          <w:b w:val="0"/>
          <w:bCs w:val="0"/>
          <w:sz w:val="24"/>
          <w:lang w:eastAsia="zh-CN"/>
        </w:rPr>
        <w:t>包</w:t>
      </w:r>
      <w:r>
        <w:rPr>
          <w:rFonts w:hint="eastAsia" w:ascii="宋体" w:hAnsi="宋体" w:cs="宋体"/>
          <w:b w:val="0"/>
          <w:bCs w:val="0"/>
          <w:sz w:val="24"/>
          <w:lang w:val="en-US" w:eastAsia="zh-CN"/>
        </w:rPr>
        <w:t>1：燃气具及配件、电子电器等3C认证产品质量监督抽查</w:t>
      </w:r>
    </w:p>
    <w:tbl>
      <w:tblPr>
        <w:tblStyle w:val="5"/>
        <w:tblW w:w="8880" w:type="dxa"/>
        <w:tblInd w:w="96" w:type="dxa"/>
        <w:tblLayout w:type="fixed"/>
        <w:tblCellMar>
          <w:top w:w="0" w:type="dxa"/>
          <w:left w:w="108" w:type="dxa"/>
          <w:bottom w:w="0" w:type="dxa"/>
          <w:right w:w="108" w:type="dxa"/>
        </w:tblCellMar>
      </w:tblPr>
      <w:tblGrid>
        <w:gridCol w:w="5861"/>
        <w:gridCol w:w="3019"/>
      </w:tblGrid>
      <w:tr w14:paraId="04AB1890">
        <w:tblPrEx>
          <w:tblCellMar>
            <w:top w:w="0" w:type="dxa"/>
            <w:left w:w="108" w:type="dxa"/>
            <w:bottom w:w="0" w:type="dxa"/>
            <w:right w:w="108" w:type="dxa"/>
          </w:tblCellMar>
        </w:tblPrEx>
        <w:trPr>
          <w:trHeight w:val="565" w:hRule="atLeast"/>
        </w:trPr>
        <w:tc>
          <w:tcPr>
            <w:tcW w:w="586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6F3AB14">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具体采购项目名称</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771DDA50">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预算金额（万元）</w:t>
            </w:r>
          </w:p>
        </w:tc>
      </w:tr>
      <w:tr w14:paraId="05E49346">
        <w:tblPrEx>
          <w:tblCellMar>
            <w:top w:w="0" w:type="dxa"/>
            <w:left w:w="108" w:type="dxa"/>
            <w:bottom w:w="0" w:type="dxa"/>
            <w:right w:w="108" w:type="dxa"/>
          </w:tblCellMar>
        </w:tblPrEx>
        <w:trPr>
          <w:trHeight w:val="601" w:hRule="atLeast"/>
        </w:trPr>
        <w:tc>
          <w:tcPr>
            <w:tcW w:w="5861" w:type="dxa"/>
            <w:tcBorders>
              <w:top w:val="single" w:color="auto" w:sz="4" w:space="0"/>
              <w:left w:val="single" w:color="000000" w:sz="4" w:space="0"/>
              <w:bottom w:val="single" w:color="000000" w:sz="4" w:space="0"/>
              <w:right w:val="single" w:color="000000" w:sz="4" w:space="0"/>
            </w:tcBorders>
            <w:shd w:val="clear" w:color="auto" w:fill="auto"/>
            <w:vAlign w:val="center"/>
          </w:tcPr>
          <w:p w14:paraId="54FC4238">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燃气具及配件类</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2A2AB68">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1.5</w:t>
            </w:r>
          </w:p>
        </w:tc>
      </w:tr>
      <w:tr w14:paraId="28A27BE5">
        <w:tblPrEx>
          <w:tblCellMar>
            <w:top w:w="0" w:type="dxa"/>
            <w:left w:w="108" w:type="dxa"/>
            <w:bottom w:w="0" w:type="dxa"/>
            <w:right w:w="108" w:type="dxa"/>
          </w:tblCellMar>
        </w:tblPrEx>
        <w:trPr>
          <w:trHeight w:val="591" w:hRule="atLeast"/>
        </w:trPr>
        <w:tc>
          <w:tcPr>
            <w:tcW w:w="5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7404B">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电子电器类</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FC776CA">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4.5</w:t>
            </w:r>
          </w:p>
        </w:tc>
      </w:tr>
      <w:tr w14:paraId="533773F1">
        <w:tblPrEx>
          <w:tblCellMar>
            <w:top w:w="0" w:type="dxa"/>
            <w:left w:w="108" w:type="dxa"/>
            <w:bottom w:w="0" w:type="dxa"/>
            <w:right w:w="108" w:type="dxa"/>
          </w:tblCellMar>
        </w:tblPrEx>
        <w:trPr>
          <w:trHeight w:val="591" w:hRule="atLeast"/>
        </w:trPr>
        <w:tc>
          <w:tcPr>
            <w:tcW w:w="5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CF49F">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电动自行车及配件</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54C9E722">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r>
      <w:tr w14:paraId="36038046">
        <w:tblPrEx>
          <w:tblCellMar>
            <w:top w:w="0" w:type="dxa"/>
            <w:left w:w="108" w:type="dxa"/>
            <w:bottom w:w="0" w:type="dxa"/>
            <w:right w:w="108" w:type="dxa"/>
          </w:tblCellMar>
        </w:tblPrEx>
        <w:trPr>
          <w:trHeight w:val="534" w:hRule="atLeast"/>
        </w:trPr>
        <w:tc>
          <w:tcPr>
            <w:tcW w:w="888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0C1E23E">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rPr>
              <w:t>合计：￥</w:t>
            </w:r>
            <w:r>
              <w:rPr>
                <w:rFonts w:hint="eastAsia" w:ascii="宋体" w:hAnsi="宋体" w:eastAsia="宋体" w:cs="宋体"/>
                <w:sz w:val="24"/>
                <w:szCs w:val="24"/>
                <w:lang w:val="en-US" w:eastAsia="zh-CN"/>
              </w:rPr>
              <w:t>80000</w:t>
            </w:r>
            <w:r>
              <w:rPr>
                <w:rFonts w:hint="eastAsia" w:ascii="宋体" w:hAnsi="宋体" w:eastAsia="宋体" w:cs="宋体"/>
                <w:sz w:val="24"/>
                <w:szCs w:val="24"/>
                <w:lang w:eastAsia="zh-CN"/>
              </w:rPr>
              <w:t>.00元，大写：</w:t>
            </w:r>
            <w:r>
              <w:rPr>
                <w:rFonts w:hint="eastAsia" w:ascii="宋体" w:hAnsi="宋体" w:eastAsia="宋体" w:cs="宋体"/>
                <w:sz w:val="24"/>
                <w:szCs w:val="24"/>
                <w:lang w:val="en-US" w:eastAsia="zh-CN"/>
              </w:rPr>
              <w:t>捌万</w:t>
            </w:r>
            <w:r>
              <w:rPr>
                <w:rFonts w:hint="eastAsia" w:ascii="宋体" w:hAnsi="宋体" w:eastAsia="宋体" w:cs="宋体"/>
                <w:sz w:val="24"/>
                <w:szCs w:val="24"/>
                <w:lang w:eastAsia="zh-CN"/>
              </w:rPr>
              <w:t>元整</w:t>
            </w:r>
          </w:p>
        </w:tc>
      </w:tr>
    </w:tbl>
    <w:p w14:paraId="02308BFE">
      <w:pPr>
        <w:keepNext w:val="0"/>
        <w:keepLines w:val="0"/>
        <w:pageBreakBefore w:val="0"/>
        <w:overflowPunct/>
        <w:autoSpaceDE/>
        <w:autoSpaceDN/>
        <w:bidi w:val="0"/>
        <w:adjustRightInd/>
        <w:snapToGrid/>
        <w:spacing w:line="360" w:lineRule="auto"/>
        <w:ind w:left="0" w:leftChars="0"/>
        <w:rPr>
          <w:rFonts w:hint="eastAsia" w:ascii="宋体" w:hAnsi="宋体" w:eastAsia="宋体" w:cs="宋体"/>
          <w:sz w:val="24"/>
          <w:lang w:eastAsia="zh-CN"/>
        </w:rPr>
      </w:pPr>
      <w:r>
        <w:rPr>
          <w:rFonts w:hint="eastAsia" w:ascii="宋体" w:hAnsi="宋体" w:cs="宋体"/>
          <w:b w:val="0"/>
          <w:bCs w:val="0"/>
          <w:sz w:val="24"/>
          <w:lang w:eastAsia="zh-CN"/>
        </w:rPr>
        <w:t>包</w:t>
      </w:r>
      <w:r>
        <w:rPr>
          <w:rFonts w:hint="eastAsia" w:ascii="宋体" w:hAnsi="宋体" w:cs="宋体"/>
          <w:b w:val="0"/>
          <w:bCs w:val="0"/>
          <w:sz w:val="24"/>
          <w:lang w:val="en-US" w:eastAsia="zh-CN"/>
        </w:rPr>
        <w:t>2：2026年学生用品等日常消费品质量监督抽查</w:t>
      </w:r>
    </w:p>
    <w:tbl>
      <w:tblPr>
        <w:tblStyle w:val="5"/>
        <w:tblW w:w="8880" w:type="dxa"/>
        <w:tblInd w:w="96" w:type="dxa"/>
        <w:tblLayout w:type="fixed"/>
        <w:tblCellMar>
          <w:top w:w="0" w:type="dxa"/>
          <w:left w:w="108" w:type="dxa"/>
          <w:bottom w:w="0" w:type="dxa"/>
          <w:right w:w="108" w:type="dxa"/>
        </w:tblCellMar>
      </w:tblPr>
      <w:tblGrid>
        <w:gridCol w:w="5861"/>
        <w:gridCol w:w="3019"/>
      </w:tblGrid>
      <w:tr w14:paraId="6CBE3388">
        <w:tblPrEx>
          <w:tblCellMar>
            <w:top w:w="0" w:type="dxa"/>
            <w:left w:w="108" w:type="dxa"/>
            <w:bottom w:w="0" w:type="dxa"/>
            <w:right w:w="108" w:type="dxa"/>
          </w:tblCellMar>
        </w:tblPrEx>
        <w:trPr>
          <w:trHeight w:val="565" w:hRule="atLeast"/>
        </w:trPr>
        <w:tc>
          <w:tcPr>
            <w:tcW w:w="586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D1BE581">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具体采购项目名称</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840E2B9">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预算金额（万元）</w:t>
            </w:r>
          </w:p>
        </w:tc>
      </w:tr>
      <w:tr w14:paraId="13C3C768">
        <w:trPr>
          <w:trHeight w:val="601" w:hRule="atLeast"/>
        </w:trPr>
        <w:tc>
          <w:tcPr>
            <w:tcW w:w="5861" w:type="dxa"/>
            <w:tcBorders>
              <w:top w:val="single" w:color="auto" w:sz="4" w:space="0"/>
              <w:left w:val="single" w:color="000000" w:sz="4" w:space="0"/>
              <w:bottom w:val="single" w:color="000000" w:sz="4" w:space="0"/>
              <w:right w:val="single" w:color="000000" w:sz="4" w:space="0"/>
            </w:tcBorders>
            <w:shd w:val="clear" w:color="auto" w:fill="auto"/>
            <w:vAlign w:val="center"/>
          </w:tcPr>
          <w:p w14:paraId="12F9C10A">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食品类相关产品、学生用品等日常消费品</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18466A3">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r>
      <w:tr w14:paraId="00C1DC0C">
        <w:tblPrEx>
          <w:tblCellMar>
            <w:top w:w="0" w:type="dxa"/>
            <w:left w:w="108" w:type="dxa"/>
            <w:bottom w:w="0" w:type="dxa"/>
            <w:right w:w="108" w:type="dxa"/>
          </w:tblCellMar>
        </w:tblPrEx>
        <w:trPr>
          <w:trHeight w:val="591" w:hRule="atLeast"/>
        </w:trPr>
        <w:tc>
          <w:tcPr>
            <w:tcW w:w="5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96379">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临时性抽检</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CE75D3C">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r>
      <w:tr w14:paraId="21990A73">
        <w:tblPrEx>
          <w:tblCellMar>
            <w:top w:w="0" w:type="dxa"/>
            <w:left w:w="108" w:type="dxa"/>
            <w:bottom w:w="0" w:type="dxa"/>
            <w:right w:w="108" w:type="dxa"/>
          </w:tblCellMar>
        </w:tblPrEx>
        <w:trPr>
          <w:trHeight w:val="534" w:hRule="atLeast"/>
        </w:trPr>
        <w:tc>
          <w:tcPr>
            <w:tcW w:w="888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0FDD4506">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rPr>
              <w:t>合计：￥</w:t>
            </w:r>
            <w:r>
              <w:rPr>
                <w:rFonts w:hint="eastAsia" w:ascii="宋体" w:hAnsi="宋体" w:eastAsia="宋体" w:cs="宋体"/>
                <w:sz w:val="24"/>
                <w:szCs w:val="24"/>
                <w:lang w:val="en-US" w:eastAsia="zh-CN"/>
              </w:rPr>
              <w:t>70000</w:t>
            </w:r>
            <w:r>
              <w:rPr>
                <w:rFonts w:hint="eastAsia" w:ascii="宋体" w:hAnsi="宋体" w:eastAsia="宋体" w:cs="宋体"/>
                <w:sz w:val="24"/>
                <w:szCs w:val="24"/>
                <w:lang w:eastAsia="zh-CN"/>
              </w:rPr>
              <w:t>.00元，大写：</w:t>
            </w:r>
            <w:r>
              <w:rPr>
                <w:rFonts w:hint="eastAsia" w:ascii="宋体" w:hAnsi="宋体" w:eastAsia="宋体" w:cs="宋体"/>
                <w:sz w:val="24"/>
                <w:szCs w:val="24"/>
                <w:lang w:val="en-US" w:eastAsia="zh-CN"/>
              </w:rPr>
              <w:t>柒万</w:t>
            </w:r>
            <w:r>
              <w:rPr>
                <w:rFonts w:hint="eastAsia" w:ascii="宋体" w:hAnsi="宋体" w:eastAsia="宋体" w:cs="宋体"/>
                <w:sz w:val="24"/>
                <w:szCs w:val="24"/>
                <w:lang w:eastAsia="zh-CN"/>
              </w:rPr>
              <w:t>元整</w:t>
            </w:r>
          </w:p>
        </w:tc>
      </w:tr>
    </w:tbl>
    <w:p w14:paraId="0F88B1D9">
      <w:pPr>
        <w:keepNext w:val="0"/>
        <w:keepLines w:val="0"/>
        <w:pageBreakBefore w:val="0"/>
        <w:overflowPunct/>
        <w:autoSpaceDE/>
        <w:autoSpaceDN/>
        <w:bidi w:val="0"/>
        <w:adjustRightInd/>
        <w:snapToGrid/>
        <w:spacing w:line="360" w:lineRule="auto"/>
        <w:ind w:left="0" w:leftChars="0"/>
        <w:rPr>
          <w:rFonts w:hint="eastAsia" w:ascii="宋体" w:hAnsi="宋体" w:eastAsia="宋体" w:cs="宋体"/>
          <w:sz w:val="24"/>
          <w:lang w:eastAsia="zh-CN"/>
        </w:rPr>
      </w:pPr>
      <w:r>
        <w:rPr>
          <w:rFonts w:hint="eastAsia" w:ascii="宋体" w:hAnsi="宋体" w:cs="宋体"/>
          <w:b w:val="0"/>
          <w:bCs w:val="0"/>
          <w:sz w:val="24"/>
          <w:lang w:eastAsia="zh-CN"/>
        </w:rPr>
        <w:t>包</w:t>
      </w:r>
      <w:r>
        <w:rPr>
          <w:rFonts w:hint="eastAsia" w:ascii="宋体" w:hAnsi="宋体" w:cs="宋体"/>
          <w:b w:val="0"/>
          <w:bCs w:val="0"/>
          <w:sz w:val="24"/>
          <w:lang w:val="en-US" w:eastAsia="zh-CN"/>
        </w:rPr>
        <w:t>3：2026年石化类、挥发性有机物产品类质量监督抽查</w:t>
      </w:r>
    </w:p>
    <w:tbl>
      <w:tblPr>
        <w:tblStyle w:val="5"/>
        <w:tblW w:w="8880" w:type="dxa"/>
        <w:tblInd w:w="96" w:type="dxa"/>
        <w:tblLayout w:type="fixed"/>
        <w:tblCellMar>
          <w:top w:w="0" w:type="dxa"/>
          <w:left w:w="108" w:type="dxa"/>
          <w:bottom w:w="0" w:type="dxa"/>
          <w:right w:w="108" w:type="dxa"/>
        </w:tblCellMar>
      </w:tblPr>
      <w:tblGrid>
        <w:gridCol w:w="5861"/>
        <w:gridCol w:w="3019"/>
      </w:tblGrid>
      <w:tr w14:paraId="5BC84002">
        <w:tblPrEx>
          <w:tblCellMar>
            <w:top w:w="0" w:type="dxa"/>
            <w:left w:w="108" w:type="dxa"/>
            <w:bottom w:w="0" w:type="dxa"/>
            <w:right w:w="108" w:type="dxa"/>
          </w:tblCellMar>
        </w:tblPrEx>
        <w:trPr>
          <w:trHeight w:val="565" w:hRule="atLeast"/>
        </w:trPr>
        <w:tc>
          <w:tcPr>
            <w:tcW w:w="586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801E67B">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具体采购项目名称</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6179FAC">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预算金额（万元）</w:t>
            </w:r>
          </w:p>
        </w:tc>
      </w:tr>
      <w:tr w14:paraId="71E03D8E">
        <w:tblPrEx>
          <w:tblCellMar>
            <w:top w:w="0" w:type="dxa"/>
            <w:left w:w="108" w:type="dxa"/>
            <w:bottom w:w="0" w:type="dxa"/>
            <w:right w:w="108" w:type="dxa"/>
          </w:tblCellMar>
        </w:tblPrEx>
        <w:trPr>
          <w:trHeight w:val="601" w:hRule="atLeast"/>
        </w:trPr>
        <w:tc>
          <w:tcPr>
            <w:tcW w:w="5861" w:type="dxa"/>
            <w:tcBorders>
              <w:top w:val="single" w:color="auto" w:sz="4" w:space="0"/>
              <w:left w:val="single" w:color="000000" w:sz="4" w:space="0"/>
              <w:bottom w:val="single" w:color="000000" w:sz="4" w:space="0"/>
              <w:right w:val="single" w:color="000000" w:sz="4" w:space="0"/>
            </w:tcBorders>
            <w:shd w:val="clear" w:color="auto" w:fill="auto"/>
            <w:vAlign w:val="center"/>
          </w:tcPr>
          <w:p w14:paraId="61C79D87">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rPr>
              <w:t>车用柴油、车用汽油</w:t>
            </w:r>
            <w:r>
              <w:rPr>
                <w:rFonts w:hint="eastAsia" w:ascii="宋体" w:hAnsi="宋体" w:eastAsia="宋体" w:cs="宋体"/>
                <w:sz w:val="24"/>
                <w:szCs w:val="24"/>
                <w:lang w:val="en-US" w:eastAsia="zh-CN"/>
              </w:rPr>
              <w:t>等石化类产品</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59159D57">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3.5</w:t>
            </w:r>
          </w:p>
        </w:tc>
      </w:tr>
      <w:tr w14:paraId="204073EB">
        <w:tblPrEx>
          <w:tblCellMar>
            <w:top w:w="0" w:type="dxa"/>
            <w:left w:w="108" w:type="dxa"/>
            <w:bottom w:w="0" w:type="dxa"/>
            <w:right w:w="108" w:type="dxa"/>
          </w:tblCellMar>
        </w:tblPrEx>
        <w:trPr>
          <w:trHeight w:val="591" w:hRule="atLeast"/>
        </w:trPr>
        <w:tc>
          <w:tcPr>
            <w:tcW w:w="5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8F875">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rPr>
              <w:t>涂料、人造板、胶粘剂</w:t>
            </w:r>
            <w:r>
              <w:rPr>
                <w:rFonts w:hint="eastAsia" w:ascii="宋体" w:hAnsi="宋体" w:eastAsia="宋体" w:cs="宋体"/>
                <w:sz w:val="24"/>
                <w:szCs w:val="24"/>
                <w:lang w:val="en-US" w:eastAsia="zh-CN"/>
              </w:rPr>
              <w:t>等</w:t>
            </w:r>
            <w:r>
              <w:rPr>
                <w:rFonts w:hint="eastAsia" w:ascii="宋体" w:hAnsi="宋体" w:eastAsia="宋体" w:cs="宋体"/>
                <w:sz w:val="24"/>
                <w:szCs w:val="24"/>
                <w:lang w:eastAsia="zh-CN"/>
              </w:rPr>
              <w:t>挥发性有机物产品</w:t>
            </w:r>
            <w:r>
              <w:rPr>
                <w:rFonts w:hint="eastAsia" w:ascii="宋体" w:hAnsi="宋体" w:eastAsia="宋体" w:cs="宋体"/>
                <w:sz w:val="24"/>
                <w:szCs w:val="24"/>
                <w:lang w:val="en-US" w:eastAsia="zh-CN"/>
              </w:rPr>
              <w:t>类</w:t>
            </w:r>
          </w:p>
        </w:tc>
        <w:tc>
          <w:tcPr>
            <w:tcW w:w="301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E22A111">
            <w:pPr>
              <w:keepNext w:val="0"/>
              <w:keepLines w:val="0"/>
              <w:pageBreakBefore w:val="0"/>
              <w:widowControl/>
              <w:overflowPunct/>
              <w:autoSpaceDE/>
              <w:autoSpaceDN/>
              <w:bidi w:val="0"/>
              <w:adjustRightInd/>
              <w:snapToGrid/>
              <w:spacing w:line="360" w:lineRule="auto"/>
              <w:ind w:left="0" w:leftChars="0"/>
              <w:jc w:val="both"/>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1.5</w:t>
            </w:r>
          </w:p>
        </w:tc>
      </w:tr>
      <w:tr w14:paraId="39074AFF">
        <w:tblPrEx>
          <w:tblCellMar>
            <w:top w:w="0" w:type="dxa"/>
            <w:left w:w="108" w:type="dxa"/>
            <w:bottom w:w="0" w:type="dxa"/>
            <w:right w:w="108" w:type="dxa"/>
          </w:tblCellMar>
        </w:tblPrEx>
        <w:trPr>
          <w:trHeight w:val="534" w:hRule="atLeast"/>
        </w:trPr>
        <w:tc>
          <w:tcPr>
            <w:tcW w:w="888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667A9A9">
            <w:pPr>
              <w:keepNext w:val="0"/>
              <w:keepLines w:val="0"/>
              <w:pageBreakBefore w:val="0"/>
              <w:widowControl/>
              <w:overflowPunct/>
              <w:autoSpaceDE/>
              <w:autoSpaceDN/>
              <w:bidi w:val="0"/>
              <w:adjustRightInd/>
              <w:snapToGrid/>
              <w:spacing w:line="360" w:lineRule="auto"/>
              <w:ind w:left="0" w:leftChars="0"/>
              <w:jc w:val="both"/>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rPr>
              <w:t>合计：￥</w:t>
            </w:r>
            <w:r>
              <w:rPr>
                <w:rFonts w:hint="eastAsia" w:ascii="宋体" w:hAnsi="宋体" w:eastAsia="宋体" w:cs="宋体"/>
                <w:sz w:val="24"/>
                <w:szCs w:val="24"/>
                <w:lang w:val="en-US" w:eastAsia="zh-CN"/>
              </w:rPr>
              <w:t>50000</w:t>
            </w:r>
            <w:r>
              <w:rPr>
                <w:rFonts w:hint="eastAsia" w:ascii="宋体" w:hAnsi="宋体" w:eastAsia="宋体" w:cs="宋体"/>
                <w:sz w:val="24"/>
                <w:szCs w:val="24"/>
                <w:lang w:eastAsia="zh-CN"/>
              </w:rPr>
              <w:t>.00元，大写：</w:t>
            </w:r>
            <w:r>
              <w:rPr>
                <w:rFonts w:hint="eastAsia" w:ascii="宋体" w:hAnsi="宋体" w:eastAsia="宋体" w:cs="宋体"/>
                <w:sz w:val="24"/>
                <w:szCs w:val="24"/>
                <w:lang w:val="en-US" w:eastAsia="zh-CN"/>
              </w:rPr>
              <w:t>伍万</w:t>
            </w:r>
            <w:r>
              <w:rPr>
                <w:rFonts w:hint="eastAsia" w:ascii="宋体" w:hAnsi="宋体" w:eastAsia="宋体" w:cs="宋体"/>
                <w:sz w:val="24"/>
                <w:szCs w:val="24"/>
                <w:lang w:eastAsia="zh-CN"/>
              </w:rPr>
              <w:t>元整</w:t>
            </w:r>
          </w:p>
        </w:tc>
      </w:tr>
    </w:tbl>
    <w:p w14:paraId="5B4B1E60">
      <w:pPr>
        <w:keepNext w:val="0"/>
        <w:keepLines w:val="0"/>
        <w:pageBreakBefore w:val="0"/>
        <w:overflowPunct/>
        <w:autoSpaceDE/>
        <w:autoSpaceDN/>
        <w:bidi w:val="0"/>
        <w:adjustRightInd/>
        <w:snapToGrid/>
        <w:spacing w:line="360" w:lineRule="auto"/>
        <w:ind w:left="0" w:leftChars="0"/>
        <w:rPr>
          <w:rFonts w:hint="eastAsia" w:ascii="宋体" w:hAnsi="宋体" w:cs="宋体"/>
          <w:b/>
          <w:bCs/>
          <w:sz w:val="24"/>
        </w:rPr>
      </w:pPr>
      <w:r>
        <w:rPr>
          <w:rFonts w:hint="eastAsia" w:ascii="宋体" w:hAnsi="宋体" w:cs="宋体"/>
          <w:b/>
          <w:bCs/>
          <w:sz w:val="24"/>
        </w:rPr>
        <w:t>四</w:t>
      </w:r>
      <w:r>
        <w:rPr>
          <w:rFonts w:ascii="宋体" w:hAnsi="宋体" w:cs="宋体"/>
          <w:b/>
          <w:bCs/>
          <w:sz w:val="24"/>
        </w:rPr>
        <w:t>、</w:t>
      </w:r>
      <w:r>
        <w:rPr>
          <w:rFonts w:hint="eastAsia" w:ascii="宋体" w:hAnsi="宋体" w:cs="宋体"/>
          <w:b/>
          <w:bCs/>
          <w:sz w:val="24"/>
        </w:rPr>
        <w:t>技术要求</w:t>
      </w:r>
    </w:p>
    <w:p w14:paraId="44D7EB62">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1、不抽查三无、标志不清、不全和无营业执照产品。按照相关法律规定和甲方要求进行检验、判定，及时出具产品质量检验报告。</w:t>
      </w:r>
    </w:p>
    <w:p w14:paraId="78CDBC7F">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2.保证适用标准正确（适用时可使用旧标准对依据旧标准生产的产品实施检验检测并进行判定），检验数据真实、准确。</w:t>
      </w:r>
    </w:p>
    <w:p w14:paraId="6BD93E5C">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cs="宋体"/>
          <w:sz w:val="24"/>
        </w:rPr>
      </w:pPr>
      <w:r>
        <w:rPr>
          <w:rFonts w:hint="eastAsia" w:ascii="宋体" w:hAnsi="宋体" w:cs="宋体"/>
          <w:sz w:val="24"/>
        </w:rPr>
        <w:t>3.完成样品的检测工作，并在后10个工作日内提交报告、抽检信息汇总表等材料。</w:t>
      </w:r>
    </w:p>
    <w:p w14:paraId="7F714088">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val="en-US" w:eastAsia="zh-CN"/>
        </w:rPr>
      </w:pPr>
      <w:r>
        <w:rPr>
          <w:rFonts w:hint="eastAsia" w:ascii="宋体" w:hAnsi="宋体" w:eastAsia="宋体" w:cs="宋体"/>
          <w:b/>
          <w:bCs/>
          <w:sz w:val="24"/>
          <w:lang w:val="en-US" w:eastAsia="zh-CN"/>
        </w:rPr>
        <w:t>五</w:t>
      </w:r>
      <w:r>
        <w:rPr>
          <w:rFonts w:hint="eastAsia" w:ascii="宋体" w:hAnsi="宋体" w:cs="宋体"/>
          <w:b/>
          <w:bCs/>
          <w:sz w:val="24"/>
          <w:lang w:val="en-US" w:eastAsia="zh-CN"/>
        </w:rPr>
        <w:t>、</w:t>
      </w:r>
      <w:r>
        <w:rPr>
          <w:rFonts w:hint="eastAsia" w:ascii="宋体" w:hAnsi="宋体" w:eastAsia="宋体" w:cs="宋体"/>
          <w:b/>
          <w:bCs/>
          <w:sz w:val="24"/>
          <w:lang w:val="en-US" w:eastAsia="zh-CN"/>
        </w:rPr>
        <w:t>商务要求：</w:t>
      </w:r>
    </w:p>
    <w:p w14:paraId="35BA8514">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eastAsia="宋体" w:cs="宋体"/>
          <w:sz w:val="24"/>
        </w:rPr>
      </w:pPr>
      <w:r>
        <w:rPr>
          <w:rFonts w:hint="eastAsia" w:ascii="宋体" w:hAnsi="宋体" w:eastAsia="宋体" w:cs="宋体"/>
          <w:sz w:val="24"/>
          <w:lang w:val="en-US" w:eastAsia="zh-CN"/>
        </w:rPr>
        <w:t>1.服务期限：</w:t>
      </w:r>
      <w:r>
        <w:rPr>
          <w:rFonts w:hint="eastAsia" w:ascii="宋体" w:hAnsi="宋体" w:eastAsia="宋体" w:cs="宋体"/>
          <w:sz w:val="24"/>
          <w:lang w:eastAsia="zh-CN"/>
        </w:rPr>
        <w:t>质量监督抽查</w:t>
      </w:r>
      <w:r>
        <w:rPr>
          <w:rFonts w:hint="eastAsia" w:ascii="宋体" w:hAnsi="宋体" w:eastAsia="宋体" w:cs="宋体"/>
          <w:sz w:val="24"/>
        </w:rPr>
        <w:t>应在采购合同签订完成的</w:t>
      </w:r>
      <w:r>
        <w:rPr>
          <w:rFonts w:hint="eastAsia" w:ascii="宋体" w:hAnsi="宋体" w:eastAsia="宋体" w:cs="宋体"/>
          <w:sz w:val="24"/>
          <w:lang w:val="en-US" w:eastAsia="zh-CN"/>
        </w:rPr>
        <w:t>10</w:t>
      </w:r>
      <w:r>
        <w:rPr>
          <w:rFonts w:hint="eastAsia" w:ascii="宋体" w:hAnsi="宋体" w:eastAsia="宋体" w:cs="宋体"/>
          <w:sz w:val="24"/>
        </w:rPr>
        <w:t>个工作日内开始，于202</w:t>
      </w:r>
      <w:r>
        <w:rPr>
          <w:rFonts w:hint="eastAsia" w:ascii="宋体" w:hAnsi="宋体" w:eastAsia="宋体" w:cs="宋体"/>
          <w:sz w:val="24"/>
          <w:lang w:val="en-US" w:eastAsia="zh-CN"/>
        </w:rPr>
        <w:t>6</w:t>
      </w:r>
      <w:r>
        <w:rPr>
          <w:rFonts w:hint="eastAsia" w:ascii="宋体" w:hAnsi="宋体" w:eastAsia="宋体" w:cs="宋体"/>
          <w:sz w:val="24"/>
        </w:rPr>
        <w:t>年12月</w:t>
      </w:r>
      <w:r>
        <w:rPr>
          <w:rFonts w:hint="eastAsia" w:ascii="宋体" w:hAnsi="宋体" w:eastAsia="宋体" w:cs="宋体"/>
          <w:sz w:val="24"/>
          <w:lang w:val="en-US" w:eastAsia="zh-CN"/>
        </w:rPr>
        <w:t>10</w:t>
      </w:r>
      <w:r>
        <w:rPr>
          <w:rFonts w:hint="eastAsia" w:ascii="宋体" w:hAnsi="宋体" w:eastAsia="宋体" w:cs="宋体"/>
          <w:sz w:val="24"/>
        </w:rPr>
        <w:t>日前完成所有</w:t>
      </w:r>
      <w:r>
        <w:rPr>
          <w:rFonts w:hint="eastAsia" w:ascii="宋体" w:hAnsi="宋体" w:eastAsia="宋体" w:cs="宋体"/>
          <w:sz w:val="24"/>
          <w:lang w:eastAsia="zh-CN"/>
        </w:rPr>
        <w:t>抽样和检验</w:t>
      </w:r>
      <w:r>
        <w:rPr>
          <w:rFonts w:hint="eastAsia" w:ascii="宋体" w:hAnsi="宋体" w:eastAsia="宋体" w:cs="宋体"/>
          <w:sz w:val="24"/>
        </w:rPr>
        <w:t>，并按照合同约定向</w:t>
      </w:r>
      <w:r>
        <w:rPr>
          <w:rFonts w:hint="eastAsia" w:ascii="宋体" w:hAnsi="宋体" w:eastAsia="宋体" w:cs="宋体"/>
          <w:sz w:val="24"/>
          <w:lang w:val="en-US" w:eastAsia="zh-CN"/>
        </w:rPr>
        <w:t>雁塔区</w:t>
      </w:r>
      <w:r>
        <w:rPr>
          <w:rFonts w:hint="eastAsia" w:ascii="宋体" w:hAnsi="宋体" w:eastAsia="宋体" w:cs="宋体"/>
          <w:sz w:val="24"/>
        </w:rPr>
        <w:t>市场监督管理局报送</w:t>
      </w:r>
      <w:r>
        <w:rPr>
          <w:rFonts w:hint="eastAsia" w:ascii="宋体" w:hAnsi="宋体" w:eastAsia="宋体" w:cs="宋体"/>
          <w:sz w:val="24"/>
          <w:lang w:eastAsia="zh-CN"/>
        </w:rPr>
        <w:t>质检报告及相关</w:t>
      </w:r>
      <w:r>
        <w:rPr>
          <w:rFonts w:hint="eastAsia" w:ascii="宋体" w:hAnsi="宋体" w:eastAsia="宋体" w:cs="宋体"/>
          <w:sz w:val="24"/>
        </w:rPr>
        <w:t>材料。</w:t>
      </w:r>
    </w:p>
    <w:p w14:paraId="06B2899F">
      <w:pPr>
        <w:keepNext w:val="0"/>
        <w:keepLines w:val="0"/>
        <w:pageBreakBefore w:val="0"/>
        <w:overflowPunct/>
        <w:autoSpaceDE/>
        <w:autoSpaceDN/>
        <w:bidi w:val="0"/>
        <w:adjustRightInd/>
        <w:snapToGrid/>
        <w:spacing w:line="360" w:lineRule="auto"/>
        <w:ind w:left="0" w:leftChars="0" w:firstLine="480" w:firstLineChars="200"/>
        <w:rPr>
          <w:rFonts w:hint="eastAsia" w:ascii="宋体" w:hAnsi="宋体" w:eastAsia="宋体" w:cs="宋体"/>
          <w:sz w:val="24"/>
        </w:rPr>
      </w:pPr>
      <w:r>
        <w:rPr>
          <w:rFonts w:hint="eastAsia" w:ascii="宋体" w:hAnsi="宋体" w:eastAsia="宋体" w:cs="宋体"/>
          <w:sz w:val="24"/>
          <w:lang w:val="en-US" w:eastAsia="zh-CN"/>
        </w:rPr>
        <w:t>2.款项结算：抽检经费由乙方先行垫付，检测工作结束后，</w:t>
      </w:r>
      <w:r>
        <w:rPr>
          <w:rFonts w:hint="eastAsia" w:ascii="宋体" w:hAnsi="宋体" w:eastAsia="宋体" w:cs="宋体"/>
          <w:sz w:val="24"/>
          <w:lang w:val="zh-TW" w:eastAsia="zh-TW"/>
        </w:rPr>
        <w:t>成果交付验收</w:t>
      </w:r>
      <w:r>
        <w:rPr>
          <w:rFonts w:hint="eastAsia" w:ascii="宋体" w:hAnsi="宋体" w:eastAsia="宋体" w:cs="宋体"/>
          <w:sz w:val="24"/>
          <w:lang w:val="zh-TW" w:eastAsia="zh-CN"/>
        </w:rPr>
        <w:t>、</w:t>
      </w:r>
      <w:r>
        <w:rPr>
          <w:rFonts w:hint="eastAsia" w:ascii="宋体" w:hAnsi="宋体" w:eastAsia="宋体" w:cs="宋体"/>
          <w:sz w:val="24"/>
          <w:lang w:val="en-US" w:eastAsia="zh-CN"/>
        </w:rPr>
        <w:t>绩效考核</w:t>
      </w:r>
      <w:r>
        <w:rPr>
          <w:rFonts w:hint="eastAsia" w:ascii="宋体" w:hAnsi="宋体" w:eastAsia="宋体" w:cs="宋体"/>
          <w:sz w:val="24"/>
          <w:lang w:val="zh-TW" w:eastAsia="zh-TW"/>
        </w:rPr>
        <w:t>合格后，</w:t>
      </w:r>
      <w:r>
        <w:rPr>
          <w:rFonts w:hint="eastAsia" w:ascii="宋体" w:hAnsi="宋体" w:eastAsia="宋体" w:cs="宋体"/>
          <w:sz w:val="24"/>
          <w:lang w:val="en-US" w:eastAsia="zh-CN"/>
        </w:rPr>
        <w:t>在财政资金到位后十日内支付。</w:t>
      </w:r>
    </w:p>
    <w:p w14:paraId="083A486F">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val="en-US" w:eastAsia="zh-CN"/>
        </w:rPr>
      </w:pPr>
      <w:r>
        <w:rPr>
          <w:rFonts w:hint="eastAsia" w:ascii="宋体" w:hAnsi="宋体" w:eastAsia="宋体" w:cs="宋体"/>
          <w:b/>
          <w:bCs/>
          <w:sz w:val="24"/>
          <w:lang w:val="en-US" w:eastAsia="zh-CN"/>
        </w:rPr>
        <w:t>六</w:t>
      </w:r>
      <w:r>
        <w:rPr>
          <w:rFonts w:hint="eastAsia" w:ascii="宋体" w:hAnsi="宋体" w:cs="宋体"/>
          <w:b/>
          <w:bCs/>
          <w:sz w:val="24"/>
          <w:lang w:val="en-US" w:eastAsia="zh-CN"/>
        </w:rPr>
        <w:t>、</w:t>
      </w:r>
      <w:r>
        <w:rPr>
          <w:rFonts w:hint="eastAsia" w:ascii="宋体" w:hAnsi="宋体" w:eastAsia="宋体" w:cs="宋体"/>
          <w:b/>
          <w:bCs/>
          <w:sz w:val="24"/>
          <w:lang w:val="en-US" w:eastAsia="zh-CN"/>
        </w:rPr>
        <w:t>抽检清单</w:t>
      </w:r>
      <w:r>
        <w:rPr>
          <w:rFonts w:hint="eastAsia" w:ascii="宋体" w:hAnsi="宋体" w:cs="宋体"/>
          <w:b/>
          <w:bCs/>
          <w:sz w:val="24"/>
          <w:lang w:val="en-US" w:eastAsia="zh-CN"/>
        </w:rPr>
        <w:t>：</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682"/>
        <w:gridCol w:w="2149"/>
        <w:gridCol w:w="3808"/>
        <w:gridCol w:w="1169"/>
      </w:tblGrid>
      <w:tr w14:paraId="68A41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727" w:type="dxa"/>
            <w:vAlign w:val="center"/>
          </w:tcPr>
          <w:p w14:paraId="3CEDAA3E">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包号</w:t>
            </w:r>
          </w:p>
        </w:tc>
        <w:tc>
          <w:tcPr>
            <w:tcW w:w="694" w:type="dxa"/>
            <w:vAlign w:val="center"/>
          </w:tcPr>
          <w:p w14:paraId="73CD23E3">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2224" w:type="dxa"/>
            <w:vAlign w:val="center"/>
          </w:tcPr>
          <w:p w14:paraId="07475573">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具体采购项目名称</w:t>
            </w:r>
          </w:p>
        </w:tc>
        <w:tc>
          <w:tcPr>
            <w:tcW w:w="3963" w:type="dxa"/>
            <w:vAlign w:val="center"/>
          </w:tcPr>
          <w:p w14:paraId="30F38035">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抽检批次</w:t>
            </w:r>
          </w:p>
        </w:tc>
        <w:tc>
          <w:tcPr>
            <w:tcW w:w="1193" w:type="dxa"/>
            <w:vAlign w:val="center"/>
          </w:tcPr>
          <w:p w14:paraId="48B527F9">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预算金额（万元）</w:t>
            </w:r>
          </w:p>
        </w:tc>
      </w:tr>
      <w:tr w14:paraId="476C2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727" w:type="dxa"/>
            <w:vMerge w:val="restart"/>
            <w:vAlign w:val="center"/>
          </w:tcPr>
          <w:p w14:paraId="144CC916">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w:t>
            </w:r>
          </w:p>
        </w:tc>
        <w:tc>
          <w:tcPr>
            <w:tcW w:w="694" w:type="dxa"/>
            <w:vAlign w:val="center"/>
          </w:tcPr>
          <w:p w14:paraId="456ADFCD">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2224" w:type="dxa"/>
            <w:vAlign w:val="center"/>
          </w:tcPr>
          <w:p w14:paraId="02F07850">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燃气具及配件类</w:t>
            </w:r>
          </w:p>
        </w:tc>
        <w:tc>
          <w:tcPr>
            <w:tcW w:w="3963" w:type="dxa"/>
            <w:vAlign w:val="center"/>
          </w:tcPr>
          <w:p w14:paraId="359E7712">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不少于6个批次</w:t>
            </w:r>
          </w:p>
          <w:p w14:paraId="6E38F7FA">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Style w:val="8"/>
                <w:rFonts w:hint="eastAsia" w:ascii="Times New Roman" w:hAnsi="Times New Roman" w:eastAsia="宋体" w:cs="宋体"/>
                <w:b w:val="0"/>
                <w:sz w:val="24"/>
                <w:szCs w:val="24"/>
                <w:shd w:val="clear" w:color="auto" w:fill="FFFFFF"/>
                <w:lang w:val="en-US" w:eastAsia="zh-CN"/>
              </w:rPr>
              <w:t>（其中燃气灶具不少于3批次）</w:t>
            </w:r>
            <w:r>
              <w:rPr>
                <w:rFonts w:hint="eastAsia" w:ascii="宋体" w:hAnsi="宋体" w:eastAsia="宋体" w:cs="宋体"/>
                <w:sz w:val="24"/>
                <w:szCs w:val="24"/>
                <w:vertAlign w:val="baseline"/>
                <w:lang w:val="en-US" w:eastAsia="zh-CN"/>
              </w:rPr>
              <w:t>）</w:t>
            </w:r>
          </w:p>
        </w:tc>
        <w:tc>
          <w:tcPr>
            <w:tcW w:w="1193" w:type="dxa"/>
            <w:vAlign w:val="center"/>
          </w:tcPr>
          <w:p w14:paraId="09222EA7">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w:t>
            </w:r>
          </w:p>
        </w:tc>
      </w:tr>
      <w:tr w14:paraId="4F580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727" w:type="dxa"/>
            <w:vMerge w:val="continue"/>
            <w:vAlign w:val="center"/>
          </w:tcPr>
          <w:p w14:paraId="61AE315D">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p>
        </w:tc>
        <w:tc>
          <w:tcPr>
            <w:tcW w:w="694" w:type="dxa"/>
            <w:vAlign w:val="center"/>
          </w:tcPr>
          <w:p w14:paraId="455568F8">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w:t>
            </w:r>
          </w:p>
        </w:tc>
        <w:tc>
          <w:tcPr>
            <w:tcW w:w="2224" w:type="dxa"/>
            <w:vAlign w:val="center"/>
          </w:tcPr>
          <w:p w14:paraId="6846F994">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电子电器类</w:t>
            </w:r>
          </w:p>
        </w:tc>
        <w:tc>
          <w:tcPr>
            <w:tcW w:w="3963" w:type="dxa"/>
            <w:vAlign w:val="center"/>
          </w:tcPr>
          <w:p w14:paraId="25DF2F3A">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不少于18个批次</w:t>
            </w:r>
          </w:p>
          <w:p w14:paraId="4B44D509">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（其中</w:t>
            </w:r>
            <w:r>
              <w:rPr>
                <w:rFonts w:hint="eastAsia" w:ascii="宋体" w:hAnsi="宋体" w:cs="宋体"/>
                <w:sz w:val="24"/>
                <w:szCs w:val="24"/>
                <w:vertAlign w:val="baseline"/>
                <w:lang w:val="en-US" w:eastAsia="zh-CN"/>
              </w:rPr>
              <w:t>每类不少于1</w:t>
            </w:r>
            <w:r>
              <w:rPr>
                <w:rFonts w:hint="eastAsia" w:ascii="宋体" w:hAnsi="宋体" w:eastAsia="宋体" w:cs="宋体"/>
                <w:sz w:val="24"/>
                <w:szCs w:val="24"/>
                <w:vertAlign w:val="baseline"/>
                <w:lang w:val="en-US" w:eastAsia="zh-CN"/>
              </w:rPr>
              <w:t>批次）</w:t>
            </w:r>
          </w:p>
        </w:tc>
        <w:tc>
          <w:tcPr>
            <w:tcW w:w="1193" w:type="dxa"/>
            <w:vAlign w:val="center"/>
          </w:tcPr>
          <w:p w14:paraId="469D0E30">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4.5</w:t>
            </w:r>
          </w:p>
        </w:tc>
      </w:tr>
      <w:tr w14:paraId="12867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727" w:type="dxa"/>
            <w:vMerge w:val="continue"/>
            <w:vAlign w:val="center"/>
          </w:tcPr>
          <w:p w14:paraId="04A86700">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p>
        </w:tc>
        <w:tc>
          <w:tcPr>
            <w:tcW w:w="694" w:type="dxa"/>
            <w:vAlign w:val="center"/>
          </w:tcPr>
          <w:p w14:paraId="611FCD2B">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w:t>
            </w:r>
          </w:p>
        </w:tc>
        <w:tc>
          <w:tcPr>
            <w:tcW w:w="2224" w:type="dxa"/>
            <w:vAlign w:val="center"/>
          </w:tcPr>
          <w:p w14:paraId="5D946CDA">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电动自行车及配件</w:t>
            </w:r>
          </w:p>
        </w:tc>
        <w:tc>
          <w:tcPr>
            <w:tcW w:w="3963" w:type="dxa"/>
            <w:vAlign w:val="center"/>
          </w:tcPr>
          <w:p w14:paraId="3A3C9BBD">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不少于10个批次</w:t>
            </w:r>
          </w:p>
          <w:p w14:paraId="4CCE5227">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（其中</w:t>
            </w:r>
            <w:r>
              <w:rPr>
                <w:rFonts w:hint="eastAsia" w:ascii="宋体" w:hAnsi="宋体" w:cs="宋体"/>
                <w:sz w:val="24"/>
                <w:szCs w:val="24"/>
                <w:vertAlign w:val="baseline"/>
                <w:lang w:val="en-US" w:eastAsia="zh-CN"/>
              </w:rPr>
              <w:t>每类</w:t>
            </w:r>
            <w:r>
              <w:rPr>
                <w:rFonts w:hint="eastAsia" w:ascii="宋体" w:hAnsi="宋体" w:eastAsia="宋体" w:cs="宋体"/>
                <w:sz w:val="24"/>
                <w:szCs w:val="24"/>
                <w:vertAlign w:val="baseline"/>
                <w:lang w:val="en-US" w:eastAsia="zh-CN"/>
              </w:rPr>
              <w:t>不少于2批次）</w:t>
            </w:r>
          </w:p>
        </w:tc>
        <w:tc>
          <w:tcPr>
            <w:tcW w:w="1193" w:type="dxa"/>
            <w:vAlign w:val="center"/>
          </w:tcPr>
          <w:p w14:paraId="25F2580E">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r>
      <w:tr w14:paraId="67748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7" w:type="dxa"/>
            <w:vMerge w:val="restart"/>
            <w:vAlign w:val="center"/>
          </w:tcPr>
          <w:p w14:paraId="6C86DD5C">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w:t>
            </w:r>
          </w:p>
        </w:tc>
        <w:tc>
          <w:tcPr>
            <w:tcW w:w="694" w:type="dxa"/>
            <w:vAlign w:val="center"/>
          </w:tcPr>
          <w:p w14:paraId="54B2D205">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w:t>
            </w:r>
          </w:p>
        </w:tc>
        <w:tc>
          <w:tcPr>
            <w:tcW w:w="2224" w:type="dxa"/>
            <w:vAlign w:val="center"/>
          </w:tcPr>
          <w:p w14:paraId="114E94B4">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食品类相关产品、学生用品等日常消费品</w:t>
            </w:r>
          </w:p>
        </w:tc>
        <w:tc>
          <w:tcPr>
            <w:tcW w:w="3963" w:type="dxa"/>
            <w:vAlign w:val="center"/>
          </w:tcPr>
          <w:p w14:paraId="722B799E">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不少于20个批次</w:t>
            </w:r>
          </w:p>
          <w:p w14:paraId="1C29CA88">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（其中食品类相关产品5类不少于10个批次，学生用品5类不少于10个批次）</w:t>
            </w:r>
          </w:p>
        </w:tc>
        <w:tc>
          <w:tcPr>
            <w:tcW w:w="1193" w:type="dxa"/>
            <w:vAlign w:val="center"/>
          </w:tcPr>
          <w:p w14:paraId="14C6D801">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r>
      <w:tr w14:paraId="19F4A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727" w:type="dxa"/>
            <w:vMerge w:val="continue"/>
            <w:vAlign w:val="center"/>
          </w:tcPr>
          <w:p w14:paraId="06E0E0E8">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p>
        </w:tc>
        <w:tc>
          <w:tcPr>
            <w:tcW w:w="694" w:type="dxa"/>
            <w:vAlign w:val="center"/>
          </w:tcPr>
          <w:p w14:paraId="43ABEBDF">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w:t>
            </w:r>
          </w:p>
        </w:tc>
        <w:tc>
          <w:tcPr>
            <w:tcW w:w="2224" w:type="dxa"/>
            <w:vAlign w:val="center"/>
          </w:tcPr>
          <w:p w14:paraId="2C7BE95D">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临时性抽检</w:t>
            </w:r>
          </w:p>
        </w:tc>
        <w:tc>
          <w:tcPr>
            <w:tcW w:w="3963" w:type="dxa"/>
            <w:vAlign w:val="center"/>
          </w:tcPr>
          <w:p w14:paraId="6A5C4D3F">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不少于50个批次</w:t>
            </w:r>
          </w:p>
          <w:p w14:paraId="5DACE836">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（其中网抽5类不少于10个批次，其余10类不少于40个批次）</w:t>
            </w:r>
          </w:p>
        </w:tc>
        <w:tc>
          <w:tcPr>
            <w:tcW w:w="1193" w:type="dxa"/>
            <w:vAlign w:val="center"/>
          </w:tcPr>
          <w:p w14:paraId="0909A0D0">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r>
      <w:tr w14:paraId="4B23E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727" w:type="dxa"/>
            <w:vMerge w:val="restart"/>
            <w:vAlign w:val="center"/>
          </w:tcPr>
          <w:p w14:paraId="56ED2125">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r>
              <w:rPr>
                <w:rFonts w:hint="eastAsia" w:ascii="宋体" w:hAnsi="宋体" w:cs="宋体"/>
                <w:sz w:val="24"/>
                <w:szCs w:val="24"/>
                <w:vertAlign w:val="baseline"/>
                <w:lang w:val="en-US" w:eastAsia="zh-CN"/>
              </w:rPr>
              <w:t>3</w:t>
            </w:r>
          </w:p>
        </w:tc>
        <w:tc>
          <w:tcPr>
            <w:tcW w:w="694" w:type="dxa"/>
            <w:vAlign w:val="center"/>
          </w:tcPr>
          <w:p w14:paraId="4B863BFC">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2224" w:type="dxa"/>
            <w:vAlign w:val="center"/>
          </w:tcPr>
          <w:p w14:paraId="0D741E32">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车用柴油、车用汽油等石化类产品</w:t>
            </w:r>
          </w:p>
        </w:tc>
        <w:tc>
          <w:tcPr>
            <w:tcW w:w="3963" w:type="dxa"/>
            <w:vAlign w:val="center"/>
          </w:tcPr>
          <w:p w14:paraId="7DDDEA87">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不少于20批次</w:t>
            </w:r>
          </w:p>
          <w:p w14:paraId="3D010780">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（其中柴油不少于3批次，汽油不少于17批次）</w:t>
            </w:r>
          </w:p>
        </w:tc>
        <w:tc>
          <w:tcPr>
            <w:tcW w:w="1193" w:type="dxa"/>
            <w:vAlign w:val="center"/>
          </w:tcPr>
          <w:p w14:paraId="4C5702EC">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3.5</w:t>
            </w:r>
          </w:p>
        </w:tc>
      </w:tr>
      <w:tr w14:paraId="367F8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727" w:type="dxa"/>
            <w:vMerge w:val="continue"/>
            <w:vAlign w:val="center"/>
          </w:tcPr>
          <w:p w14:paraId="629CCC90">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p>
        </w:tc>
        <w:tc>
          <w:tcPr>
            <w:tcW w:w="694" w:type="dxa"/>
            <w:vAlign w:val="center"/>
          </w:tcPr>
          <w:p w14:paraId="5BE1941B">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2224" w:type="dxa"/>
            <w:vAlign w:val="center"/>
          </w:tcPr>
          <w:p w14:paraId="16AED9D7">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涂料、人造板、胶粘剂等挥发性有机物产品类</w:t>
            </w:r>
          </w:p>
        </w:tc>
        <w:tc>
          <w:tcPr>
            <w:tcW w:w="3963" w:type="dxa"/>
            <w:vAlign w:val="center"/>
          </w:tcPr>
          <w:p w14:paraId="1AC9C832">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不少于7个批次</w:t>
            </w:r>
          </w:p>
          <w:p w14:paraId="20792D2B">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（其中防水材料不少于1批次</w:t>
            </w:r>
            <w:r>
              <w:rPr>
                <w:rFonts w:hint="eastAsia" w:ascii="宋体" w:hAnsi="宋体" w:cs="宋体"/>
                <w:sz w:val="24"/>
                <w:szCs w:val="24"/>
                <w:vertAlign w:val="baseline"/>
                <w:lang w:val="en-US" w:eastAsia="zh-CN"/>
              </w:rPr>
              <w:t>，其他类不少于2批次</w:t>
            </w:r>
            <w:r>
              <w:rPr>
                <w:rFonts w:hint="eastAsia" w:ascii="宋体" w:hAnsi="宋体" w:eastAsia="宋体" w:cs="宋体"/>
                <w:sz w:val="24"/>
                <w:szCs w:val="24"/>
                <w:vertAlign w:val="baseline"/>
                <w:lang w:val="en-US" w:eastAsia="zh-CN"/>
              </w:rPr>
              <w:t>）</w:t>
            </w:r>
          </w:p>
        </w:tc>
        <w:tc>
          <w:tcPr>
            <w:tcW w:w="1193" w:type="dxa"/>
            <w:vAlign w:val="center"/>
          </w:tcPr>
          <w:p w14:paraId="420528BA">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w:t>
            </w:r>
          </w:p>
        </w:tc>
      </w:tr>
      <w:tr w14:paraId="4F533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7" w:type="dxa"/>
            <w:vAlign w:val="center"/>
          </w:tcPr>
          <w:p w14:paraId="32051D4B">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总计</w:t>
            </w:r>
          </w:p>
        </w:tc>
        <w:tc>
          <w:tcPr>
            <w:tcW w:w="694" w:type="dxa"/>
            <w:vAlign w:val="center"/>
          </w:tcPr>
          <w:p w14:paraId="5E8F3BA1">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vertAlign w:val="baseline"/>
              </w:rPr>
            </w:pPr>
          </w:p>
        </w:tc>
        <w:tc>
          <w:tcPr>
            <w:tcW w:w="2224" w:type="dxa"/>
            <w:vAlign w:val="center"/>
          </w:tcPr>
          <w:p w14:paraId="086D6154">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lang w:val="en-US" w:eastAsia="zh-CN"/>
              </w:rPr>
            </w:pPr>
          </w:p>
        </w:tc>
        <w:tc>
          <w:tcPr>
            <w:tcW w:w="3963" w:type="dxa"/>
            <w:vAlign w:val="center"/>
          </w:tcPr>
          <w:p w14:paraId="03F01AAA">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b/>
                <w:bCs/>
                <w:i w:val="0"/>
                <w:iCs w:val="0"/>
                <w:sz w:val="24"/>
                <w:szCs w:val="24"/>
                <w:vertAlign w:val="baseline"/>
                <w:lang w:val="en-US" w:eastAsia="zh-CN"/>
              </w:rPr>
            </w:pPr>
            <w:r>
              <w:rPr>
                <w:rFonts w:hint="eastAsia" w:ascii="宋体" w:hAnsi="宋体" w:eastAsia="宋体" w:cs="宋体"/>
                <w:b/>
                <w:bCs/>
                <w:i w:val="0"/>
                <w:iCs w:val="0"/>
                <w:sz w:val="24"/>
                <w:szCs w:val="24"/>
                <w:vertAlign w:val="baseline"/>
                <w:lang w:val="en-US" w:eastAsia="zh-CN"/>
              </w:rPr>
              <w:t>131个批次</w:t>
            </w:r>
          </w:p>
        </w:tc>
        <w:tc>
          <w:tcPr>
            <w:tcW w:w="1193" w:type="dxa"/>
            <w:vAlign w:val="center"/>
          </w:tcPr>
          <w:p w14:paraId="0E480F5E">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b/>
                <w:bCs/>
                <w:i w:val="0"/>
                <w:iCs w:val="0"/>
                <w:sz w:val="24"/>
                <w:szCs w:val="24"/>
                <w:vertAlign w:val="baseline"/>
                <w:lang w:val="en-US" w:eastAsia="zh-CN"/>
              </w:rPr>
            </w:pPr>
            <w:r>
              <w:rPr>
                <w:rFonts w:hint="eastAsia" w:ascii="宋体" w:hAnsi="宋体" w:eastAsia="宋体" w:cs="宋体"/>
                <w:b/>
                <w:bCs/>
                <w:i w:val="0"/>
                <w:iCs w:val="0"/>
                <w:sz w:val="24"/>
                <w:szCs w:val="24"/>
                <w:vertAlign w:val="baseline"/>
                <w:lang w:val="en-US" w:eastAsia="zh-CN"/>
              </w:rPr>
              <w:t>20</w:t>
            </w:r>
          </w:p>
        </w:tc>
      </w:tr>
    </w:tbl>
    <w:p w14:paraId="7F49D89B">
      <w:pPr>
        <w:keepNext w:val="0"/>
        <w:keepLines w:val="0"/>
        <w:pageBreakBefore w:val="0"/>
        <w:overflowPunct/>
        <w:autoSpaceDE/>
        <w:autoSpaceDN/>
        <w:bidi w:val="0"/>
        <w:adjustRightInd/>
        <w:snapToGrid/>
        <w:spacing w:line="360" w:lineRule="auto"/>
        <w:ind w:left="0" w:leftChars="0"/>
        <w:rPr>
          <w:rFonts w:hint="eastAsia" w:ascii="宋体" w:hAnsi="宋体" w:eastAsia="宋体" w:cs="宋体"/>
          <w:b/>
          <w:bCs/>
          <w:sz w:val="24"/>
          <w:lang w:val="en-US" w:eastAsia="zh-CN"/>
        </w:rPr>
      </w:pPr>
      <w:r>
        <w:rPr>
          <w:rFonts w:hint="eastAsia" w:ascii="宋体" w:hAnsi="宋体" w:cs="宋体"/>
          <w:b/>
          <w:bCs/>
          <w:sz w:val="24"/>
          <w:lang w:val="en-US" w:eastAsia="zh-CN"/>
        </w:rPr>
        <w:t>七、</w:t>
      </w:r>
      <w:r>
        <w:rPr>
          <w:rFonts w:hint="eastAsia" w:ascii="宋体" w:hAnsi="宋体" w:eastAsia="宋体" w:cs="宋体"/>
          <w:b/>
          <w:bCs/>
          <w:sz w:val="24"/>
          <w:lang w:val="en-US" w:eastAsia="zh-CN"/>
        </w:rPr>
        <w:t>抽检</w:t>
      </w:r>
      <w:r>
        <w:rPr>
          <w:rFonts w:hint="eastAsia" w:ascii="宋体" w:hAnsi="宋体" w:cs="宋体"/>
          <w:b/>
          <w:bCs/>
          <w:sz w:val="24"/>
          <w:lang w:val="en-US" w:eastAsia="zh-CN"/>
        </w:rPr>
        <w:t>内容：</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456"/>
        <w:gridCol w:w="714"/>
        <w:gridCol w:w="955"/>
        <w:gridCol w:w="5941"/>
      </w:tblGrid>
      <w:tr w14:paraId="2C527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Align w:val="center"/>
          </w:tcPr>
          <w:p w14:paraId="5B5EC45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包号</w:t>
            </w:r>
          </w:p>
        </w:tc>
        <w:tc>
          <w:tcPr>
            <w:tcW w:w="456" w:type="dxa"/>
            <w:vAlign w:val="center"/>
          </w:tcPr>
          <w:p w14:paraId="6177F9C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816" w:type="dxa"/>
            <w:vAlign w:val="center"/>
          </w:tcPr>
          <w:p w14:paraId="1B3D184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工业产品大类</w:t>
            </w:r>
          </w:p>
        </w:tc>
        <w:tc>
          <w:tcPr>
            <w:tcW w:w="992" w:type="dxa"/>
            <w:vAlign w:val="center"/>
          </w:tcPr>
          <w:p w14:paraId="5550565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具体分类</w:t>
            </w:r>
          </w:p>
        </w:tc>
        <w:tc>
          <w:tcPr>
            <w:tcW w:w="6566" w:type="dxa"/>
            <w:vAlign w:val="center"/>
          </w:tcPr>
          <w:p w14:paraId="4BE9CA7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检验项目</w:t>
            </w:r>
          </w:p>
        </w:tc>
      </w:tr>
      <w:tr w14:paraId="082F7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456" w:type="dxa"/>
            <w:vMerge w:val="restart"/>
            <w:vAlign w:val="center"/>
          </w:tcPr>
          <w:p w14:paraId="278C7A5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w:t>
            </w:r>
          </w:p>
        </w:tc>
        <w:tc>
          <w:tcPr>
            <w:tcW w:w="456" w:type="dxa"/>
            <w:vMerge w:val="restart"/>
            <w:vAlign w:val="center"/>
          </w:tcPr>
          <w:p w14:paraId="5AE4B14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w:t>
            </w:r>
          </w:p>
        </w:tc>
        <w:tc>
          <w:tcPr>
            <w:tcW w:w="816" w:type="dxa"/>
            <w:vMerge w:val="restart"/>
            <w:vAlign w:val="center"/>
          </w:tcPr>
          <w:p w14:paraId="58AC0057">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燃气具及配件类</w:t>
            </w:r>
          </w:p>
        </w:tc>
        <w:tc>
          <w:tcPr>
            <w:tcW w:w="992" w:type="dxa"/>
            <w:vAlign w:val="center"/>
          </w:tcPr>
          <w:p w14:paraId="2DD6808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燃气灶具</w:t>
            </w:r>
          </w:p>
        </w:tc>
        <w:tc>
          <w:tcPr>
            <w:tcW w:w="6566" w:type="dxa"/>
            <w:vAlign w:val="center"/>
          </w:tcPr>
          <w:p w14:paraId="69124F2D">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气密性、热负荷、燃烧工况（离焰、熄火、回火、干烟气中CO浓度）、温升-手必须接触部位、熄火保护装置-闭阀时间、结构的一般要求（燃气导管、燃烧器的熄火保护装置）</w:t>
            </w:r>
          </w:p>
        </w:tc>
      </w:tr>
      <w:tr w14:paraId="76323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9" w:hRule="atLeast"/>
          <w:jc w:val="center"/>
        </w:trPr>
        <w:tc>
          <w:tcPr>
            <w:tcW w:w="456" w:type="dxa"/>
            <w:vMerge w:val="continue"/>
            <w:vAlign w:val="center"/>
          </w:tcPr>
          <w:p w14:paraId="230D9EC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456" w:type="dxa"/>
            <w:vMerge w:val="continue"/>
            <w:vAlign w:val="center"/>
          </w:tcPr>
          <w:p w14:paraId="4B8CF8C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6A57226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572DF7B1">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燃气用具连接用</w:t>
            </w:r>
          </w:p>
          <w:p w14:paraId="7BD097A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软管</w:t>
            </w:r>
          </w:p>
        </w:tc>
        <w:tc>
          <w:tcPr>
            <w:tcW w:w="6566" w:type="dxa"/>
            <w:vAlign w:val="center"/>
          </w:tcPr>
          <w:p w14:paraId="69A8A996">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GB 41317-2024：结构与尺寸、气密性、耐压性、弯曲性、接头耐腐蚀性、耐燃气性</w:t>
            </w:r>
          </w:p>
          <w:p w14:paraId="504D1CB4">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GB 44017-2024：结构与尺寸、包覆管-气密性、包覆管-耐压性、内层胶管（拉伸强度、拉断伸长率）、接头-耐腐蚀性、密封垫片-耐燃气性</w:t>
            </w:r>
          </w:p>
        </w:tc>
      </w:tr>
      <w:tr w14:paraId="0468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Merge w:val="continue"/>
            <w:vAlign w:val="center"/>
          </w:tcPr>
          <w:p w14:paraId="5163837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restart"/>
            <w:vAlign w:val="center"/>
          </w:tcPr>
          <w:p w14:paraId="2421764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w:t>
            </w:r>
          </w:p>
        </w:tc>
        <w:tc>
          <w:tcPr>
            <w:tcW w:w="816" w:type="dxa"/>
            <w:vMerge w:val="restart"/>
            <w:vAlign w:val="center"/>
          </w:tcPr>
          <w:p w14:paraId="59A0EC6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电子电器类</w:t>
            </w:r>
          </w:p>
        </w:tc>
        <w:tc>
          <w:tcPr>
            <w:tcW w:w="992" w:type="dxa"/>
            <w:vAlign w:val="center"/>
          </w:tcPr>
          <w:p w14:paraId="1F71725C">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便携式电脑</w:t>
            </w:r>
          </w:p>
        </w:tc>
        <w:tc>
          <w:tcPr>
            <w:tcW w:w="6566" w:type="dxa"/>
            <w:vAlign w:val="center"/>
          </w:tcPr>
          <w:p w14:paraId="4376B0CB">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抗电强度试验、保护连接系统的电阻、预期的接触电压、接触电流和保护导体电流、接触温度限值、输入试验、典型能源消耗</w:t>
            </w:r>
          </w:p>
        </w:tc>
      </w:tr>
      <w:tr w14:paraId="7090A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Merge w:val="continue"/>
            <w:vAlign w:val="center"/>
          </w:tcPr>
          <w:p w14:paraId="1D6A352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70D8C29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1101079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365F0038">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打印机</w:t>
            </w:r>
          </w:p>
        </w:tc>
        <w:tc>
          <w:tcPr>
            <w:tcW w:w="6566" w:type="dxa"/>
            <w:vAlign w:val="center"/>
          </w:tcPr>
          <w:p w14:paraId="31977485">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抗电强度试验、保护连接系统的电阻、预期的接触电压、接触电流和保护导体电流、接触温度限值、输入试验</w:t>
            </w:r>
          </w:p>
        </w:tc>
      </w:tr>
      <w:tr w14:paraId="25F46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Merge w:val="continue"/>
            <w:vAlign w:val="center"/>
          </w:tcPr>
          <w:p w14:paraId="1C647FF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20DE155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20F2E27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7DB0276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碎纸机</w:t>
            </w:r>
          </w:p>
        </w:tc>
        <w:tc>
          <w:tcPr>
            <w:tcW w:w="6566" w:type="dxa"/>
            <w:vAlign w:val="center"/>
          </w:tcPr>
          <w:p w14:paraId="575E4DCC">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抗电强度试验、保护连接系统的电阻、预期的接触电压、接触电流和保护导体电流、接触温度限值、输入试验</w:t>
            </w:r>
          </w:p>
        </w:tc>
      </w:tr>
      <w:tr w14:paraId="04A24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Merge w:val="continue"/>
            <w:vAlign w:val="center"/>
          </w:tcPr>
          <w:p w14:paraId="5A3E410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632CCC2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0553D8FC">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19AF2B1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微波炉</w:t>
            </w:r>
          </w:p>
        </w:tc>
        <w:tc>
          <w:tcPr>
            <w:tcW w:w="6566" w:type="dxa"/>
            <w:vAlign w:val="center"/>
          </w:tcPr>
          <w:p w14:paraId="3C513853">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对触及带电部件的防护,输入功率和电流,工作温度下的泄漏电流和电气强度,稳定性和机械危险,机械强度,内部布线,接地措施,电气间隙、爬电距离和固体绝缘</w:t>
            </w:r>
          </w:p>
        </w:tc>
      </w:tr>
      <w:tr w14:paraId="3F0B3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Merge w:val="continue"/>
            <w:vAlign w:val="center"/>
          </w:tcPr>
          <w:p w14:paraId="73EFCE0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2E3E1747">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70B0B50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67EF78E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电磁炉</w:t>
            </w:r>
          </w:p>
        </w:tc>
        <w:tc>
          <w:tcPr>
            <w:tcW w:w="6566" w:type="dxa"/>
            <w:vAlign w:val="center"/>
          </w:tcPr>
          <w:p w14:paraId="4AB6CDD4">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对触及带电部件的防护，输入功率和电流，机械强度，结构（不包括第22.46条试验），内部布线，接地措施，电气间隙、爬电距离和固体绝缘，骚扰功率、辐射骚扰</w:t>
            </w:r>
          </w:p>
        </w:tc>
      </w:tr>
      <w:tr w14:paraId="1CA8B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Merge w:val="continue"/>
            <w:vAlign w:val="center"/>
          </w:tcPr>
          <w:p w14:paraId="56B63BF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71C46EE9">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3908725C">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3F816457">
            <w:pPr>
              <w:keepNext w:val="0"/>
              <w:keepLines w:val="0"/>
              <w:pageBreakBefore w:val="0"/>
              <w:widowControl w:val="0"/>
              <w:kinsoku/>
              <w:wordWrap/>
              <w:overflowPunct/>
              <w:topLinePunct w:val="0"/>
              <w:bidi w:val="0"/>
              <w:snapToGrid/>
              <w:spacing w:line="300" w:lineRule="auto"/>
              <w:jc w:val="center"/>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w:t>
            </w:r>
            <w:r>
              <w:rPr>
                <w:rFonts w:hint="eastAsia" w:ascii="宋体" w:hAnsi="宋体" w:cs="宋体"/>
                <w:sz w:val="24"/>
                <w:szCs w:val="24"/>
                <w:vertAlign w:val="baseline"/>
                <w:lang w:val="en-US" w:eastAsia="zh-CN"/>
              </w:rPr>
              <w:t>冰箱</w:t>
            </w:r>
          </w:p>
        </w:tc>
        <w:tc>
          <w:tcPr>
            <w:tcW w:w="6566" w:type="dxa"/>
            <w:vAlign w:val="center"/>
          </w:tcPr>
          <w:p w14:paraId="5B576598">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对触及带电部件的防护、输入功率和电流、工作温度下的泄漏电流和电气强度、稳定性和机械危险、机械强度、内部布线、电源连接和外部软线、接地措施、总容积</w:t>
            </w:r>
          </w:p>
        </w:tc>
      </w:tr>
      <w:tr w14:paraId="1D514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Merge w:val="continue"/>
            <w:vAlign w:val="center"/>
          </w:tcPr>
          <w:p w14:paraId="5365FB5C">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7E70185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7FFF402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6210021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电风扇</w:t>
            </w:r>
          </w:p>
        </w:tc>
        <w:tc>
          <w:tcPr>
            <w:tcW w:w="6566" w:type="dxa"/>
            <w:vAlign w:val="center"/>
          </w:tcPr>
          <w:p w14:paraId="0F3BB855">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对触及带电部件的防护，输入功率和电流，工作温度下的泄漏电流和电气强度，稳定性和机械危险，结构（不包括第22.46条试验）， 机械强度，接地措施，电源连接和外部软线</w:t>
            </w:r>
          </w:p>
        </w:tc>
      </w:tr>
      <w:tr w14:paraId="22885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Merge w:val="continue"/>
            <w:vAlign w:val="center"/>
          </w:tcPr>
          <w:p w14:paraId="7DB5F441">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5FB0AD9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18AC6DE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3018307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电热毯</w:t>
            </w:r>
          </w:p>
        </w:tc>
        <w:tc>
          <w:tcPr>
            <w:tcW w:w="6566" w:type="dxa"/>
            <w:vAlign w:val="center"/>
          </w:tcPr>
          <w:p w14:paraId="76BCD957">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标志和说明，对触及带电部件的防护，输入功率和电流，机械强度（只做21.111.1条试验），结构（不包括第22.46条试验），耐潮湿，泄漏电流和电气强度，电气间隙、爬电距离和固体绝缘</w:t>
            </w:r>
          </w:p>
        </w:tc>
      </w:tr>
      <w:tr w14:paraId="3C8BA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456" w:type="dxa"/>
            <w:vMerge w:val="continue"/>
            <w:vAlign w:val="center"/>
          </w:tcPr>
          <w:p w14:paraId="4B64C24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35F20831">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27CEEDB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078236E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电烤箱</w:t>
            </w:r>
          </w:p>
        </w:tc>
        <w:tc>
          <w:tcPr>
            <w:tcW w:w="6566" w:type="dxa"/>
            <w:vAlign w:val="center"/>
          </w:tcPr>
          <w:p w14:paraId="2D657288">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对触及带电部件的防护，输入功率和电流，工作温度下的泄漏电流和电气强度，稳定性和机械危险，结构（不包括第22.46条试验），内部布线，接地措施，螺钉和连接</w:t>
            </w:r>
          </w:p>
        </w:tc>
      </w:tr>
      <w:tr w14:paraId="59D12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456" w:type="dxa"/>
            <w:vMerge w:val="continue"/>
            <w:vAlign w:val="center"/>
          </w:tcPr>
          <w:p w14:paraId="5BF2D92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w:t>
            </w:r>
          </w:p>
          <w:p w14:paraId="5FD3BDF4">
            <w:pPr>
              <w:pStyle w:val="2"/>
              <w:keepNext w:val="0"/>
              <w:keepLines w:val="0"/>
              <w:pageBreakBefore w:val="0"/>
              <w:widowControl w:val="0"/>
              <w:kinsoku/>
              <w:wordWrap/>
              <w:overflowPunct/>
              <w:topLinePunct w:val="0"/>
              <w:bidi w:val="0"/>
              <w:snapToGrid/>
              <w:spacing w:line="300" w:lineRule="auto"/>
              <w:textAlignment w:val="auto"/>
              <w:rPr>
                <w:rFonts w:hint="eastAsia" w:ascii="宋体" w:hAnsi="宋体" w:eastAsia="宋体" w:cs="宋体"/>
                <w:sz w:val="24"/>
                <w:szCs w:val="24"/>
                <w:lang w:eastAsia="zh-CN"/>
              </w:rPr>
            </w:pPr>
          </w:p>
        </w:tc>
        <w:tc>
          <w:tcPr>
            <w:tcW w:w="456" w:type="dxa"/>
            <w:vMerge w:val="restart"/>
            <w:vAlign w:val="center"/>
          </w:tcPr>
          <w:p w14:paraId="08CFD6D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3</w:t>
            </w:r>
          </w:p>
        </w:tc>
        <w:tc>
          <w:tcPr>
            <w:tcW w:w="816" w:type="dxa"/>
            <w:vMerge w:val="restart"/>
            <w:vAlign w:val="center"/>
          </w:tcPr>
          <w:p w14:paraId="1AE51601">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电动自行车及配件</w:t>
            </w:r>
          </w:p>
        </w:tc>
        <w:tc>
          <w:tcPr>
            <w:tcW w:w="992" w:type="dxa"/>
            <w:vAlign w:val="center"/>
          </w:tcPr>
          <w:p w14:paraId="420209C8">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电动车自行车</w:t>
            </w:r>
          </w:p>
        </w:tc>
        <w:tc>
          <w:tcPr>
            <w:tcW w:w="6566" w:type="dxa"/>
            <w:vAlign w:val="center"/>
          </w:tcPr>
          <w:p w14:paraId="15AE6595">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铭牌、电动机编码、号牌安装位置、产品合格证、车速限值、尺寸限制、脚踏行驶能力、脚蹬间隙、车速提示音、导线布线、使用说明书</w:t>
            </w:r>
          </w:p>
        </w:tc>
      </w:tr>
      <w:tr w14:paraId="11C93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456" w:type="dxa"/>
            <w:vMerge w:val="continue"/>
            <w:vAlign w:val="center"/>
          </w:tcPr>
          <w:p w14:paraId="76C089C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538D2DD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3D552AB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414224E4">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电动自行车电池</w:t>
            </w:r>
          </w:p>
        </w:tc>
        <w:tc>
          <w:tcPr>
            <w:tcW w:w="6566" w:type="dxa"/>
            <w:vAlign w:val="center"/>
          </w:tcPr>
          <w:p w14:paraId="70976186">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外观、实际容量、大电流放电、重量比能量、不同温度下的容量、快速充电能力</w:t>
            </w:r>
          </w:p>
        </w:tc>
      </w:tr>
      <w:tr w14:paraId="22D02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456" w:type="dxa"/>
            <w:vMerge w:val="continue"/>
            <w:vAlign w:val="center"/>
          </w:tcPr>
          <w:p w14:paraId="36FD6B41">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61B4342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7FC9378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746AEE5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电动自行车充电器</w:t>
            </w:r>
          </w:p>
        </w:tc>
        <w:tc>
          <w:tcPr>
            <w:tcW w:w="6566" w:type="dxa"/>
            <w:vAlign w:val="center"/>
          </w:tcPr>
          <w:p w14:paraId="6F6CAB5A">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充电参数、防触电保护、工作温度下的泄漏电流、电气强度、外壳冲击、内部布线、输出接口安全性、熔断器、电源软线及输出线</w:t>
            </w:r>
          </w:p>
        </w:tc>
      </w:tr>
      <w:tr w14:paraId="624F3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456" w:type="dxa"/>
            <w:vMerge w:val="continue"/>
            <w:vAlign w:val="center"/>
          </w:tcPr>
          <w:p w14:paraId="3C3D0824">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67F4711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4B65337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549C42A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电动自行车头盔</w:t>
            </w:r>
          </w:p>
        </w:tc>
        <w:tc>
          <w:tcPr>
            <w:tcW w:w="6566" w:type="dxa"/>
            <w:vAlign w:val="center"/>
          </w:tcPr>
          <w:p w14:paraId="17475BD5">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结构（壳体、佩戴装置）、视野、护目镜、表面摩擦力、固定装置稳定性、佩戴装置强度、吸收碰撞能量（低温）、耐穿透（低温）</w:t>
            </w:r>
          </w:p>
        </w:tc>
      </w:tr>
      <w:tr w14:paraId="24FE6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restart"/>
            <w:vAlign w:val="center"/>
          </w:tcPr>
          <w:p w14:paraId="79FB98E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w:t>
            </w:r>
          </w:p>
        </w:tc>
        <w:tc>
          <w:tcPr>
            <w:tcW w:w="456" w:type="dxa"/>
            <w:vMerge w:val="restart"/>
            <w:vAlign w:val="center"/>
          </w:tcPr>
          <w:p w14:paraId="260A65D1">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4</w:t>
            </w:r>
          </w:p>
        </w:tc>
        <w:tc>
          <w:tcPr>
            <w:tcW w:w="816" w:type="dxa"/>
            <w:vMerge w:val="restart"/>
            <w:vAlign w:val="center"/>
          </w:tcPr>
          <w:p w14:paraId="4AFA60E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食品类相关产品、学生用品等日常消费品、临时性抽检</w:t>
            </w:r>
          </w:p>
        </w:tc>
        <w:tc>
          <w:tcPr>
            <w:tcW w:w="992" w:type="dxa"/>
            <w:vAlign w:val="center"/>
          </w:tcPr>
          <w:p w14:paraId="620C61FC">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rPr>
              <w:t>纸杯</w:t>
            </w:r>
          </w:p>
        </w:tc>
        <w:tc>
          <w:tcPr>
            <w:tcW w:w="6566" w:type="dxa"/>
            <w:vAlign w:val="center"/>
          </w:tcPr>
          <w:p w14:paraId="60E83416">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感官要求、总迁移量、重金属（以Pb计）、铅（Pb）、砷（As）、荧光性物质、甲醛、1,3-二氯-2-丙醇、3-氯-1,2-丙二醇、感官指标、渗漏性能、杯身挺度</w:t>
            </w:r>
          </w:p>
        </w:tc>
      </w:tr>
      <w:tr w14:paraId="46D81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498F4C37">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456" w:type="dxa"/>
            <w:vMerge w:val="continue"/>
            <w:vAlign w:val="center"/>
          </w:tcPr>
          <w:p w14:paraId="5D5B5628">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19EBAE4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3E777AC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塑料一次性餐具</w:t>
            </w:r>
          </w:p>
        </w:tc>
        <w:tc>
          <w:tcPr>
            <w:tcW w:w="6566" w:type="dxa"/>
            <w:vAlign w:val="center"/>
          </w:tcPr>
          <w:p w14:paraId="22493E3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外观、耐干热性、耐低温性、耐湿热性、耐污染性、翘曲(底部)、跌落、标志</w:t>
            </w:r>
          </w:p>
        </w:tc>
      </w:tr>
      <w:tr w14:paraId="137BE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64E23DC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456" w:type="dxa"/>
            <w:vMerge w:val="continue"/>
            <w:vAlign w:val="center"/>
          </w:tcPr>
          <w:p w14:paraId="7444A92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6F3B925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40A199C4">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rPr>
              <w:t>考试用铅笔</w:t>
            </w:r>
          </w:p>
        </w:tc>
        <w:tc>
          <w:tcPr>
            <w:tcW w:w="6566" w:type="dxa"/>
            <w:vAlign w:val="center"/>
          </w:tcPr>
          <w:p w14:paraId="4F28964F">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可迁移元素的最大限量-锑Sb、可迁移元素的最大限量-砷As 、可迁移元素的最大限量-钡Ba、可迁移元素的最大限量-镉Cd、可迁移元素的最大限量-铬Cr、可迁移元素的最大限量-铅Pb、可迁移元素的最大限量-汞Hg、可迁移元素的最大限量-硒Se</w:t>
            </w:r>
          </w:p>
        </w:tc>
      </w:tr>
      <w:tr w14:paraId="40D36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2E5F763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218D74F9">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45B38D2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3C09FA4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电线电缆</w:t>
            </w:r>
          </w:p>
        </w:tc>
        <w:tc>
          <w:tcPr>
            <w:tcW w:w="6566" w:type="dxa"/>
            <w:vAlign w:val="center"/>
          </w:tcPr>
          <w:p w14:paraId="17A793C8">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标志、导体电阻、绝缘厚度、护套厚度、老化前绝缘抗张强度、老化前绝缘断裂伸长率、老化前护套抗张强度、老化前护套断裂伸长率、外径（外形尺寸）、热延伸试验、不延燃试验</w:t>
            </w:r>
          </w:p>
        </w:tc>
      </w:tr>
      <w:tr w14:paraId="28B13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04075B8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2AD02817">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3C41051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133DDD2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移动电源</w:t>
            </w:r>
          </w:p>
        </w:tc>
        <w:tc>
          <w:tcPr>
            <w:tcW w:w="6566" w:type="dxa"/>
            <w:vAlign w:val="center"/>
          </w:tcPr>
          <w:p w14:paraId="200BCC9B">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接触温度限值、模拟的异常工作条件、样品容量测试、高温外部短路</w:t>
            </w:r>
          </w:p>
        </w:tc>
      </w:tr>
      <w:tr w14:paraId="63A1A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193518B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336AB1B7">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3C81C414">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505AE5A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手提式干粉灭火剂</w:t>
            </w:r>
          </w:p>
        </w:tc>
        <w:tc>
          <w:tcPr>
            <w:tcW w:w="6566" w:type="dxa"/>
            <w:vAlign w:val="center"/>
          </w:tcPr>
          <w:p w14:paraId="5D30845A">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充装量,充装误差,水压试验,充装量、充装误差、水筒体爆破口情况）</w:t>
            </w:r>
          </w:p>
        </w:tc>
      </w:tr>
      <w:tr w14:paraId="162AF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1369956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4F079DD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1EA38A7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0ED4499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多功能室内加热器</w:t>
            </w:r>
          </w:p>
        </w:tc>
        <w:tc>
          <w:tcPr>
            <w:tcW w:w="6566" w:type="dxa"/>
            <w:vAlign w:val="center"/>
          </w:tcPr>
          <w:p w14:paraId="09A1148C">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志和说明,对触及带电部件的防护,输入功率和电流,工作温度下的泄漏电流和电气强度,耐潮湿,泄漏电流和电气强度,非正常工作,稳定性和机械危险,机械强度,结构,外部导线用接线端子,接地措施,螺钉和连接,爬电距离和电气间隙</w:t>
            </w:r>
          </w:p>
        </w:tc>
      </w:tr>
      <w:tr w14:paraId="32154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5741DFB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229B84E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71FC6F8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2AF90EB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电热暖手宝</w:t>
            </w:r>
          </w:p>
        </w:tc>
        <w:tc>
          <w:tcPr>
            <w:tcW w:w="6566" w:type="dxa"/>
            <w:vAlign w:val="center"/>
          </w:tcPr>
          <w:p w14:paraId="0D8668A0">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志和说明,对触及带电部件的防护,输入功率和电流,工作温度下的泄漏电流和电气强度,耐潮湿,泄漏电流和电气强度,非正常工作,稳定性和机械危险,结构,外部导线用接线端子,螺钉和连接,爬电距离和电气间隙,耐热和耐燃</w:t>
            </w:r>
          </w:p>
        </w:tc>
      </w:tr>
      <w:tr w14:paraId="06E2A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51470B8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4F37DEC4">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23BA77D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62D7276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服装</w:t>
            </w:r>
          </w:p>
        </w:tc>
        <w:tc>
          <w:tcPr>
            <w:tcW w:w="6566" w:type="dxa"/>
            <w:vAlign w:val="center"/>
          </w:tcPr>
          <w:p w14:paraId="25D91387">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耐皂洗色牢度,耐汗渍色牢度,耐摩擦色牢度,使用说明,纤维含量,甲醛含量,pH值,异味,耐水色牢度</w:t>
            </w:r>
          </w:p>
        </w:tc>
      </w:tr>
      <w:tr w14:paraId="06FFD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2AC9A91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6AA616B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56B77CC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65F9B2D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塑料玩具</w:t>
            </w:r>
          </w:p>
        </w:tc>
        <w:tc>
          <w:tcPr>
            <w:tcW w:w="6566" w:type="dxa"/>
            <w:vAlign w:val="center"/>
          </w:tcPr>
          <w:p w14:paraId="093D2376">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用于包装或玩具中的塑料袋或塑料薄膜、可预见的合理滥用、材料、小零件、边缘、尖端、突出部件、孔、间隙、机械装置的可触及性、玩具标识</w:t>
            </w:r>
          </w:p>
        </w:tc>
      </w:tr>
      <w:tr w14:paraId="61C4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23B33BE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338D191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717105D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50B40F3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电玩具</w:t>
            </w:r>
          </w:p>
        </w:tc>
        <w:tc>
          <w:tcPr>
            <w:tcW w:w="6566" w:type="dxa"/>
            <w:vAlign w:val="center"/>
          </w:tcPr>
          <w:p w14:paraId="359010B3">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标识和说明、输入功率、发热和非正常工作、工作温度下的电气强度、耐潮湿、机械强度、结构、软线和电线保护</w:t>
            </w:r>
          </w:p>
        </w:tc>
      </w:tr>
      <w:tr w14:paraId="066C4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vAlign w:val="center"/>
          </w:tcPr>
          <w:p w14:paraId="7116A0B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vAlign w:val="center"/>
          </w:tcPr>
          <w:p w14:paraId="510B898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vAlign w:val="center"/>
          </w:tcPr>
          <w:p w14:paraId="598ACB2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992" w:type="dxa"/>
            <w:vAlign w:val="center"/>
          </w:tcPr>
          <w:p w14:paraId="68AF7540">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毛巾</w:t>
            </w:r>
          </w:p>
        </w:tc>
        <w:tc>
          <w:tcPr>
            <w:tcW w:w="6566" w:type="dxa"/>
            <w:vAlign w:val="center"/>
          </w:tcPr>
          <w:p w14:paraId="7BEBB8F3">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甲醛含量、耐水色牢度、耐唾液色牢度、耐酸汗渍色牢度、耐碱汗渍色牢度、耐干摩擦色牢度、pH值、异味</w:t>
            </w:r>
          </w:p>
        </w:tc>
      </w:tr>
      <w:tr w14:paraId="19B54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restart"/>
            <w:shd w:val="clear" w:color="auto" w:fill="auto"/>
            <w:vAlign w:val="center"/>
          </w:tcPr>
          <w:p w14:paraId="4E9EFD74">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cs="宋体"/>
                <w:sz w:val="24"/>
                <w:szCs w:val="24"/>
                <w:vertAlign w:val="baseline"/>
                <w:lang w:val="en-US" w:eastAsia="zh-CN"/>
              </w:rPr>
              <w:t>3</w:t>
            </w:r>
          </w:p>
        </w:tc>
        <w:tc>
          <w:tcPr>
            <w:tcW w:w="456" w:type="dxa"/>
            <w:vMerge w:val="restart"/>
            <w:shd w:val="clear" w:color="auto" w:fill="auto"/>
            <w:vAlign w:val="center"/>
          </w:tcPr>
          <w:p w14:paraId="49DC3D7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cs="宋体"/>
                <w:sz w:val="24"/>
                <w:szCs w:val="24"/>
                <w:vertAlign w:val="baseline"/>
                <w:lang w:val="en-US" w:eastAsia="zh-CN"/>
              </w:rPr>
              <w:t>5</w:t>
            </w:r>
          </w:p>
        </w:tc>
        <w:tc>
          <w:tcPr>
            <w:tcW w:w="816" w:type="dxa"/>
            <w:vMerge w:val="restart"/>
            <w:shd w:val="clear" w:color="auto" w:fill="auto"/>
            <w:vAlign w:val="center"/>
          </w:tcPr>
          <w:p w14:paraId="15DCBE1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车用柴油、车用汽油等石化类产品</w:t>
            </w:r>
          </w:p>
        </w:tc>
        <w:tc>
          <w:tcPr>
            <w:tcW w:w="992" w:type="dxa"/>
            <w:shd w:val="clear" w:color="auto" w:fill="auto"/>
            <w:vAlign w:val="center"/>
          </w:tcPr>
          <w:p w14:paraId="35F0950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车用柴油</w:t>
            </w:r>
          </w:p>
        </w:tc>
        <w:tc>
          <w:tcPr>
            <w:tcW w:w="6566" w:type="dxa"/>
            <w:shd w:val="clear" w:color="auto" w:fill="auto"/>
            <w:vAlign w:val="center"/>
          </w:tcPr>
          <w:p w14:paraId="72D32445">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硫含量,酸度(以KOH计),水含量(体积分数),总污染物含量,运动黏度(20℃),凝点,冷滤点,闪点(闭口),十六烷值,十六烷指数,馏程(50%回收温度),馏程(90%回收温度),馏程(95%回收温度),密度(20℃),脂肪酸甲酯含量(体积分数)</w:t>
            </w:r>
          </w:p>
        </w:tc>
      </w:tr>
      <w:tr w14:paraId="4B6FF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tcPr>
          <w:p w14:paraId="5F9B4262">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tcPr>
          <w:p w14:paraId="50F195A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tcPr>
          <w:p w14:paraId="2C4B483E">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0" w:type="auto"/>
            <w:shd w:val="clear" w:color="auto" w:fill="auto"/>
            <w:vAlign w:val="center"/>
          </w:tcPr>
          <w:p w14:paraId="344D0BD8">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车用汽油</w:t>
            </w:r>
          </w:p>
        </w:tc>
        <w:tc>
          <w:tcPr>
            <w:tcW w:w="0" w:type="auto"/>
            <w:shd w:val="clear" w:color="auto" w:fill="auto"/>
            <w:vAlign w:val="center"/>
          </w:tcPr>
          <w:p w14:paraId="5912CF7B">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研究法辛烷值(RON),馏程(10%蒸发温度),馏程(50%蒸发温度),馏程(90%蒸发温度),馏程(终馏点),馏程(残留量)(体积分数),硫含量,水溶性酸或碱,机械杂质及水分,苯含量(体积分数),芳烃含量(体积分数),烯烃含量(体积分数),氧含量(质量分数),甲醇</w:t>
            </w:r>
            <w:r>
              <w:rPr>
                <w:rFonts w:hint="eastAsia" w:ascii="宋体" w:hAnsi="宋体" w:eastAsia="宋体" w:cs="宋体"/>
                <w:sz w:val="24"/>
                <w:szCs w:val="24"/>
                <w:vertAlign w:val="baseline"/>
              </w:rPr>
              <w:t>含量(质量分数),密度(20℃)</w:t>
            </w:r>
          </w:p>
        </w:tc>
      </w:tr>
      <w:tr w14:paraId="70114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456" w:type="dxa"/>
            <w:vMerge w:val="continue"/>
          </w:tcPr>
          <w:p w14:paraId="5B94ECD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restart"/>
            <w:shd w:val="clear" w:color="auto" w:fill="auto"/>
            <w:vAlign w:val="center"/>
          </w:tcPr>
          <w:p w14:paraId="19565D4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cs="宋体"/>
                <w:sz w:val="24"/>
                <w:szCs w:val="24"/>
                <w:vertAlign w:val="baseline"/>
                <w:lang w:val="en-US" w:eastAsia="zh-CN"/>
              </w:rPr>
              <w:t>6</w:t>
            </w:r>
          </w:p>
        </w:tc>
        <w:tc>
          <w:tcPr>
            <w:tcW w:w="816" w:type="dxa"/>
            <w:vMerge w:val="restart"/>
            <w:shd w:val="clear" w:color="auto" w:fill="auto"/>
            <w:vAlign w:val="center"/>
          </w:tcPr>
          <w:p w14:paraId="5A15162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涂料、人造板、胶粘剂等挥发性有机物产品类</w:t>
            </w:r>
          </w:p>
        </w:tc>
        <w:tc>
          <w:tcPr>
            <w:tcW w:w="0" w:type="auto"/>
            <w:shd w:val="clear" w:color="auto" w:fill="auto"/>
            <w:vAlign w:val="center"/>
          </w:tcPr>
          <w:p w14:paraId="7CE83C6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涂料</w:t>
            </w:r>
          </w:p>
        </w:tc>
        <w:tc>
          <w:tcPr>
            <w:tcW w:w="0" w:type="auto"/>
            <w:shd w:val="clear" w:color="auto" w:fill="auto"/>
            <w:vAlign w:val="center"/>
          </w:tcPr>
          <w:p w14:paraId="304F3429">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vertAlign w:val="baseline"/>
                <w:lang w:val="en-US" w:eastAsia="zh-CN"/>
              </w:rPr>
              <w:t>VOC含量,甲醛含量,苯系物总和含量[限苯、甲苯、二甲苯（含乙苯）],总铅(Pb)含量（限色漆和腻子）,可溶性重金属含量（限色漆和腻子）</w:t>
            </w:r>
          </w:p>
        </w:tc>
      </w:tr>
      <w:tr w14:paraId="62A7A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tcPr>
          <w:p w14:paraId="263FDC8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tcPr>
          <w:p w14:paraId="0950E21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tcPr>
          <w:p w14:paraId="01869B5C">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0" w:type="auto"/>
            <w:shd w:val="clear" w:color="auto" w:fill="auto"/>
            <w:vAlign w:val="center"/>
          </w:tcPr>
          <w:p w14:paraId="49197FBF">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胶粘剂</w:t>
            </w:r>
          </w:p>
        </w:tc>
        <w:tc>
          <w:tcPr>
            <w:tcW w:w="0" w:type="auto"/>
            <w:shd w:val="clear" w:color="auto" w:fill="auto"/>
            <w:vAlign w:val="center"/>
          </w:tcPr>
          <w:p w14:paraId="773696CD">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vertAlign w:val="baseline"/>
                <w:lang w:val="en-US" w:eastAsia="zh-CN"/>
              </w:rPr>
              <w:t>苯,甲苯+二甲苯,二氯甲烷,1,2-二氯乙烷,1,1,2-三氯乙烷,三氯乙烯,总挥发性有机物</w:t>
            </w:r>
          </w:p>
        </w:tc>
      </w:tr>
      <w:tr w14:paraId="200E4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tcPr>
          <w:p w14:paraId="6E8FA383">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tcPr>
          <w:p w14:paraId="5EC2F926">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tcPr>
          <w:p w14:paraId="555F2271">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0" w:type="auto"/>
            <w:shd w:val="clear" w:color="auto" w:fill="auto"/>
            <w:vAlign w:val="center"/>
          </w:tcPr>
          <w:p w14:paraId="7615F6CA">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人造板（细木工板）</w:t>
            </w:r>
          </w:p>
        </w:tc>
        <w:tc>
          <w:tcPr>
            <w:tcW w:w="0" w:type="auto"/>
            <w:shd w:val="clear" w:color="auto" w:fill="auto"/>
            <w:vAlign w:val="center"/>
          </w:tcPr>
          <w:p w14:paraId="4FBF0B31">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含水率，横向静曲强度，浸渍剥离性能，表面胶合强度，胶合强度性能</w:t>
            </w:r>
          </w:p>
        </w:tc>
      </w:tr>
      <w:tr w14:paraId="1B3BE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6" w:type="dxa"/>
            <w:vMerge w:val="continue"/>
          </w:tcPr>
          <w:p w14:paraId="754E37AD">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rPr>
            </w:pPr>
          </w:p>
        </w:tc>
        <w:tc>
          <w:tcPr>
            <w:tcW w:w="456" w:type="dxa"/>
            <w:vMerge w:val="continue"/>
          </w:tcPr>
          <w:p w14:paraId="4658F8E5">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816" w:type="dxa"/>
            <w:vMerge w:val="continue"/>
          </w:tcPr>
          <w:p w14:paraId="1905F808">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sz w:val="24"/>
                <w:szCs w:val="24"/>
                <w:vertAlign w:val="baseline"/>
                <w:lang w:val="en-US" w:eastAsia="zh-CN"/>
              </w:rPr>
            </w:pPr>
          </w:p>
        </w:tc>
        <w:tc>
          <w:tcPr>
            <w:tcW w:w="0" w:type="auto"/>
            <w:shd w:val="clear" w:color="auto" w:fill="auto"/>
            <w:vAlign w:val="center"/>
          </w:tcPr>
          <w:p w14:paraId="72266B8B">
            <w:pPr>
              <w:keepNext w:val="0"/>
              <w:keepLines w:val="0"/>
              <w:pageBreakBefore w:val="0"/>
              <w:widowControl w:val="0"/>
              <w:kinsoku/>
              <w:wordWrap/>
              <w:overflowPunct/>
              <w:topLinePunct w:val="0"/>
              <w:bidi w:val="0"/>
              <w:snapToGrid/>
              <w:spacing w:line="300" w:lineRule="auto"/>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防水材料</w:t>
            </w:r>
          </w:p>
        </w:tc>
        <w:tc>
          <w:tcPr>
            <w:tcW w:w="0" w:type="auto"/>
            <w:shd w:val="clear" w:color="auto" w:fill="auto"/>
            <w:vAlign w:val="center"/>
          </w:tcPr>
          <w:p w14:paraId="3770DC61">
            <w:pPr>
              <w:keepNext w:val="0"/>
              <w:keepLines w:val="0"/>
              <w:pageBreakBefore w:val="0"/>
              <w:widowControl w:val="0"/>
              <w:kinsoku/>
              <w:wordWrap/>
              <w:overflowPunct/>
              <w:topLinePunct w:val="0"/>
              <w:bidi w:val="0"/>
              <w:snapToGrid/>
              <w:spacing w:line="300" w:lineRule="auto"/>
              <w:jc w:val="both"/>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挥发性有机化合物（VOC），游离甲醛，苯、甲苯、乙苯和二甲苯总和，可溶性重金属（铅、镉、铬、汞）</w:t>
            </w:r>
          </w:p>
        </w:tc>
      </w:tr>
    </w:tbl>
    <w:p w14:paraId="26A2DA84">
      <w:pPr>
        <w:pStyle w:val="2"/>
        <w:rPr>
          <w:rFonts w:hint="default"/>
          <w:lang w:val="en-US" w:eastAsia="zh-CN"/>
        </w:rPr>
      </w:pPr>
    </w:p>
    <w:p w14:paraId="7D5D3C9A">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7C0FCB"/>
    <w:rsid w:val="3C7C0F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Normal Indent"/>
    <w:basedOn w:val="1"/>
    <w:next w:val="3"/>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3">
    <w:name w:val="Body Text First Indent 2"/>
    <w:basedOn w:val="4"/>
    <w:next w:val="2"/>
    <w:qFormat/>
    <w:uiPriority w:val="99"/>
    <w:pPr>
      <w:spacing w:after="120"/>
      <w:ind w:left="420" w:leftChars="200" w:firstLine="420" w:firstLineChars="200"/>
    </w:pPr>
    <w:rPr>
      <w:rFonts w:ascii="Times New Roman" w:hAnsi="Times New Roman"/>
    </w:rPr>
  </w:style>
  <w:style w:type="paragraph" w:styleId="4">
    <w:name w:val="Body Text Indent"/>
    <w:basedOn w:val="1"/>
    <w:next w:val="1"/>
    <w:qFormat/>
    <w:uiPriority w:val="0"/>
    <w:pPr>
      <w:ind w:firstLine="480"/>
    </w:pPr>
    <w:rPr>
      <w:rFonts w:ascii="宋体" w:hAnsi="宋体"/>
    </w:rPr>
  </w:style>
  <w:style w:type="table" w:styleId="6">
    <w:name w:val="Table Grid"/>
    <w:basedOn w:val="5"/>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22"/>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2026-06-08T03:45:00Z</dcterms:created>
  <dc:creator>默.</dc:creator>
  <cp:lastModifiedBy>默.</cp:lastModifiedBy>
  <dcterms:modified xsi:type="dcterms:W3CDTF">2026-06-08T03:45:56Z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16F64E0299CD4BE39904B72E7E240E7E_11</vt:lpwstr>
  </property>
  <property fmtid="{D5CDD505-2E9C-101B-9397-08002B2CF9AE}" pid="4" name="KSOTemplateDocerSaveRecord">
    <vt:lpwstr>eyJoZGlkIjoiMDFhNGRjM2IyY2I1ZTdjZDQ1YjM3MWYxMGIwMWY2NjIiLCJ1c2VySWQiOiI0MjU4NjcyNzgifQ==</vt:lpwstr>
  </property>
</Properties>
</file>