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版本号：政采-渭南市-2026-01667、SCZB2026-CS-1437-420260717001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陕西省第十八届运动会2026年迎省运群众赛事活动项目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政采-渭南市-2026-01667、SCZB2026-CS-1437-4</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陕西省第十八届运动会2026年迎省运群众赛事活动项目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政采-渭南市-2026-01667、SCZB2026-CS-1437-4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陕西省第十八届运动会2026年迎省运群众赛事活动项目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为深入贯彻"全民健身 运动三秦"品牌活动，大力弘扬中华体育精神与奥林匹克精神，充分发挥文艺培根铸魂、赋能发展的重要作用，以文艺之美点亮体育盛会、以丹青之力助力城市发展，深度融合体育文化与本土文艺资源，激活群众体育活力、丰富市民文体生活、提升城市文化品位，全面营造全民参与、全民支持、全民乐享省运的浓厚氛围。在省十八运会期间同步举办“丹青翰墨歌盛世·舞韵飞扬迎省运”主题活动，分为“欢迎到额渭南来·全民健身系列活动”和“丹青绘风采·体育美术作品展”两项活动，互为补充、一体推进，以“静态展览+动态展演”的双线融合模式，全面展示陕西省体育事业蓬勃发展成果及我市美术工作者的艺术素养与时代担当，助力打造全民喜迎省运、共筑健康渭南的城市氛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采购包1（陕西省第十八届运动会2026年迎省运群众赛事活动项目）：属于专门面向中小企业采购。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15319169125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开户银行：中国银行西安雁塔支行</w:t>
            </w:r>
          </w:p>
          <w:p>
            <w:pPr>
              <w:pStyle w:val="null3"/>
            </w:pPr>
            <w:r>
              <w:rPr>
                <w:rFonts w:ascii="仿宋_GB2312" w:hAnsi="仿宋_GB2312" w:cs="仿宋_GB2312" w:eastAsia="仿宋_GB2312"/>
              </w:rPr>
              <w:t>银行账号：103660080621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合同包收取，不足8000元按8000元收取。中标单位的招标代理服务费缴纳信息 银行户名：陕西省采购招标有限责任公司 开户银行：中国光大银行西安友谊路支行 账 号：78560188000095264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为深入贯彻"全民健身 运动三秦"品牌活动，大力弘扬中华体育精神与奥林匹克精神，充分发挥文艺培根铸魂、赋能发展的重要作用，以文艺之美点亮体育盛会、以丹青之力助力城市发展，深度融合体育文化与本土文艺资源，激活群众体育活力、丰富市民文体生活、提升城市文化品位，全面营造全民参与、全民支持、全民乐享省运的浓厚氛围。在省十八运会期间同步举办“丹青翰墨歌盛世·舞韵飞扬迎省运”主题活动，分为“欢迎到额渭南来·全民健身系列活动”和“丹青绘风采·体育美术作品展”两项活动，互为补充、一体推进，以“静态展览+动态展演”的双线融合模式，全面展示陕西省体育事业蓬勃发展成果及我市美术工作者的艺术素养与时代担当，助力打造全民喜迎省运、共筑健康渭南的城市氛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陕西省十八届运动会2026年迎省运群众赛事活动项目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标的名称：陕西省十八届运动会2026年迎省运群众赛事活动项目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一、基本要求</w:t>
            </w:r>
          </w:p>
          <w:p>
            <w:pPr>
              <w:pStyle w:val="null3"/>
              <w:ind w:firstLine="400"/>
              <w:jc w:val="both"/>
            </w:pPr>
            <w:r>
              <w:rPr>
                <w:rFonts w:ascii="仿宋_GB2312" w:hAnsi="仿宋_GB2312" w:cs="仿宋_GB2312" w:eastAsia="仿宋_GB2312"/>
              </w:rPr>
              <w:t>1、功能要求：</w:t>
            </w:r>
          </w:p>
          <w:p>
            <w:pPr>
              <w:pStyle w:val="null3"/>
              <w:ind w:firstLine="400"/>
              <w:jc w:val="both"/>
            </w:pPr>
            <w:r>
              <w:rPr>
                <w:rFonts w:ascii="仿宋_GB2312" w:hAnsi="仿宋_GB2312" w:cs="仿宋_GB2312" w:eastAsia="仿宋_GB2312"/>
              </w:rPr>
              <w:t>为深入贯彻"全民健身 运动三秦"品牌活动，大力弘扬中华体育精神与奥林匹克精神，充分发挥文艺培根铸魂、赋能发展的重要作用，以文艺之美点亮体育盛会、以丹青之力助力城市发展，深度融合体育文化与本土文艺资源，激活群众体育活力、丰富市民文体生活、提升城市文化品位，全面营造全民参与、全民支持、全民乐享省运的浓厚氛围。</w:t>
            </w:r>
          </w:p>
          <w:p>
            <w:pPr>
              <w:pStyle w:val="null3"/>
              <w:ind w:firstLine="400"/>
              <w:jc w:val="both"/>
            </w:pPr>
            <w:r>
              <w:rPr>
                <w:rFonts w:ascii="仿宋_GB2312" w:hAnsi="仿宋_GB2312" w:cs="仿宋_GB2312" w:eastAsia="仿宋_GB2312"/>
              </w:rPr>
              <w:t>在省十八运会期间同步举办“丹青翰墨歌盛世·舞韵飞扬迎省运”主题活动，分为“欢迎到额渭南来·全民健身系列活动”和“丹青绘风采·体育美术作品展”两项活动，互为补充、一体推进，以“静态展览+动态展演”的双线融合模式，全面展示陕西省体育事业蓬勃发展成果及我市美术工作者的艺术素养与时代担当，助力打造全民喜迎省运、共筑健康渭南的城市氛围。</w:t>
            </w:r>
          </w:p>
          <w:p>
            <w:pPr>
              <w:pStyle w:val="null3"/>
              <w:ind w:firstLine="400"/>
              <w:jc w:val="both"/>
            </w:pPr>
            <w:r>
              <w:rPr>
                <w:rFonts w:ascii="仿宋_GB2312" w:hAnsi="仿宋_GB2312" w:cs="仿宋_GB2312" w:eastAsia="仿宋_GB2312"/>
              </w:rPr>
              <w:t>2、采购项目需要落实的政府采购政策：</w:t>
            </w:r>
          </w:p>
          <w:p>
            <w:pPr>
              <w:pStyle w:val="null3"/>
              <w:ind w:firstLine="400"/>
              <w:jc w:val="both"/>
            </w:pPr>
            <w:r>
              <w:rPr>
                <w:rFonts w:ascii="仿宋_GB2312" w:hAnsi="仿宋_GB2312" w:cs="仿宋_GB2312" w:eastAsia="仿宋_GB2312"/>
              </w:rPr>
              <w:t>2.1《关于进一步加大政府采购支持中小企业力度的通知》（财库〔2022〕19号）、《政府采购促进中小企业发展管理办法》（财库〔2020〕46号）、《财政部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w:t>
            </w:r>
          </w:p>
          <w:p>
            <w:pPr>
              <w:pStyle w:val="null3"/>
              <w:ind w:firstLine="400"/>
              <w:jc w:val="both"/>
            </w:pPr>
            <w:r>
              <w:rPr>
                <w:rFonts w:ascii="仿宋_GB2312" w:hAnsi="仿宋_GB2312" w:cs="仿宋_GB2312" w:eastAsia="仿宋_GB2312"/>
              </w:rPr>
              <w:t>2.2《国务院办公厅关于建立政府强制采购节能产品制度的通知》（国办发〔2007〕51号）、《财政部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w:t>
            </w:r>
          </w:p>
          <w:p>
            <w:pPr>
              <w:pStyle w:val="null3"/>
              <w:ind w:firstLine="400"/>
              <w:jc w:val="both"/>
            </w:pPr>
            <w:r>
              <w:rPr>
                <w:rFonts w:ascii="仿宋_GB2312" w:hAnsi="仿宋_GB2312" w:cs="仿宋_GB2312" w:eastAsia="仿宋_GB2312"/>
              </w:rPr>
              <w:t>2.3《关于运用政府采购政策支持乡村产业振兴的通知》（财库〔2021〕19 号）、《关于印发&lt;关于深入开展政府采购脱贫地区农副产品工作推进乡村产业振兴的实施意见&gt;的通知》（财库〔2021〕20 号）。</w:t>
            </w:r>
          </w:p>
          <w:p>
            <w:pPr>
              <w:pStyle w:val="null3"/>
              <w:ind w:firstLine="400"/>
              <w:jc w:val="both"/>
            </w:pPr>
            <w:r>
              <w:rPr>
                <w:rFonts w:ascii="仿宋_GB2312" w:hAnsi="仿宋_GB2312" w:cs="仿宋_GB2312" w:eastAsia="仿宋_GB2312"/>
              </w:rPr>
              <w:t>2.4《国家互联网信息办公室 工业和信息化部 公安部 财政部 国家认证认可监督管理委员会关于调整网络安全专用产品安全管理有关事项的公告》（2023年第1号）。</w:t>
            </w:r>
          </w:p>
          <w:p>
            <w:pPr>
              <w:pStyle w:val="null3"/>
              <w:ind w:firstLine="400"/>
              <w:jc w:val="both"/>
            </w:pPr>
            <w:r>
              <w:rPr>
                <w:rFonts w:ascii="仿宋_GB2312" w:hAnsi="仿宋_GB2312" w:cs="仿宋_GB2312" w:eastAsia="仿宋_GB2312"/>
              </w:rPr>
              <w:t>2.5《陕西省财政厅关于加快推进我省中小企业政府采购信用融资工作的通知》（陕财办采〔2020〕15 号）、《陕西省财政厅关于印发&lt;陕西省中小企业政府采购信用融资办法&gt;的通知》（陕财办采〔2018〕23 号）。</w:t>
            </w:r>
          </w:p>
          <w:p>
            <w:pPr>
              <w:pStyle w:val="null3"/>
              <w:ind w:firstLine="400"/>
              <w:jc w:val="both"/>
            </w:pPr>
            <w:r>
              <w:rPr>
                <w:rFonts w:ascii="仿宋_GB2312" w:hAnsi="仿宋_GB2312" w:cs="仿宋_GB2312" w:eastAsia="仿宋_GB2312"/>
              </w:rPr>
              <w:t>2.6《关于扩大政府采购支持绿色建材促进建筑品质提升政策实施范围的通知》（财库〔2022〕35号）、《财政部办公厅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w:t>
            </w:r>
          </w:p>
          <w:p>
            <w:pPr>
              <w:pStyle w:val="null3"/>
              <w:ind w:firstLine="400"/>
              <w:jc w:val="both"/>
            </w:pPr>
            <w:r>
              <w:rPr>
                <w:rFonts w:ascii="仿宋_GB2312" w:hAnsi="仿宋_GB2312" w:cs="仿宋_GB2312" w:eastAsia="仿宋_GB2312"/>
              </w:rPr>
              <w:t>2.7《国务院办公厅关于在政府采购中实施本国产品标准及相关政策的通知》（国办发〔2025〕34号）。</w:t>
            </w:r>
          </w:p>
          <w:p>
            <w:pPr>
              <w:pStyle w:val="null3"/>
              <w:ind w:firstLine="400"/>
              <w:jc w:val="both"/>
            </w:pPr>
            <w:r>
              <w:rPr>
                <w:rFonts w:ascii="仿宋_GB2312" w:hAnsi="仿宋_GB2312" w:cs="仿宋_GB2312" w:eastAsia="仿宋_GB2312"/>
              </w:rPr>
              <w:t>2.8《陕西省财政厅关于规范政府采购项目评审主观分赋分有关事项的通知》（陕财办采〔2026〕10号）</w:t>
            </w:r>
          </w:p>
          <w:p>
            <w:pPr>
              <w:pStyle w:val="null3"/>
              <w:ind w:firstLine="400"/>
              <w:jc w:val="both"/>
            </w:pPr>
            <w:r>
              <w:rPr>
                <w:rFonts w:ascii="仿宋_GB2312" w:hAnsi="仿宋_GB2312" w:cs="仿宋_GB2312" w:eastAsia="仿宋_GB2312"/>
              </w:rPr>
              <w:t>若享受以上政策优惠的企业，提供相应声明函或品目清单范围内产品的有效认证证书或相关证明。</w:t>
            </w:r>
          </w:p>
          <w:p>
            <w:pPr>
              <w:pStyle w:val="null3"/>
              <w:ind w:firstLine="400"/>
              <w:jc w:val="both"/>
            </w:pPr>
            <w:r>
              <w:rPr>
                <w:rFonts w:ascii="仿宋_GB2312" w:hAnsi="仿宋_GB2312" w:cs="仿宋_GB2312" w:eastAsia="仿宋_GB2312"/>
              </w:rPr>
              <w:t>3、服务期限：</w:t>
            </w:r>
          </w:p>
          <w:p>
            <w:pPr>
              <w:pStyle w:val="null3"/>
              <w:ind w:firstLine="400"/>
              <w:jc w:val="both"/>
            </w:pPr>
            <w:r>
              <w:rPr>
                <w:rFonts w:ascii="仿宋_GB2312" w:hAnsi="仿宋_GB2312" w:cs="仿宋_GB2312" w:eastAsia="仿宋_GB2312"/>
              </w:rPr>
              <w:t>合同签订后至2026年8月20日止。</w:t>
            </w:r>
          </w:p>
          <w:p>
            <w:pPr>
              <w:pStyle w:val="null3"/>
              <w:ind w:firstLine="400"/>
              <w:jc w:val="both"/>
            </w:pPr>
            <w:r>
              <w:rPr>
                <w:rFonts w:ascii="仿宋_GB2312" w:hAnsi="仿宋_GB2312" w:cs="仿宋_GB2312" w:eastAsia="仿宋_GB2312"/>
              </w:rPr>
              <w:t>4、服务地点：</w:t>
            </w:r>
          </w:p>
          <w:p>
            <w:pPr>
              <w:pStyle w:val="null3"/>
              <w:ind w:firstLine="400"/>
              <w:jc w:val="both"/>
            </w:pPr>
            <w:r>
              <w:rPr>
                <w:rFonts w:ascii="仿宋_GB2312" w:hAnsi="仿宋_GB2312" w:cs="仿宋_GB2312" w:eastAsia="仿宋_GB2312"/>
              </w:rPr>
              <w:t>渭南市。</w:t>
            </w:r>
          </w:p>
          <w:p>
            <w:pPr>
              <w:pStyle w:val="null3"/>
              <w:ind w:firstLine="400"/>
              <w:jc w:val="both"/>
            </w:pPr>
            <w:r>
              <w:rPr>
                <w:rFonts w:ascii="仿宋_GB2312" w:hAnsi="仿宋_GB2312" w:cs="仿宋_GB2312" w:eastAsia="仿宋_GB2312"/>
              </w:rPr>
              <w:t>二、需执行的国家相关标准、行业标准、地方标准或者其他标准、规范标准</w:t>
            </w:r>
          </w:p>
          <w:p>
            <w:pPr>
              <w:pStyle w:val="null3"/>
              <w:ind w:firstLine="400"/>
              <w:jc w:val="both"/>
            </w:pPr>
            <w:r>
              <w:rPr>
                <w:rFonts w:ascii="仿宋_GB2312" w:hAnsi="仿宋_GB2312" w:cs="仿宋_GB2312" w:eastAsia="仿宋_GB2312"/>
              </w:rPr>
              <w:t>1.需满足国家相关标准及法律法规的其他要求。</w:t>
            </w:r>
          </w:p>
          <w:p>
            <w:pPr>
              <w:pStyle w:val="null3"/>
              <w:ind w:firstLine="400"/>
              <w:jc w:val="both"/>
            </w:pPr>
            <w:r>
              <w:rPr>
                <w:rFonts w:ascii="仿宋_GB2312" w:hAnsi="仿宋_GB2312" w:cs="仿宋_GB2312" w:eastAsia="仿宋_GB2312"/>
              </w:rPr>
              <w:t>2.本项目专门面向中小企业，供应商应为中小微企业或监狱企业或残疾人福利性单位。</w:t>
            </w:r>
          </w:p>
          <w:p>
            <w:pPr>
              <w:pStyle w:val="null3"/>
              <w:ind w:firstLine="400"/>
              <w:jc w:val="both"/>
            </w:pPr>
            <w:r>
              <w:rPr>
                <w:rFonts w:ascii="仿宋_GB2312" w:hAnsi="仿宋_GB2312" w:cs="仿宋_GB2312" w:eastAsia="仿宋_GB2312"/>
              </w:rPr>
              <w:t>三、服务指标的具体要求</w:t>
            </w:r>
          </w:p>
          <w:p>
            <w:pPr>
              <w:pStyle w:val="null3"/>
              <w:ind w:firstLine="400"/>
              <w:jc w:val="both"/>
            </w:pPr>
            <w:r>
              <w:rPr>
                <w:rFonts w:ascii="仿宋_GB2312" w:hAnsi="仿宋_GB2312" w:cs="仿宋_GB2312" w:eastAsia="仿宋_GB2312"/>
              </w:rPr>
              <w:t>（1）主题名称</w:t>
            </w:r>
          </w:p>
          <w:p>
            <w:pPr>
              <w:pStyle w:val="null3"/>
              <w:ind w:firstLine="400"/>
              <w:jc w:val="both"/>
            </w:pPr>
            <w:r>
              <w:rPr>
                <w:rFonts w:ascii="仿宋_GB2312" w:hAnsi="仿宋_GB2312" w:cs="仿宋_GB2312" w:eastAsia="仿宋_GB2312"/>
              </w:rPr>
              <w:t>丹青翰墨歌盛世·舞韵飞扬迎省运</w:t>
            </w:r>
          </w:p>
          <w:p>
            <w:pPr>
              <w:pStyle w:val="null3"/>
              <w:ind w:firstLine="400"/>
              <w:jc w:val="both"/>
            </w:pPr>
            <w:r>
              <w:rPr>
                <w:rFonts w:ascii="仿宋_GB2312" w:hAnsi="仿宋_GB2312" w:cs="仿宋_GB2312" w:eastAsia="仿宋_GB2312"/>
              </w:rPr>
              <w:t>以“静态美术展览+动态群众健身”双线并行的方式，将体育美术创作与群众健身展演有机结合，静态展示体育之美、动态展现群众之活力，形成“可观、可感、可参与”的系列主题活动。</w:t>
            </w:r>
          </w:p>
          <w:p>
            <w:pPr>
              <w:pStyle w:val="null3"/>
              <w:ind w:firstLine="400"/>
              <w:jc w:val="both"/>
            </w:pPr>
            <w:r>
              <w:rPr>
                <w:rFonts w:ascii="仿宋_GB2312" w:hAnsi="仿宋_GB2312" w:cs="仿宋_GB2312" w:eastAsia="仿宋_GB2312"/>
              </w:rPr>
              <w:t>（2）组织机构</w:t>
            </w:r>
          </w:p>
          <w:p>
            <w:pPr>
              <w:pStyle w:val="null3"/>
              <w:ind w:firstLine="400"/>
              <w:jc w:val="both"/>
            </w:pPr>
            <w:r>
              <w:rPr>
                <w:rFonts w:ascii="仿宋_GB2312" w:hAnsi="仿宋_GB2312" w:cs="仿宋_GB2312" w:eastAsia="仿宋_GB2312"/>
              </w:rPr>
              <w:t>主办：渭南市体育局</w:t>
            </w:r>
          </w:p>
          <w:p>
            <w:pPr>
              <w:pStyle w:val="null3"/>
              <w:ind w:firstLine="400"/>
              <w:jc w:val="both"/>
            </w:pPr>
            <w:r>
              <w:rPr>
                <w:rFonts w:ascii="仿宋_GB2312" w:hAnsi="仿宋_GB2312" w:cs="仿宋_GB2312" w:eastAsia="仿宋_GB2312"/>
              </w:rPr>
              <w:t>承办：渭南市文学艺术界联合会</w:t>
            </w:r>
          </w:p>
          <w:p>
            <w:pPr>
              <w:pStyle w:val="null3"/>
              <w:ind w:firstLine="400"/>
              <w:jc w:val="both"/>
            </w:pPr>
            <w:r>
              <w:rPr>
                <w:rFonts w:ascii="仿宋_GB2312" w:hAnsi="仿宋_GB2312" w:cs="仿宋_GB2312" w:eastAsia="仿宋_GB2312"/>
              </w:rPr>
              <w:t>渭南市美术家协会</w:t>
            </w:r>
          </w:p>
          <w:p>
            <w:pPr>
              <w:pStyle w:val="null3"/>
              <w:ind w:firstLine="400"/>
              <w:jc w:val="both"/>
            </w:pPr>
            <w:r>
              <w:rPr>
                <w:rFonts w:ascii="仿宋_GB2312" w:hAnsi="仿宋_GB2312" w:cs="仿宋_GB2312" w:eastAsia="仿宋_GB2312"/>
              </w:rPr>
              <w:t>渭南日报文化传媒有限公司</w:t>
            </w:r>
          </w:p>
          <w:p>
            <w:pPr>
              <w:pStyle w:val="null3"/>
              <w:ind w:firstLine="400"/>
              <w:jc w:val="both"/>
            </w:pPr>
            <w:r>
              <w:rPr>
                <w:rFonts w:ascii="仿宋_GB2312" w:hAnsi="仿宋_GB2312" w:cs="仿宋_GB2312" w:eastAsia="仿宋_GB2312"/>
              </w:rPr>
              <w:t>（3）时间地点</w:t>
            </w:r>
          </w:p>
          <w:p>
            <w:pPr>
              <w:pStyle w:val="null3"/>
              <w:ind w:firstLine="400"/>
              <w:jc w:val="both"/>
            </w:pPr>
            <w:r>
              <w:rPr>
                <w:rFonts w:ascii="仿宋_GB2312" w:hAnsi="仿宋_GB2312" w:cs="仿宋_GB2312" w:eastAsia="仿宋_GB2312"/>
              </w:rPr>
              <w:t>（一）“欢迎到额渭南来·全民健身系列活动”</w:t>
            </w:r>
          </w:p>
          <w:p>
            <w:pPr>
              <w:pStyle w:val="null3"/>
              <w:ind w:firstLine="400"/>
              <w:jc w:val="both"/>
            </w:pPr>
            <w:r>
              <w:rPr>
                <w:rFonts w:ascii="仿宋_GB2312" w:hAnsi="仿宋_GB2312" w:cs="仿宋_GB2312" w:eastAsia="仿宋_GB2312"/>
              </w:rPr>
              <w:t>活动时间：每日常态化展演，周末集中专场展示，避开暴雨、高温极端天气。展演100场。</w:t>
            </w:r>
          </w:p>
          <w:p>
            <w:pPr>
              <w:pStyle w:val="null3"/>
              <w:ind w:firstLine="400"/>
              <w:jc w:val="both"/>
            </w:pPr>
            <w:r>
              <w:rPr>
                <w:rFonts w:ascii="仿宋_GB2312" w:hAnsi="仿宋_GB2312" w:cs="仿宋_GB2312" w:eastAsia="仿宋_GB2312"/>
              </w:rPr>
              <w:t>活动地点：渭南老街（沋河公园）、南湖公园、人民公园、朝阳公园（可根据现场人流、场地条件动态微调）。</w:t>
            </w:r>
          </w:p>
          <w:p>
            <w:pPr>
              <w:pStyle w:val="null3"/>
              <w:ind w:firstLine="400"/>
              <w:jc w:val="both"/>
            </w:pPr>
            <w:r>
              <w:rPr>
                <w:rFonts w:ascii="仿宋_GB2312" w:hAnsi="仿宋_GB2312" w:cs="仿宋_GB2312" w:eastAsia="仿宋_GB2312"/>
              </w:rPr>
              <w:t>（二）“丹青绘风采·体育美术作品展”</w:t>
            </w:r>
          </w:p>
          <w:p>
            <w:pPr>
              <w:pStyle w:val="null3"/>
              <w:ind w:firstLine="400"/>
              <w:jc w:val="both"/>
            </w:pPr>
            <w:r>
              <w:rPr>
                <w:rFonts w:ascii="仿宋_GB2312" w:hAnsi="仿宋_GB2312" w:cs="仿宋_GB2312" w:eastAsia="仿宋_GB2312"/>
              </w:rPr>
              <w:t>活动时间：合同签订后至2026年8月20日，展览30场。</w:t>
            </w:r>
          </w:p>
          <w:p>
            <w:pPr>
              <w:pStyle w:val="null3"/>
              <w:ind w:firstLine="400"/>
              <w:jc w:val="both"/>
            </w:pPr>
            <w:r>
              <w:rPr>
                <w:rFonts w:ascii="仿宋_GB2312" w:hAnsi="仿宋_GB2312" w:cs="仿宋_GB2312" w:eastAsia="仿宋_GB2312"/>
              </w:rPr>
              <w:t>活动地点：渭南老街（沋河公园）、朝阳公园</w:t>
            </w:r>
          </w:p>
          <w:p>
            <w:pPr>
              <w:pStyle w:val="null3"/>
              <w:ind w:firstLine="400"/>
              <w:jc w:val="both"/>
            </w:pPr>
            <w:r>
              <w:rPr>
                <w:rFonts w:ascii="仿宋_GB2312" w:hAnsi="仿宋_GB2312" w:cs="仿宋_GB2312" w:eastAsia="仿宋_GB2312"/>
              </w:rPr>
              <w:t>（三）双线联动安排</w:t>
            </w:r>
          </w:p>
          <w:p>
            <w:pPr>
              <w:pStyle w:val="null3"/>
              <w:ind w:firstLine="400"/>
              <w:jc w:val="both"/>
            </w:pPr>
            <w:r>
              <w:rPr>
                <w:rFonts w:ascii="仿宋_GB2312" w:hAnsi="仿宋_GB2312" w:cs="仿宋_GB2312" w:eastAsia="仿宋_GB2312"/>
              </w:rPr>
              <w:t>美术作品展与健身活动在时间上相互衔接、在空间上共享场地资源。8月上旬美术展开幕期间，各公园健身展演同步升温，形成“展览+展演”联动效应；8月中旬集中专场展演阶段，可将美术展优秀作品在专场现场同步展示，实现静态艺术与动态健身的有机融合。</w:t>
            </w:r>
          </w:p>
          <w:p>
            <w:pPr>
              <w:pStyle w:val="null3"/>
              <w:ind w:firstLine="400"/>
              <w:jc w:val="both"/>
            </w:pPr>
            <w:r>
              <w:rPr>
                <w:rFonts w:ascii="仿宋_GB2312" w:hAnsi="仿宋_GB2312" w:cs="仿宋_GB2312" w:eastAsia="仿宋_GB2312"/>
              </w:rPr>
              <w:t>（4）活动内容</w:t>
            </w:r>
          </w:p>
          <w:p>
            <w:pPr>
              <w:pStyle w:val="null3"/>
              <w:ind w:firstLine="400"/>
              <w:jc w:val="both"/>
            </w:pPr>
            <w:r>
              <w:rPr>
                <w:rFonts w:ascii="仿宋_GB2312" w:hAnsi="仿宋_GB2312" w:cs="仿宋_GB2312" w:eastAsia="仿宋_GB2312"/>
              </w:rPr>
              <w:t>（一）公园全民健身活动</w:t>
            </w:r>
          </w:p>
          <w:p>
            <w:pPr>
              <w:pStyle w:val="null3"/>
              <w:ind w:firstLine="400"/>
              <w:jc w:val="both"/>
            </w:pPr>
            <w:r>
              <w:rPr>
                <w:rFonts w:ascii="仿宋_GB2312" w:hAnsi="仿宋_GB2312" w:cs="仿宋_GB2312" w:eastAsia="仿宋_GB2312"/>
              </w:rPr>
              <w:t>本次活动采用日常常态化展演+集中专场展演相结合的模式，覆盖渭南城区核心公园，形成多点联动、全域升温的迎省运健身氛围。</w:t>
            </w:r>
          </w:p>
          <w:p>
            <w:pPr>
              <w:pStyle w:val="null3"/>
              <w:ind w:firstLine="400"/>
              <w:jc w:val="both"/>
            </w:pPr>
            <w:r>
              <w:rPr>
                <w:rFonts w:ascii="仿宋_GB2312" w:hAnsi="仿宋_GB2312" w:cs="仿宋_GB2312" w:eastAsia="仿宋_GB2312"/>
              </w:rPr>
              <w:t>1.全民健身展演</w:t>
            </w:r>
          </w:p>
          <w:p>
            <w:pPr>
              <w:pStyle w:val="null3"/>
              <w:ind w:firstLine="400"/>
              <w:jc w:val="both"/>
            </w:pPr>
            <w:r>
              <w:rPr>
                <w:rFonts w:ascii="仿宋_GB2312" w:hAnsi="仿宋_GB2312" w:cs="仿宋_GB2312" w:eastAsia="仿宋_GB2312"/>
              </w:rPr>
              <w:t>各公园固定时段开放群众健身展演，常规活动时段：每日清晨6:30—8:30、傍晚19:00—21:00（避开正午高温时段，夏季优先保障晚间活动安全舒适开展）。</w:t>
            </w:r>
          </w:p>
          <w:p>
            <w:pPr>
              <w:pStyle w:val="null3"/>
              <w:ind w:firstLine="400"/>
              <w:jc w:val="both"/>
            </w:pPr>
            <w:r>
              <w:rPr>
                <w:rFonts w:ascii="仿宋_GB2312" w:hAnsi="仿宋_GB2312" w:cs="仿宋_GB2312" w:eastAsia="仿宋_GB2312"/>
              </w:rPr>
              <w:t>展演内容：广场舞集体展示、民族舞展示、群众趣味运动。</w:t>
            </w:r>
          </w:p>
          <w:p>
            <w:pPr>
              <w:pStyle w:val="null3"/>
              <w:ind w:firstLine="400"/>
              <w:jc w:val="both"/>
            </w:pPr>
            <w:r>
              <w:rPr>
                <w:rFonts w:ascii="仿宋_GB2312" w:hAnsi="仿宋_GB2312" w:cs="仿宋_GB2312" w:eastAsia="仿宋_GB2312"/>
              </w:rPr>
              <w:t>2.集中专场展演（8月中旬）</w:t>
            </w:r>
          </w:p>
          <w:p>
            <w:pPr>
              <w:pStyle w:val="null3"/>
              <w:ind w:firstLine="400"/>
              <w:jc w:val="both"/>
            </w:pPr>
            <w:r>
              <w:rPr>
                <w:rFonts w:ascii="仿宋_GB2312" w:hAnsi="仿宋_GB2312" w:cs="仿宋_GB2312" w:eastAsia="仿宋_GB2312"/>
              </w:rPr>
              <w:t>在渭南老街举办主题专场活动，集中展示各队伍风采，设置互动、点评、风采展示环节，提升活动仪式感和氛围感。</w:t>
            </w:r>
          </w:p>
          <w:p>
            <w:pPr>
              <w:pStyle w:val="null3"/>
              <w:ind w:firstLine="400"/>
              <w:jc w:val="both"/>
            </w:pPr>
            <w:r>
              <w:rPr>
                <w:rFonts w:ascii="仿宋_GB2312" w:hAnsi="仿宋_GB2312" w:cs="仿宋_GB2312" w:eastAsia="仿宋_GB2312"/>
              </w:rPr>
              <w:t>专场标准流程（单场90分钟）：</w:t>
            </w:r>
          </w:p>
          <w:p>
            <w:pPr>
              <w:pStyle w:val="null3"/>
              <w:ind w:firstLine="400"/>
              <w:jc w:val="both"/>
            </w:pPr>
            <w:r>
              <w:rPr>
                <w:rFonts w:ascii="仿宋_GB2312" w:hAnsi="仿宋_GB2312" w:cs="仿宋_GB2312" w:eastAsia="仿宋_GB2312"/>
              </w:rPr>
              <w:t>（1）开场预热（10分钟）：播放省运主题宣传音乐，主持人开场，介绍活动主题、省运理念、当日活动安排。</w:t>
            </w:r>
          </w:p>
          <w:p>
            <w:pPr>
              <w:pStyle w:val="null3"/>
              <w:ind w:firstLine="400"/>
              <w:jc w:val="both"/>
            </w:pPr>
            <w:r>
              <w:rPr>
                <w:rFonts w:ascii="仿宋_GB2312" w:hAnsi="仿宋_GB2312" w:cs="仿宋_GB2312" w:eastAsia="仿宋_GB2312"/>
              </w:rPr>
              <w:t>（2）队伍展演（60分钟）：各参赛队伍依次登台展示，广场舞、民族舞、空竹、舞龙等轮番展演。</w:t>
            </w:r>
          </w:p>
          <w:p>
            <w:pPr>
              <w:pStyle w:val="null3"/>
              <w:ind w:firstLine="400"/>
              <w:jc w:val="both"/>
            </w:pPr>
            <w:r>
              <w:rPr>
                <w:rFonts w:ascii="仿宋_GB2312" w:hAnsi="仿宋_GB2312" w:cs="仿宋_GB2312" w:eastAsia="仿宋_GB2312"/>
              </w:rPr>
              <w:t>（3）互动体验（15分钟）：开放市民体验环节，现场教学简易舞龙、空竹等全民参与。</w:t>
            </w:r>
          </w:p>
          <w:p>
            <w:pPr>
              <w:pStyle w:val="null3"/>
              <w:ind w:firstLine="400"/>
              <w:jc w:val="both"/>
            </w:pPr>
            <w:r>
              <w:rPr>
                <w:rFonts w:ascii="仿宋_GB2312" w:hAnsi="仿宋_GB2312" w:cs="仿宋_GB2312" w:eastAsia="仿宋_GB2312"/>
              </w:rPr>
              <w:t>（4）总结收尾（5分钟）：现场小结，合影留念，有序退场。</w:t>
            </w:r>
          </w:p>
          <w:p>
            <w:pPr>
              <w:pStyle w:val="null3"/>
              <w:ind w:firstLine="400"/>
              <w:jc w:val="both"/>
            </w:pPr>
            <w:r>
              <w:rPr>
                <w:rFonts w:ascii="仿宋_GB2312" w:hAnsi="仿宋_GB2312" w:cs="仿宋_GB2312" w:eastAsia="仿宋_GB2312"/>
              </w:rPr>
              <w:t>（二）体育美术作品展</w:t>
            </w:r>
          </w:p>
          <w:p>
            <w:pPr>
              <w:pStyle w:val="null3"/>
              <w:ind w:firstLine="400"/>
              <w:jc w:val="both"/>
            </w:pPr>
            <w:r>
              <w:rPr>
                <w:rFonts w:ascii="仿宋_GB2312" w:hAnsi="仿宋_GB2312" w:cs="仿宋_GB2312" w:eastAsia="仿宋_GB2312"/>
              </w:rPr>
              <w:t>1.征稿范围</w:t>
            </w:r>
          </w:p>
          <w:p>
            <w:pPr>
              <w:pStyle w:val="null3"/>
              <w:ind w:firstLine="400"/>
              <w:jc w:val="both"/>
            </w:pPr>
            <w:r>
              <w:rPr>
                <w:rFonts w:ascii="仿宋_GB2312" w:hAnsi="仿宋_GB2312" w:cs="仿宋_GB2312" w:eastAsia="仿宋_GB2312"/>
              </w:rPr>
              <w:t>渭南市各县（市、区）年满18周岁美术从业者、美术爱好者均可自由投稿。</w:t>
            </w:r>
          </w:p>
          <w:p>
            <w:pPr>
              <w:pStyle w:val="null3"/>
              <w:ind w:firstLine="400"/>
              <w:jc w:val="both"/>
            </w:pPr>
            <w:r>
              <w:rPr>
                <w:rFonts w:ascii="仿宋_GB2312" w:hAnsi="仿宋_GB2312" w:cs="仿宋_GB2312" w:eastAsia="仿宋_GB2312"/>
              </w:rPr>
              <w:t>2.画作选题</w:t>
            </w:r>
          </w:p>
          <w:p>
            <w:pPr>
              <w:pStyle w:val="null3"/>
              <w:ind w:firstLine="400"/>
              <w:jc w:val="both"/>
            </w:pPr>
            <w:r>
              <w:rPr>
                <w:rFonts w:ascii="仿宋_GB2312" w:hAnsi="仿宋_GB2312" w:cs="仿宋_GB2312" w:eastAsia="仿宋_GB2312"/>
              </w:rPr>
              <w:t>此次征集的美术作品，必须为全民普及体育运动分类，涵盖日常健身、大众赛事、老少皆宜项目，包含以下任何一项运动的画作均可：跑步、骑行、游泳、广场舞、跳绳、划船、登山、篮球、足球、排球、羽毛球、乒乓球、太极拳、八段锦、五禽戏、武术、摔跤、舞龙舞狮、滚铁环、轮滑、滑板、滑雪、抖空竹、扇子舞、垂钓、体操、帆船、龙舟、冲浪等和体育运动群众健身相关联的画作内容，均可投稿。</w:t>
            </w:r>
          </w:p>
          <w:p>
            <w:pPr>
              <w:pStyle w:val="null3"/>
              <w:ind w:firstLine="400"/>
              <w:jc w:val="both"/>
            </w:pPr>
            <w:r>
              <w:rPr>
                <w:rFonts w:ascii="仿宋_GB2312" w:hAnsi="仿宋_GB2312" w:cs="仿宋_GB2312" w:eastAsia="仿宋_GB2312"/>
              </w:rPr>
              <w:t>3.作品创作要求</w:t>
            </w:r>
          </w:p>
          <w:p>
            <w:pPr>
              <w:pStyle w:val="null3"/>
              <w:ind w:firstLine="400"/>
              <w:jc w:val="both"/>
            </w:pPr>
            <w:r>
              <w:rPr>
                <w:rFonts w:ascii="仿宋_GB2312" w:hAnsi="仿宋_GB2312" w:cs="仿宋_GB2312" w:eastAsia="仿宋_GB2312"/>
              </w:rPr>
              <w:t>（1）题材内容：作品紧扣中华体育精神、奥林匹克精神、中华传统体育民俗、竞技赛事、全民健身、青少年体育运动、运动员日常集训、场馆建设等体育主题，不拘限于主办方提供的创作选题，与体育相关内容均可。要求立意积极健康，紧扣时代主旋律，彰显新时代体育风貌与人文精神，贴合渭南城市发展新气象。</w:t>
            </w:r>
          </w:p>
          <w:p>
            <w:pPr>
              <w:pStyle w:val="null3"/>
              <w:ind w:firstLine="400"/>
              <w:jc w:val="both"/>
            </w:pPr>
            <w:r>
              <w:rPr>
                <w:rFonts w:ascii="仿宋_GB2312" w:hAnsi="仿宋_GB2312" w:cs="仿宋_GB2312" w:eastAsia="仿宋_GB2312"/>
              </w:rPr>
              <w:t>（2）画种与规格：参展品类为国画、油画、版画；画芯尺寸不大于60cm×60cm，作品原件无需装裱。</w:t>
            </w:r>
          </w:p>
          <w:p>
            <w:pPr>
              <w:pStyle w:val="null3"/>
              <w:ind w:firstLine="400"/>
              <w:jc w:val="both"/>
            </w:pPr>
            <w:r>
              <w:rPr>
                <w:rFonts w:ascii="仿宋_GB2312" w:hAnsi="仿宋_GB2312" w:cs="仿宋_GB2312" w:eastAsia="仿宋_GB2312"/>
              </w:rPr>
              <w:t>（3）版权规范：参评作品须为作者本人近期原创原作，杜绝代笔、临摹高仿、抄袭剽窃、重复投稿旧作等行为；若出现版权纠纷，全部法律责任由作者自行承担。</w:t>
            </w:r>
          </w:p>
          <w:p>
            <w:pPr>
              <w:pStyle w:val="null3"/>
              <w:ind w:firstLine="400"/>
              <w:jc w:val="both"/>
            </w:pPr>
            <w:r>
              <w:rPr>
                <w:rFonts w:ascii="仿宋_GB2312" w:hAnsi="仿宋_GB2312" w:cs="仿宋_GB2312" w:eastAsia="仿宋_GB2312"/>
              </w:rPr>
              <w:t>4.作者参展待遇</w:t>
            </w:r>
          </w:p>
          <w:p>
            <w:pPr>
              <w:pStyle w:val="null3"/>
              <w:ind w:firstLine="400"/>
              <w:jc w:val="both"/>
            </w:pPr>
            <w:r>
              <w:rPr>
                <w:rFonts w:ascii="仿宋_GB2312" w:hAnsi="仿宋_GB2312" w:cs="仿宋_GB2312" w:eastAsia="仿宋_GB2312"/>
              </w:rPr>
              <w:t>本次展览精选入展作品共计70件，入展作品由主办方统一收藏，并核发收藏稿酬。所有入展艺术家统一颁发入展荣誉证书。</w:t>
            </w:r>
          </w:p>
          <w:p>
            <w:pPr>
              <w:pStyle w:val="null3"/>
              <w:ind w:firstLine="400"/>
              <w:jc w:val="both"/>
            </w:pPr>
            <w:r>
              <w:rPr>
                <w:rFonts w:ascii="仿宋_GB2312" w:hAnsi="仿宋_GB2312" w:cs="仿宋_GB2312" w:eastAsia="仿宋_GB2312"/>
              </w:rPr>
              <w:t>5.收稿联系人</w:t>
            </w:r>
          </w:p>
          <w:p>
            <w:pPr>
              <w:pStyle w:val="null3"/>
              <w:ind w:firstLine="400"/>
              <w:jc w:val="both"/>
            </w:pPr>
            <w:r>
              <w:rPr>
                <w:rFonts w:ascii="仿宋_GB2312" w:hAnsi="仿宋_GB2312" w:cs="仿宋_GB2312" w:eastAsia="仿宋_GB2312"/>
              </w:rPr>
              <w:t>贺海龙：19992382881</w:t>
            </w:r>
          </w:p>
          <w:p>
            <w:pPr>
              <w:pStyle w:val="null3"/>
              <w:ind w:firstLine="400"/>
              <w:jc w:val="both"/>
            </w:pPr>
            <w:r>
              <w:rPr>
                <w:rFonts w:ascii="仿宋_GB2312" w:hAnsi="仿宋_GB2312" w:cs="仿宋_GB2312" w:eastAsia="仿宋_GB2312"/>
              </w:rPr>
              <w:t>（5）宣传推广方案</w:t>
            </w:r>
          </w:p>
          <w:p>
            <w:pPr>
              <w:pStyle w:val="null3"/>
              <w:ind w:firstLine="400"/>
              <w:jc w:val="both"/>
            </w:pPr>
            <w:r>
              <w:rPr>
                <w:rFonts w:ascii="仿宋_GB2312" w:hAnsi="仿宋_GB2312" w:cs="仿宋_GB2312" w:eastAsia="仿宋_GB2312"/>
              </w:rPr>
              <w:t>（一）现场氛围布置</w:t>
            </w:r>
          </w:p>
          <w:p>
            <w:pPr>
              <w:pStyle w:val="null3"/>
              <w:ind w:firstLine="400"/>
              <w:jc w:val="both"/>
            </w:pPr>
            <w:r>
              <w:rPr>
                <w:rFonts w:ascii="仿宋_GB2312" w:hAnsi="仿宋_GB2312" w:cs="仿宋_GB2312" w:eastAsia="仿宋_GB2312"/>
              </w:rPr>
              <w:t>各活动公园及美术展览场地统一布置主题展板、活动旗帜、地贴等，内容围绕“我要上省运""丹青绘风采”“舞声飞扬 欢迎到额渭南来”等核心主题，营造浓厚迎省运氛围。活动现场摆放活动背景板，用于队伍展演、合影打卡。</w:t>
            </w:r>
          </w:p>
          <w:p>
            <w:pPr>
              <w:pStyle w:val="null3"/>
              <w:ind w:firstLine="400"/>
              <w:jc w:val="both"/>
            </w:pPr>
            <w:r>
              <w:rPr>
                <w:rFonts w:ascii="仿宋_GB2312" w:hAnsi="仿宋_GB2312" w:cs="仿宋_GB2312" w:eastAsia="仿宋_GB2312"/>
              </w:rPr>
              <w:t>（二）线上宣传推送</w:t>
            </w:r>
          </w:p>
          <w:p>
            <w:pPr>
              <w:pStyle w:val="null3"/>
              <w:ind w:firstLine="400"/>
              <w:jc w:val="both"/>
            </w:pPr>
            <w:r>
              <w:rPr>
                <w:rFonts w:ascii="仿宋_GB2312" w:hAnsi="仿宋_GB2312" w:cs="仿宋_GB2312" w:eastAsia="仿宋_GB2312"/>
              </w:rPr>
              <w:t>拍摄活动照片、短视频，通过本地公众号、视频号、社群、朋友圈推送活动动态，展示群众健身风采和美术展览精品，普及省运知识、传播全民健身理念，扩大活动覆盖面和影响力。</w:t>
            </w:r>
          </w:p>
          <w:p>
            <w:pPr>
              <w:pStyle w:val="null3"/>
              <w:ind w:firstLine="400"/>
              <w:jc w:val="both"/>
            </w:pPr>
            <w:r>
              <w:rPr>
                <w:rFonts w:ascii="仿宋_GB2312" w:hAnsi="仿宋_GB2312" w:cs="仿宋_GB2312" w:eastAsia="仿宋_GB2312"/>
              </w:rPr>
              <w:t>（三）线下氛围引导</w:t>
            </w:r>
          </w:p>
          <w:p>
            <w:pPr>
              <w:pStyle w:val="null3"/>
              <w:ind w:firstLine="400"/>
              <w:jc w:val="both"/>
            </w:pPr>
            <w:r>
              <w:rPr>
                <w:rFonts w:ascii="仿宋_GB2312" w:hAnsi="仿宋_GB2312" w:cs="仿宋_GB2312" w:eastAsia="仿宋_GB2312"/>
              </w:rPr>
              <w:t>依托公园管理处、文体协会转发活动通知，广泛动员各健身队伍、市民群众参与展览参观与健身活动，引导全民关注省运、参与健身。同时通过美术协会渠道动员广大美术工作者积极投稿，形成“健身+创作”双轮驱动的宣传效果。</w:t>
            </w:r>
          </w:p>
          <w:p>
            <w:pPr>
              <w:pStyle w:val="null3"/>
              <w:ind w:firstLine="400"/>
              <w:jc w:val="both"/>
            </w:pPr>
            <w:r>
              <w:rPr>
                <w:rFonts w:ascii="仿宋_GB2312" w:hAnsi="仿宋_GB2312" w:cs="仿宋_GB2312" w:eastAsia="仿宋_GB2312"/>
              </w:rPr>
              <w:t>（6）安全保障与应急方案</w:t>
            </w:r>
          </w:p>
          <w:p>
            <w:pPr>
              <w:pStyle w:val="null3"/>
              <w:ind w:firstLine="400"/>
              <w:jc w:val="both"/>
            </w:pPr>
            <w:r>
              <w:rPr>
                <w:rFonts w:ascii="仿宋_GB2312" w:hAnsi="仿宋_GB2312" w:cs="仿宋_GB2312" w:eastAsia="仿宋_GB2312"/>
              </w:rPr>
              <w:t>严格遵循群众体育活动安全运营规范，全面落实场地、人员、天气、医疗、治安各项保障，杜绝安全事故，保障活动安全有序开展。</w:t>
            </w:r>
          </w:p>
          <w:p>
            <w:pPr>
              <w:pStyle w:val="null3"/>
              <w:ind w:firstLine="400"/>
              <w:jc w:val="both"/>
            </w:pPr>
            <w:r>
              <w:rPr>
                <w:rFonts w:ascii="仿宋_GB2312" w:hAnsi="仿宋_GB2312" w:cs="仿宋_GB2312" w:eastAsia="仿宋_GB2312"/>
              </w:rPr>
              <w:t>（一）场地安全保障</w:t>
            </w:r>
          </w:p>
          <w:p>
            <w:pPr>
              <w:pStyle w:val="null3"/>
              <w:ind w:firstLine="400"/>
              <w:jc w:val="both"/>
            </w:pPr>
            <w:r>
              <w:rPr>
                <w:rFonts w:ascii="仿宋_GB2312" w:hAnsi="仿宋_GB2312" w:cs="仿宋_GB2312" w:eastAsia="仿宋_GB2312"/>
              </w:rPr>
              <w:t>每日活动前对场地进行全面排查，清理杂物、消除障碍物；规范音响摆放，做好防踩踏、绊倒防护。美术展览场地确保展品固定牢靠，设置安全警示标识，防止展品倾倒伤人。</w:t>
            </w:r>
          </w:p>
          <w:p>
            <w:pPr>
              <w:pStyle w:val="null3"/>
              <w:ind w:firstLine="400"/>
              <w:jc w:val="both"/>
            </w:pPr>
            <w:r>
              <w:rPr>
                <w:rFonts w:ascii="仿宋_GB2312" w:hAnsi="仿宋_GB2312" w:cs="仿宋_GB2312" w:eastAsia="仿宋_GB2312"/>
              </w:rPr>
              <w:t>（二）天气与防暑保障</w:t>
            </w:r>
          </w:p>
          <w:p>
            <w:pPr>
              <w:pStyle w:val="null3"/>
              <w:ind w:firstLine="400"/>
              <w:jc w:val="both"/>
            </w:pPr>
            <w:r>
              <w:rPr>
                <w:rFonts w:ascii="仿宋_GB2312" w:hAnsi="仿宋_GB2312" w:cs="仿宋_GB2312" w:eastAsia="仿宋_GB2312"/>
              </w:rPr>
              <w:t>7—8月高温多雨，严格规避正午高温时段活动，晚间为主、清晨为辅；现场配备饮用水、藿香正气水、清凉油、冰袋等防暑物资；遇暴雨、大风、高温红色预警等极端天气，立即暂停当日活动，及时通知各队伍。</w:t>
            </w:r>
          </w:p>
          <w:p>
            <w:pPr>
              <w:pStyle w:val="null3"/>
              <w:ind w:firstLine="400"/>
              <w:jc w:val="both"/>
            </w:pPr>
            <w:r>
              <w:rPr>
                <w:rFonts w:ascii="仿宋_GB2312" w:hAnsi="仿宋_GB2312" w:cs="仿宋_GB2312" w:eastAsia="仿宋_GB2312"/>
              </w:rPr>
              <w:t>（三）人流与秩序保障</w:t>
            </w:r>
          </w:p>
          <w:p>
            <w:pPr>
              <w:pStyle w:val="null3"/>
              <w:ind w:firstLine="400"/>
              <w:jc w:val="both"/>
            </w:pPr>
            <w:r>
              <w:rPr>
                <w:rFonts w:ascii="仿宋_GB2312" w:hAnsi="仿宋_GB2312" w:cs="仿宋_GB2312" w:eastAsia="仿宋_GB2312"/>
              </w:rPr>
              <w:t>现场工作人员全程值守，引导市民有序观赛、观展、文明健身，避免拥挤、扎堆、追逐打闹；规范队伍展演秩序，杜绝噪音扰民、无序占位等问题，维护公园公共秩序。</w:t>
            </w:r>
          </w:p>
          <w:p>
            <w:pPr>
              <w:pStyle w:val="null3"/>
              <w:ind w:firstLine="400"/>
              <w:jc w:val="both"/>
            </w:pPr>
            <w:r>
              <w:rPr>
                <w:rFonts w:ascii="仿宋_GB2312" w:hAnsi="仿宋_GB2312" w:cs="仿宋_GB2312" w:eastAsia="仿宋_GB2312"/>
              </w:rPr>
              <w:t>（四）风险防控要求</w:t>
            </w:r>
          </w:p>
          <w:p>
            <w:pPr>
              <w:pStyle w:val="null3"/>
              <w:ind w:firstLine="400"/>
              <w:jc w:val="both"/>
            </w:pPr>
            <w:r>
              <w:rPr>
                <w:rFonts w:ascii="仿宋_GB2312" w:hAnsi="仿宋_GB2312" w:cs="仿宋_GB2312" w:eastAsia="仿宋_GB2312"/>
              </w:rPr>
              <w:t>所有参与群众自愿参与活动，高龄、体弱、慢病人员建议家属陪同参与；严禁危险动作、违规聚集，全程落实安全告知、风险提示制度，筑牢活动安全防线。</w:t>
            </w:r>
          </w:p>
          <w:p>
            <w:pPr>
              <w:pStyle w:val="null3"/>
              <w:ind w:firstLine="400"/>
              <w:jc w:val="both"/>
            </w:pPr>
            <w:r>
              <w:rPr>
                <w:rFonts w:ascii="仿宋_GB2312" w:hAnsi="仿宋_GB2312" w:cs="仿宋_GB2312" w:eastAsia="仿宋_GB2312"/>
              </w:rPr>
              <w:t>（7）成效总结</w:t>
            </w:r>
          </w:p>
          <w:p>
            <w:pPr>
              <w:pStyle w:val="null3"/>
              <w:ind w:firstLine="400"/>
              <w:jc w:val="both"/>
            </w:pPr>
            <w:r>
              <w:rPr>
                <w:rFonts w:ascii="仿宋_GB2312" w:hAnsi="仿宋_GB2312" w:cs="仿宋_GB2312" w:eastAsia="仿宋_GB2312"/>
              </w:rPr>
              <w:t>活动结束后，工作组全面梳理活动开展情况，汇总活动数据、照片、视频、台账资料，总结活动亮点、经验做法，形成完整活动总结报告。梳理美术展览优秀作品和群众健身典型案例，持续推广全民健身理念，为陕西省第十八届运动会群众文体工作留存成果素材。</w:t>
            </w:r>
          </w:p>
          <w:p>
            <w:pPr>
              <w:pStyle w:val="null3"/>
              <w:ind w:firstLine="400"/>
              <w:jc w:val="both"/>
            </w:pPr>
            <w:r>
              <w:rPr>
                <w:rFonts w:ascii="仿宋_GB2312" w:hAnsi="仿宋_GB2312" w:cs="仿宋_GB2312" w:eastAsia="仿宋_GB2312"/>
              </w:rPr>
              <w:t>同时，依托本次活动成效，持续放大陕西省第十八届运动会群众文体氛围效应，充分展现渭南本土文艺创作水平、群众精神风貌与城市文化底蕴，推动体育文化与本土文艺深度融合，丰富市民精神文化生活、提升城市文化品位，夯实全民喜迎省运、乐享运动健康的社会基础，为省十八运会圆满举办营造持久浓厚的群众氛围，也为渭南市体育事业、文化事业协同高质量发展留存优质的成果素材、典型案例与实践经验，助力文化强市、健康渭南建设走深走实。</w:t>
            </w:r>
          </w:p>
          <w:p>
            <w:pPr>
              <w:pStyle w:val="null3"/>
              <w:ind w:firstLine="400"/>
              <w:jc w:val="both"/>
            </w:pPr>
            <w:r>
              <w:rPr>
                <w:rFonts w:ascii="仿宋_GB2312" w:hAnsi="仿宋_GB2312" w:cs="仿宋_GB2312" w:eastAsia="仿宋_GB2312"/>
              </w:rPr>
              <w:t>（8）工作要求</w:t>
            </w:r>
          </w:p>
          <w:p>
            <w:pPr>
              <w:pStyle w:val="null3"/>
              <w:ind w:firstLine="400"/>
              <w:jc w:val="both"/>
            </w:pPr>
            <w:r>
              <w:rPr>
                <w:rFonts w:ascii="仿宋_GB2312" w:hAnsi="仿宋_GB2312" w:cs="仿宋_GB2312" w:eastAsia="仿宋_GB2312"/>
              </w:rPr>
              <w:t>（一）高度重视，压实责任</w:t>
            </w:r>
          </w:p>
          <w:p>
            <w:pPr>
              <w:pStyle w:val="null3"/>
              <w:ind w:firstLine="400"/>
              <w:jc w:val="both"/>
            </w:pPr>
            <w:r>
              <w:rPr>
                <w:rFonts w:ascii="仿宋_GB2312" w:hAnsi="仿宋_GB2312" w:cs="仿宋_GB2312" w:eastAsia="仿宋_GB2312"/>
              </w:rPr>
              <w:t>各工作人员定岗定责、全程在岗，严格落实活动流程、安全保障、宣传记录各项工作，确保活动规范有序。</w:t>
            </w:r>
          </w:p>
          <w:p>
            <w:pPr>
              <w:pStyle w:val="null3"/>
              <w:ind w:firstLine="400"/>
              <w:jc w:val="both"/>
            </w:pPr>
            <w:r>
              <w:rPr>
                <w:rFonts w:ascii="仿宋_GB2312" w:hAnsi="仿宋_GB2312" w:cs="仿宋_GB2312" w:eastAsia="仿宋_GB2312"/>
              </w:rPr>
              <w:t>（二）公益惠民，全民参与</w:t>
            </w:r>
          </w:p>
          <w:p>
            <w:pPr>
              <w:pStyle w:val="null3"/>
              <w:ind w:firstLine="400"/>
              <w:jc w:val="both"/>
            </w:pPr>
            <w:r>
              <w:rPr>
                <w:rFonts w:ascii="仿宋_GB2312" w:hAnsi="仿宋_GB2312" w:cs="仿宋_GB2312" w:eastAsia="仿宋_GB2312"/>
              </w:rPr>
              <w:t>坚持公益性原则，不收取群众任何费用，开放平等参与通道，最大化调动市民健身热情和美术创作积极性。</w:t>
            </w:r>
          </w:p>
          <w:p>
            <w:pPr>
              <w:pStyle w:val="null3"/>
              <w:ind w:firstLine="400"/>
              <w:jc w:val="both"/>
            </w:pPr>
            <w:r>
              <w:rPr>
                <w:rFonts w:ascii="仿宋_GB2312" w:hAnsi="仿宋_GB2312" w:cs="仿宋_GB2312" w:eastAsia="仿宋_GB2312"/>
              </w:rPr>
              <w:t>（三）文明展演，规范秩序</w:t>
            </w:r>
          </w:p>
          <w:p>
            <w:pPr>
              <w:pStyle w:val="null3"/>
              <w:ind w:firstLine="400"/>
              <w:jc w:val="both"/>
            </w:pPr>
            <w:r>
              <w:rPr>
                <w:rFonts w:ascii="仿宋_GB2312" w:hAnsi="仿宋_GB2312" w:cs="仿宋_GB2312" w:eastAsia="仿宋_GB2312"/>
              </w:rPr>
              <w:t>各参演队伍服从现场管理，遵守公园管理制度，文明展演、爱护环境、杜绝噪音扰民、违规占道。参展美术工作者遵守展览规程，文明参展。</w:t>
            </w:r>
          </w:p>
          <w:p>
            <w:pPr>
              <w:pStyle w:val="null3"/>
              <w:ind w:firstLine="400"/>
              <w:jc w:val="both"/>
            </w:pPr>
            <w:r>
              <w:rPr>
                <w:rFonts w:ascii="仿宋_GB2312" w:hAnsi="仿宋_GB2312" w:cs="仿宋_GB2312" w:eastAsia="仿宋_GB2312"/>
              </w:rPr>
              <w:t>（四）注重宣传，营造氛围</w:t>
            </w:r>
          </w:p>
          <w:p>
            <w:pPr>
              <w:pStyle w:val="null3"/>
              <w:ind w:firstLine="400"/>
              <w:jc w:val="both"/>
            </w:pPr>
            <w:r>
              <w:rPr>
                <w:rFonts w:ascii="仿宋_GB2312" w:hAnsi="仿宋_GB2312" w:cs="仿宋_GB2312" w:eastAsia="仿宋_GB2312"/>
              </w:rPr>
              <w:t>及时总结活动亮点、挖掘典型案例，持续放大活动效应，持续升温迎省运全民氛围。</w:t>
            </w:r>
          </w:p>
          <w:p>
            <w:pPr>
              <w:pStyle w:val="null3"/>
              <w:ind w:firstLine="400"/>
              <w:jc w:val="both"/>
            </w:pPr>
            <w:r>
              <w:rPr>
                <w:rFonts w:ascii="仿宋_GB2312" w:hAnsi="仿宋_GB2312" w:cs="仿宋_GB2312" w:eastAsia="仿宋_GB2312"/>
              </w:rPr>
              <w:t>（9）</w:t>
            </w:r>
          </w:p>
          <w:tbl>
            <w:tblPr>
              <w:tblInd w:type="dxa" w:w="135"/>
              <w:tblBorders>
                <w:top w:val="none" w:color="000000" w:sz="4"/>
                <w:left w:val="none" w:color="000000" w:sz="4"/>
                <w:bottom w:val="none" w:color="000000" w:sz="4"/>
                <w:right w:val="none" w:color="000000" w:sz="4"/>
                <w:insideH w:val="none"/>
                <w:insideV w:val="none"/>
              </w:tblBorders>
            </w:tblPr>
            <w:tblGrid>
              <w:gridCol w:w="317"/>
              <w:gridCol w:w="715"/>
              <w:gridCol w:w="441"/>
              <w:gridCol w:w="348"/>
              <w:gridCol w:w="731"/>
            </w:tblGrid>
            <w:tr>
              <w:tc>
                <w:tcPr>
                  <w:tcW w:type="dxa" w:w="317"/>
                  <w:tcBorders>
                    <w:top w:val="single" w:color="000000" w:sz="4"/>
                    <w:left w:val="single" w:color="000000" w:sz="4"/>
                    <w:bottom w:val="single" w:color="000000" w:sz="4"/>
                    <w:right w:val="single" w:color="000000" w:sz="4"/>
                  </w:tcBorders>
                  <w:shd w:fill="0070C0"/>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FFFFFF"/>
                    </w:rPr>
                    <w:t>序号</w:t>
                  </w:r>
                </w:p>
              </w:tc>
              <w:tc>
                <w:tcPr>
                  <w:tcW w:type="dxa" w:w="715"/>
                  <w:tcBorders>
                    <w:top w:val="single" w:color="000000" w:sz="4"/>
                    <w:left w:val="none" w:color="000000" w:sz="4"/>
                    <w:bottom w:val="single" w:color="000000" w:sz="4"/>
                    <w:right w:val="single" w:color="000000" w:sz="4"/>
                  </w:tcBorders>
                  <w:shd w:fill="0070C0"/>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FFFFFF"/>
                    </w:rPr>
                    <w:t>名称</w:t>
                  </w:r>
                </w:p>
              </w:tc>
              <w:tc>
                <w:tcPr>
                  <w:tcW w:type="dxa" w:w="441"/>
                  <w:tcBorders>
                    <w:top w:val="single" w:color="000000" w:sz="4"/>
                    <w:left w:val="none" w:color="000000" w:sz="4"/>
                    <w:bottom w:val="single" w:color="000000" w:sz="4"/>
                    <w:right w:val="single" w:color="000000" w:sz="4"/>
                  </w:tcBorders>
                  <w:shd w:fill="0070C0"/>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FFFFFF"/>
                    </w:rPr>
                    <w:t>数量</w:t>
                  </w:r>
                </w:p>
              </w:tc>
              <w:tc>
                <w:tcPr>
                  <w:tcW w:type="dxa" w:w="348"/>
                  <w:tcBorders>
                    <w:top w:val="single" w:color="000000" w:sz="4"/>
                    <w:left w:val="none" w:color="000000" w:sz="4"/>
                    <w:bottom w:val="single" w:color="000000" w:sz="4"/>
                    <w:right w:val="single" w:color="000000" w:sz="4"/>
                  </w:tcBorders>
                  <w:shd w:fill="0070C0"/>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FFFFFF"/>
                    </w:rPr>
                    <w:t>单位</w:t>
                  </w:r>
                </w:p>
              </w:tc>
              <w:tc>
                <w:tcPr>
                  <w:tcW w:type="dxa" w:w="731"/>
                  <w:tcBorders>
                    <w:top w:val="single" w:color="000000" w:sz="4"/>
                    <w:left w:val="none" w:color="000000" w:sz="4"/>
                    <w:bottom w:val="single" w:color="000000" w:sz="4"/>
                    <w:right w:val="single" w:color="000000" w:sz="4"/>
                  </w:tcBorders>
                  <w:shd w:fill="0070C0"/>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FFFFFF"/>
                    </w:rPr>
                    <w:t>备注</w:t>
                  </w: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主舞台</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12m*6m*0.8m</w:t>
                  </w: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舞台地毯</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主屏</w:t>
                  </w:r>
                  <w:r>
                    <w:rPr>
                      <w:rFonts w:ascii="仿宋_GB2312" w:hAnsi="仿宋_GB2312" w:cs="仿宋_GB2312" w:eastAsia="仿宋_GB2312"/>
                      <w:sz w:val="22"/>
                      <w:color w:val="000000"/>
                    </w:rPr>
                    <w:t>LED</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P3 8m*5m</w:t>
                  </w: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侧屏</w:t>
                  </w:r>
                  <w:r>
                    <w:rPr>
                      <w:rFonts w:ascii="仿宋_GB2312" w:hAnsi="仿宋_GB2312" w:cs="仿宋_GB2312" w:eastAsia="仿宋_GB2312"/>
                      <w:sz w:val="22"/>
                      <w:color w:val="000000"/>
                    </w:rPr>
                    <w:t>LED</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P3 2m*5m*2</w:t>
                  </w: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雷亚架</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吨</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面光灯</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切割灯</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光束灯</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线阵音响</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含控台话筒</w:t>
                  </w: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注水道旗</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蓝凳子</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主持人</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队伍补助</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参赛服装</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主题旗帜</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创意地贴</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手持拍照板</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画作装裱</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幅</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画架</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作品收藏费</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幅</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展示场地搭建</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荣誉证书</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r>
              <w:tc>
                <w:tcPr>
                  <w:tcW w:type="dxa" w:w="317"/>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715"/>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藿香正气水等</w:t>
                  </w:r>
                </w:p>
              </w:tc>
              <w:tc>
                <w:tcPr>
                  <w:tcW w:type="dxa" w:w="44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731"/>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rPr>
              <w:t>四、拟投入本项目的费用测算</w:t>
            </w:r>
          </w:p>
          <w:p>
            <w:pPr>
              <w:pStyle w:val="null3"/>
              <w:ind w:firstLine="400"/>
              <w:jc w:val="both"/>
            </w:pPr>
            <w:r>
              <w:rPr>
                <w:rFonts w:ascii="仿宋_GB2312" w:hAnsi="仿宋_GB2312" w:cs="仿宋_GB2312" w:eastAsia="仿宋_GB2312"/>
              </w:rPr>
              <w:t>本项目总投资20万元，包括完成本项目并达到磋商文件要求所需要的全部费用，包括但不限于完成本次项目所需的设备费、人工费、服务费、管理费、税金等所有费用。</w:t>
            </w:r>
          </w:p>
          <w:p>
            <w:pPr>
              <w:pStyle w:val="null3"/>
              <w:ind w:firstLine="400"/>
              <w:jc w:val="both"/>
            </w:pPr>
            <w:r>
              <w:rPr>
                <w:rFonts w:ascii="仿宋_GB2312" w:hAnsi="仿宋_GB2312" w:cs="仿宋_GB2312" w:eastAsia="仿宋_GB2312"/>
              </w:rPr>
              <w:t>五、服务质量、标准、期限等</w:t>
            </w:r>
          </w:p>
          <w:p>
            <w:pPr>
              <w:pStyle w:val="null3"/>
              <w:ind w:firstLine="400"/>
              <w:jc w:val="both"/>
            </w:pPr>
            <w:r>
              <w:rPr>
                <w:rFonts w:ascii="仿宋_GB2312" w:hAnsi="仿宋_GB2312" w:cs="仿宋_GB2312" w:eastAsia="仿宋_GB2312"/>
              </w:rPr>
              <w:t>服务质量、标准：满足国家及行业相关质量要求和标准。</w:t>
            </w:r>
          </w:p>
          <w:p>
            <w:pPr>
              <w:pStyle w:val="null3"/>
              <w:ind w:firstLine="400"/>
              <w:jc w:val="both"/>
            </w:pPr>
            <w:r>
              <w:rPr>
                <w:rFonts w:ascii="仿宋_GB2312" w:hAnsi="仿宋_GB2312" w:cs="仿宋_GB2312" w:eastAsia="仿宋_GB2312"/>
              </w:rPr>
              <w:t>服务期限：合同签订后至2026年8月20日止。</w:t>
            </w:r>
          </w:p>
          <w:p>
            <w:pPr>
              <w:pStyle w:val="null3"/>
              <w:ind w:firstLine="400"/>
              <w:jc w:val="both"/>
            </w:pPr>
            <w:r>
              <w:rPr>
                <w:rFonts w:ascii="仿宋_GB2312" w:hAnsi="仿宋_GB2312" w:cs="仿宋_GB2312" w:eastAsia="仿宋_GB2312"/>
              </w:rPr>
              <w:t>六、付款方式</w:t>
            </w:r>
          </w:p>
          <w:p>
            <w:pPr>
              <w:pStyle w:val="null3"/>
              <w:ind w:firstLine="400"/>
              <w:jc w:val="both"/>
            </w:pPr>
            <w:r>
              <w:rPr>
                <w:rFonts w:ascii="仿宋_GB2312" w:hAnsi="仿宋_GB2312" w:cs="仿宋_GB2312" w:eastAsia="仿宋_GB2312"/>
              </w:rPr>
              <w:t>预付款：合同生效后，达到付款条件起15个工作日内，支付合同总金额的40%；</w:t>
            </w:r>
          </w:p>
          <w:p>
            <w:pPr>
              <w:pStyle w:val="null3"/>
              <w:ind w:firstLine="400"/>
              <w:jc w:val="both"/>
            </w:pPr>
            <w:r>
              <w:rPr>
                <w:rFonts w:ascii="仿宋_GB2312" w:hAnsi="仿宋_GB2312" w:cs="仿宋_GB2312" w:eastAsia="仿宋_GB2312"/>
              </w:rPr>
              <w:t>进度款：赛事活动结束后，提交参展展板，相关总结报告、影像资料纸质版及电子版，经验收合格完成，达到付款条件起15个工作日内，支付合同总金额的60%。</w:t>
            </w:r>
          </w:p>
          <w:p>
            <w:pPr>
              <w:pStyle w:val="null3"/>
              <w:ind w:firstLine="400"/>
              <w:jc w:val="both"/>
            </w:pPr>
            <w:r>
              <w:rPr>
                <w:rFonts w:ascii="仿宋_GB2312" w:hAnsi="仿宋_GB2312" w:cs="仿宋_GB2312" w:eastAsia="仿宋_GB2312"/>
              </w:rPr>
              <w:t>七、验收标准</w:t>
            </w:r>
          </w:p>
          <w:p>
            <w:pPr>
              <w:pStyle w:val="null3"/>
              <w:ind w:firstLine="400"/>
              <w:jc w:val="both"/>
            </w:pPr>
            <w:r>
              <w:rPr>
                <w:rFonts w:ascii="仿宋_GB2312" w:hAnsi="仿宋_GB2312" w:cs="仿宋_GB2312" w:eastAsia="仿宋_GB2312"/>
              </w:rPr>
              <w:t>依据竞争性磋商文件、磋商响应文件、成交通知书、合同文件及国家相关规范及标准进行验收。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合同签订后至2026年8月20日止。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进度款，赛事活动结束后，提交参展展板，相关总结报告、影像资料纸质版及电子版，经验收合格完成，达到付款条件起15个工作日内，支付合同总金额的60.0%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若供应商采用保函形式缴纳保证金，请供应商在开标前一天告知代理机构并将保函扫描件发送到代理机构负责人邮箱（157567909@qq.com），若采用银行转账形式缴纳保证金，请供应商在响应文件递交截止时间前转账至对应账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本项目专门面向中小微企业，供应商应为中小微企业或监狱企业或残疾人福利性单位。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供应商类似项目业绩一览表.docx 中小企业声明函 商务应答表 服务内容及服务要求应答表 报价表 资格证明材料.pdf 保证金支付凭证或担保函（复印件）.docx 响应文件封面 项目团队配置.pdf 分项报价表.docx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供应商首次磋商报价没有超出采购预算和最高限价。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保证金支付凭证或担保函（复印件）.docx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服务内容及服务要求应答表 报价表 资格证明材料.pdf 保证金支付凭证或担保函（复印件）.docx 响应文件封面 项目团队配置.pdf 分项报价表.docx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分项报价表.docx 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供应商类似项目业绩一览表.docx 中小企业声明函 商务应答表 服务内容及服务要求应答表 报价表 资格证明材料.pdf 保证金支付凭证或担保函（复印件）.docx 响应文件封面 项目团队配置.pdf 分项报价表.docx 残疾人福利性单位声明函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内容至少包括①赛事组织策划方案；②场地搭建、设备安装调试方案；③素材的拍摄、剪辑及后期制作方案；④宣传推广方案；⑤成果保障方案。 上述每项内容无缺陷得4分，满分为20分。方案内容每存在1处缺陷，扣0.1分，扣完为止。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内容至少包括①内控制度及人员培训措施；②赛事策划、运行保障措施。 上述每项内容无缺陷得1分，满分为2分。方案内容每存在1处缺陷，扣0.1分，扣完为止。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 ①场地安全；②天气防暑；③人流秩序及人员安全；④风险防控措施；⑤现场设备故障应对措施及响应时间。 上述每项内容无缺陷得2分，满分为10分。方案内容每存在1处缺陷，扣0.1分，扣完为止。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内容至少包括①团队组织人员配置名单（不限于联系方式、职务、资格证书、职称、学历等）；②团队人员管理及培训制度；③各岗位职责及人员安排计划；④配置人员工作经验等。 上述每项内容无缺陷得2分，满分为8分。方案内容每存在1处缺陷，扣0.1分，扣完为止。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项目团队配置.pdf</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供应商提供拟投入设施设备的供货渠道证明材料，提供设备清单及权属/租赁证明，每项设备得1分，最高5分。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1.项目负责人具有本科及以上学历，得2分。 2.项目负责人每提供一个2023年01月01日至今担任过项目负责人的类似项目的，得3分，满分15分。 注：项目负责人业绩须提供体现项目负责人姓名职务的合同或体现项目负责人姓名职务的业主证明材料。</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供应商具有2023年01月01日至今类似项目业绩（以合同签订时间为准），响应文件中提供合同复印件加盖供应商公章,每提供一份得3分，满分18分，未提供不计分。 注：企业业绩可与项目负责人业绩重复计分。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满足磋商文件要求且最终磋商报价最低的为基准价，其价格分为满分。其他磋商供应商的价格分统一按照下列公式计算：最终磋商报价得分=（基准价/最终磋商报价）×20 注：本项目已专门面向中小微企业，对小微企业、监狱企业、残疾人福利性单位不再给予价格扣除，供应商需如实填写中小企业声明函或残疾人福利性单位声明函或监狱企业的证明文件。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详见附件：保证金支付凭证或担保函（复印件）.docx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详见附件：资格证明材料.pdf</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详见附件：项目团队配置.pdf</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