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版本号：ZC2026-FW-12720260605001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张良庙紫柏山风景名胜区总体规划修编项目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ZC2026-FW-127</w:t>
      </w:r>
      <w:r>
        <w:br/>
      </w:r>
      <w:r>
        <w:br/>
      </w:r>
      <w:r>
        <w:br/>
      </w:r>
    </w:p>
    <w:p>
      <w:pPr>
        <w:pStyle w:val="null3"/>
        <w:jc w:val="center"/>
        <w:outlineLvl w:val="2"/>
      </w:pPr>
      <w:r>
        <w:rPr>
          <w:rFonts w:ascii="仿宋_GB2312" w:hAnsi="仿宋_GB2312" w:cs="仿宋_GB2312" w:eastAsia="仿宋_GB2312"/>
          <w:sz w:val="28"/>
          <w:b/>
        </w:rPr>
        <w:t>留坝县张良庙—紫柏山风景名胜区管理委员会办公室</w:t>
      </w:r>
    </w:p>
    <w:p>
      <w:pPr>
        <w:pStyle w:val="null3"/>
        <w:jc w:val="center"/>
        <w:outlineLvl w:val="2"/>
      </w:pPr>
      <w:r>
        <w:rPr>
          <w:rFonts w:ascii="仿宋_GB2312" w:hAnsi="仿宋_GB2312" w:cs="仿宋_GB2312" w:eastAsia="仿宋_GB2312"/>
          <w:sz w:val="28"/>
          <w:b/>
        </w:rPr>
        <w:t>陕西中采项目管理有限公司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陕西中采项目管理有限公司</w:t>
      </w:r>
      <w:r>
        <w:rPr>
          <w:rFonts w:ascii="仿宋_GB2312" w:hAnsi="仿宋_GB2312" w:cs="仿宋_GB2312" w:eastAsia="仿宋_GB2312"/>
        </w:rPr>
        <w:t>（以下简称“代理机构”）受</w:t>
      </w:r>
      <w:r>
        <w:rPr>
          <w:rFonts w:ascii="仿宋_GB2312" w:hAnsi="仿宋_GB2312" w:cs="仿宋_GB2312" w:eastAsia="仿宋_GB2312"/>
        </w:rPr>
        <w:t>留坝县张良庙—紫柏山风景名胜区管理委员会办公室</w:t>
      </w:r>
      <w:r>
        <w:rPr>
          <w:rFonts w:ascii="仿宋_GB2312" w:hAnsi="仿宋_GB2312" w:cs="仿宋_GB2312" w:eastAsia="仿宋_GB2312"/>
        </w:rPr>
        <w:t>委托，拟对</w:t>
      </w:r>
      <w:r>
        <w:rPr>
          <w:rFonts w:ascii="仿宋_GB2312" w:hAnsi="仿宋_GB2312" w:cs="仿宋_GB2312" w:eastAsia="仿宋_GB2312"/>
        </w:rPr>
        <w:t>张良庙紫柏山风景名胜区总体规划修编项目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ZC2026-FW-127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张良庙紫柏山风景名胜区总体规划修编项目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张良庙-紫柏山风景名胜区总体规划修编</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采购包1（张良庙紫柏山风景名胜区总体规划修编项目）：属于专门面向中小企业采购。</w:t>
      </w:r>
    </w:p>
    <w:p>
      <w:pPr>
        <w:pStyle w:val="null3"/>
      </w:pPr>
      <w:r>
        <w:rPr>
          <w:rFonts w:ascii="仿宋_GB2312" w:hAnsi="仿宋_GB2312" w:cs="仿宋_GB2312" w:eastAsia="仿宋_GB2312"/>
        </w:rPr>
        <w:t>供应商以联合体形式参加本采购包的，联合体各方应当为中小企业。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主体证明资料：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pPr>
        <w:pStyle w:val="null3"/>
      </w:pPr>
      <w:r>
        <w:rPr>
          <w:rFonts w:ascii="仿宋_GB2312" w:hAnsi="仿宋_GB2312" w:cs="仿宋_GB2312" w:eastAsia="仿宋_GB2312"/>
        </w:rPr>
        <w:t>2、企业资质：1、供应商须具有城乡规划(国土空间规划)编制单位乙级及以上资质。 2、供应商须具有工程设计综合资质甲级或风景园林设计专项乙级及以上资质。</w:t>
      </w:r>
    </w:p>
    <w:p>
      <w:pPr>
        <w:pStyle w:val="null3"/>
      </w:pPr>
      <w:r>
        <w:rPr>
          <w:rFonts w:ascii="仿宋_GB2312" w:hAnsi="仿宋_GB2312" w:cs="仿宋_GB2312" w:eastAsia="仿宋_GB2312"/>
        </w:rPr>
        <w:t>3、项目负责人资质：项目负责人应具有城市(乡)规划相关专业或风景园林相关专业高级及以上职称证书（如联合体参与，任意一方具有均可，提供投标供应商本单位近一年内任意一个月的社会保险缴纳证明材料，若社保由投标供应商上级主管单位或所属法人主体代缴的，可提供该单位缴纳的社保证明，同时附双方隶属关系、人事管理相关证明材料；若为退休人员，无需提供社保证明，须提供退休证（或退休证明文件）及返聘合同）</w:t>
      </w:r>
    </w:p>
    <w:p>
      <w:pPr>
        <w:pStyle w:val="null3"/>
      </w:pPr>
      <w:r>
        <w:rPr>
          <w:rFonts w:ascii="仿宋_GB2312" w:hAnsi="仿宋_GB2312" w:cs="仿宋_GB2312" w:eastAsia="仿宋_GB2312"/>
        </w:rPr>
        <w:t>4、信用证明：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 注：以响应文件中加盖单位公章的基本资格条件承诺函为准。</w:t>
      </w:r>
    </w:p>
    <w:p>
      <w:pPr>
        <w:pStyle w:val="null3"/>
      </w:pPr>
      <w:r>
        <w:rPr>
          <w:rFonts w:ascii="仿宋_GB2312" w:hAnsi="仿宋_GB2312" w:cs="仿宋_GB2312" w:eastAsia="仿宋_GB2312"/>
        </w:rPr>
        <w:t>5、联合体磋商：本项目接受联合体磋商，联合体参加磋商的，应满足下列要求：联合体成员数量不得超过2家，联合体须由城乡规划(国土空间规划)编制单位牵头，联合体牵头单位代表联合体各方办理本项目磋商活动过程中的一切事务。牵头单位和其法定代表人或其委托代理人的印章或签字代表联合体各成员单位相应的印章或签字。联合体各方不得再以自己的名义单独或参加其他联合体在本项目的磋商，否则磋商响应将被拒绝。以上证明资料涉及到联合体的，须同时提供联合体牵头人及联合体成员资料（联合体单位参加磋商的，证明资料中“法定代表人身份证明或法定代表人授权书”仅须由牵头单位出具）。</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留坝县张良庙—紫柏山风景名胜区管理委员会办公室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陕西省汉中留坝县南环路游客集散中心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李舜尧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17809168321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西安市高新区高新三路9号信息港大厦5楼506室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赵飞翔、刘静静、毛鑫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029-88856058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和改革委员会办公厅颁发的《关于招标代理服务收费有关问题的通知》规定的服务类标准收取。由成交供应商在领取成交通知书之前一次性向采购代理机构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留坝县张良庙—紫柏山风景名胜区管理委员会办公室</w:t>
      </w:r>
      <w:r>
        <w:rPr>
          <w:rFonts w:ascii="仿宋_GB2312" w:hAnsi="仿宋_GB2312" w:cs="仿宋_GB2312" w:eastAsia="仿宋_GB2312"/>
        </w:rPr>
        <w:t>和</w:t>
      </w:r>
      <w:r>
        <w:rPr>
          <w:rFonts w:ascii="仿宋_GB2312" w:hAnsi="仿宋_GB2312" w:cs="仿宋_GB2312" w:eastAsia="仿宋_GB2312"/>
        </w:rPr>
        <w:t>陕西中采项目管理有限公司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留坝县张良庙—紫柏山风景名胜区管理委员会办公室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留坝县张良庙—紫柏山风景名胜区管理委员会办公室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成果符合《风景名胜区条例》（2026年1月30日第二次修订）、《风景名胜区总体规划标准（GB/T 50298-2018）》等相关现行或现有法律法规，符合行业规范标准要求，满足上报审批。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联系人：赵飞翔、刘静静、毛鑫</w:t>
      </w:r>
    </w:p>
    <w:p>
      <w:pPr>
        <w:pStyle w:val="null3"/>
      </w:pPr>
      <w:r>
        <w:rPr>
          <w:rFonts w:ascii="仿宋_GB2312" w:hAnsi="仿宋_GB2312" w:cs="仿宋_GB2312" w:eastAsia="仿宋_GB2312"/>
        </w:rPr>
        <w:t>联系电话：029-88856058</w:t>
      </w:r>
    </w:p>
    <w:p>
      <w:pPr>
        <w:pStyle w:val="null3"/>
      </w:pPr>
      <w:r>
        <w:rPr>
          <w:rFonts w:ascii="仿宋_GB2312" w:hAnsi="仿宋_GB2312" w:cs="仿宋_GB2312" w:eastAsia="仿宋_GB2312"/>
        </w:rPr>
        <w:t>地址：西安市高新区高新三路9号信息港大厦5楼506室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张良庙-紫柏山风景名胜区位于汉中市留坝县西北部，坐落于秦岭腹地、汉江与嘉陵江分水岭地带，地跨留坝、凤县两县交界区域。景区紧邻316国道，距汉中市区、西安市区距离适中，区位交通条件优越，是集秦岭山地自然风貌与张良历史人文文化于一体的省级风景名胜。张良庙-紫柏山风景名胜区海拔高度介于1250-2610米之间，归并后面积约8538.39公顷（规划范围面积具体以主管部门批复的自然保护地整合优化成果范围面积为准）。张良庙-紫柏山风景名胜区由张良庙人文古建片区、紫柏山高山生态片区两大核心板块组成，涵盖古建筑人文游览、高山草甸天坦观光、森林生态休闲、山地康养度假等功能板块。其中张良庙为历史宗教古建筑群，人文底蕴深厚；紫柏山拥有秦岭独特高山天坦、草甸、溶洞及森林景观，自然禀赋优越，两大板块山水相依、人文与自然相融，共同构成集历史文化观光、生态康养、避暑休闲、山地研学于一体的综合性省级风景名胜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1,990,000.00</w:t>
      </w:r>
    </w:p>
    <w:p>
      <w:pPr>
        <w:pStyle w:val="null3"/>
      </w:pPr>
      <w:r>
        <w:rPr>
          <w:rFonts w:ascii="仿宋_GB2312" w:hAnsi="仿宋_GB2312" w:cs="仿宋_GB2312" w:eastAsia="仿宋_GB2312"/>
        </w:rPr>
        <w:t>采购包最高限价（元）: 1,990,000.00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张良庙紫柏山风景名胜区总体规划修编项目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标的名称：张良庙紫柏山风景名胜区总体规划修编项目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color w:val="0000FF"/>
              </w:rPr>
              <w:t>一</w:t>
            </w:r>
            <w:r>
              <w:rPr>
                <w:rFonts w:ascii="仿宋_GB2312" w:hAnsi="仿宋_GB2312" w:cs="仿宋_GB2312" w:eastAsia="仿宋_GB2312"/>
                <w:sz w:val="20"/>
                <w:color w:val="0000FF"/>
              </w:rPr>
              <w:t>、项目概况</w:t>
            </w:r>
          </w:p>
          <w:p>
            <w:pPr>
              <w:pStyle w:val="null3"/>
              <w:jc w:val="both"/>
            </w:pPr>
            <w:r>
              <w:rPr>
                <w:rFonts w:ascii="仿宋_GB2312" w:hAnsi="仿宋_GB2312" w:cs="仿宋_GB2312" w:eastAsia="仿宋_GB2312"/>
                <w:sz w:val="20"/>
                <w:color w:val="0000FF"/>
              </w:rPr>
              <w:t>张良庙</w:t>
            </w:r>
            <w:r>
              <w:rPr>
                <w:rFonts w:ascii="仿宋_GB2312" w:hAnsi="仿宋_GB2312" w:cs="仿宋_GB2312" w:eastAsia="仿宋_GB2312"/>
                <w:sz w:val="20"/>
                <w:color w:val="0000FF"/>
              </w:rPr>
              <w:t>-紫柏山风景名胜区位于汉中市留坝县西北部，坐落于秦岭腹地、汉江与嘉陵江分水岭地带，地跨留坝、凤县两县交界区域。景区紧邻316国道，距汉中市区、西安市区距离适中，区位交通条件优越，是集秦岭山地自然风貌与张良历史人文文化于一体的省级风景名胜。张良庙-紫柏山风景名胜区海拔高度介于1250-2610米之间，归并后面积约8538.39公顷（规划范围面积具体以主管部门批复的自然保护地整合优化成果范围面积为准）。张良庙-紫柏山风景名胜区由张良庙人文古建片区、紫柏山高山生态片区两大核心板块组成，涵盖古建筑人文游览、高山草甸天坦观光、森林生态休闲、山地康养度假等功能板块。其中张良庙为历史宗教古建筑群，人文底蕴深厚；紫柏山拥有秦岭独特高山天坦、草甸、溶洞及森林景观，自然禀赋优越，两大板块山水相依、人文与自然相融，共同构成集历史文化观光、生态康养、避暑休闲、山地研学于一体的综合性省级风景名胜区。</w:t>
            </w:r>
          </w:p>
          <w:p>
            <w:pPr>
              <w:pStyle w:val="null3"/>
              <w:jc w:val="both"/>
            </w:pPr>
            <w:r>
              <w:rPr>
                <w:rFonts w:ascii="仿宋_GB2312" w:hAnsi="仿宋_GB2312" w:cs="仿宋_GB2312" w:eastAsia="仿宋_GB2312"/>
                <w:sz w:val="20"/>
                <w:color w:val="0000FF"/>
              </w:rPr>
              <w:t>二</w:t>
            </w:r>
            <w:r>
              <w:rPr>
                <w:rFonts w:ascii="仿宋_GB2312" w:hAnsi="仿宋_GB2312" w:cs="仿宋_GB2312" w:eastAsia="仿宋_GB2312"/>
                <w:sz w:val="20"/>
                <w:color w:val="0000FF"/>
              </w:rPr>
              <w:t>、采购需求</w:t>
            </w:r>
          </w:p>
          <w:p>
            <w:pPr>
              <w:pStyle w:val="null3"/>
              <w:jc w:val="both"/>
            </w:pPr>
            <w:r>
              <w:rPr>
                <w:rFonts w:ascii="仿宋_GB2312" w:hAnsi="仿宋_GB2312" w:cs="仿宋_GB2312" w:eastAsia="仿宋_GB2312"/>
                <w:sz w:val="20"/>
                <w:color w:val="0000FF"/>
              </w:rPr>
              <w:t>2.1规划编制服务（结合张良庙-紫柏山风景名胜区上一版规划实施情况、整合优化方案以及国土空间规划、旅游发展规划等相关上位规划，对张良庙-紫柏山风景名胜区规划区域进行外业调查、资料收集、编制完成《张良庙-紫柏山风景名胜区总体规划修编》，配合甲方进行专家评审，并通过主管部门批复）</w:t>
            </w:r>
            <w:r>
              <w:rPr>
                <w:rFonts w:ascii="仿宋_GB2312" w:hAnsi="仿宋_GB2312" w:cs="仿宋_GB2312" w:eastAsia="仿宋_GB2312"/>
                <w:sz w:val="20"/>
                <w:color w:val="0000FF"/>
              </w:rPr>
              <w:t>。</w:t>
            </w:r>
          </w:p>
          <w:p>
            <w:pPr>
              <w:pStyle w:val="null3"/>
              <w:jc w:val="both"/>
            </w:pPr>
            <w:r>
              <w:rPr>
                <w:rFonts w:ascii="仿宋_GB2312" w:hAnsi="仿宋_GB2312" w:cs="仿宋_GB2312" w:eastAsia="仿宋_GB2312"/>
                <w:sz w:val="20"/>
                <w:color w:val="0000FF"/>
              </w:rPr>
              <w:t>2.2风景资源调查评价服务（对张良庙-紫柏山风景名胜区自然景观资源、人文景观资源、生态康养资源、科普教育资源等各类风景资源进行全覆盖普查及评价，登记资源名称、地理位置、资源类型、资源规模、保存现状、保护等级、权属归属等基础信息，建立风景资源台账与资源分布图件，建立风景资源资源等级划分图等成果）。</w:t>
            </w:r>
          </w:p>
          <w:p>
            <w:pPr>
              <w:pStyle w:val="null3"/>
              <w:jc w:val="both"/>
            </w:pPr>
            <w:r>
              <w:rPr>
                <w:rFonts w:ascii="仿宋_GB2312" w:hAnsi="仿宋_GB2312" w:cs="仿宋_GB2312" w:eastAsia="仿宋_GB2312"/>
                <w:sz w:val="20"/>
                <w:color w:val="0000FF"/>
              </w:rPr>
              <w:t>三</w:t>
            </w:r>
            <w:r>
              <w:rPr>
                <w:rFonts w:ascii="仿宋_GB2312" w:hAnsi="仿宋_GB2312" w:cs="仿宋_GB2312" w:eastAsia="仿宋_GB2312"/>
                <w:sz w:val="20"/>
                <w:color w:val="0000FF"/>
              </w:rPr>
              <w:t>、技术要求</w:t>
            </w:r>
          </w:p>
          <w:p>
            <w:pPr>
              <w:pStyle w:val="null3"/>
              <w:jc w:val="both"/>
            </w:pPr>
            <w:r>
              <w:rPr>
                <w:rFonts w:ascii="仿宋_GB2312" w:hAnsi="仿宋_GB2312" w:cs="仿宋_GB2312" w:eastAsia="仿宋_GB2312"/>
                <w:sz w:val="20"/>
                <w:color w:val="0000FF"/>
              </w:rPr>
              <w:t>按照《风景名胜区条例》（</w:t>
            </w:r>
            <w:r>
              <w:rPr>
                <w:rFonts w:ascii="仿宋_GB2312" w:hAnsi="仿宋_GB2312" w:cs="仿宋_GB2312" w:eastAsia="仿宋_GB2312"/>
                <w:sz w:val="20"/>
                <w:color w:val="0000FF"/>
              </w:rPr>
              <w:t>2026年1月30日第二次修订）、《陕西省风景名胜区管理条例》、《国家级风景名胜区规划编制审批办法》（住建部令第55号）、《关于规范国家级风景名胜区总体规划上报成果的规定（暂行）》（建城〔2013〕147号）、《风景名胜区总体规划标准（GB/T 50298-2018）》、《风景名胜区管理通用标准（GB/T 34335-2017）》等相关现行或现有法律法规和技术标准，以及《陕西省秦岭生态环境保护总体规划》（陕政办发〔2020〕13号）、《陕西省秦岭重点保护区一般保护区产业准入清单》（陕发改秦岭（2023）632号）、《自然资源部 生态环境部 国家林业和草原局关于加强生态保护红线管理的通知（试行）》（自然资发〔2022〕142号）、《陕西省自然资源厅 陕西省生态环境厅 陕西省林业局关于加强生态保护红线管理的通知（试行）》（陕自然资规〔2023〕2号）等政策文件规定，结合最新自然保护地整合优化相关政策要求，规划深度达到《风景名胜区总体规划标准（GB/T 50298-2018）》等相关技术要求，满足上报审批</w:t>
            </w:r>
            <w:r>
              <w:rPr>
                <w:rFonts w:ascii="仿宋_GB2312" w:hAnsi="仿宋_GB2312" w:cs="仿宋_GB2312" w:eastAsia="仿宋_GB2312"/>
                <w:sz w:val="20"/>
                <w:color w:val="0000FF"/>
              </w:rPr>
              <w:t>，与新标准不一致的，以新标准为准。</w:t>
            </w:r>
          </w:p>
          <w:p>
            <w:pPr>
              <w:pStyle w:val="null3"/>
              <w:jc w:val="both"/>
            </w:pPr>
            <w:r>
              <w:rPr>
                <w:rFonts w:ascii="仿宋_GB2312" w:hAnsi="仿宋_GB2312" w:cs="仿宋_GB2312" w:eastAsia="仿宋_GB2312"/>
                <w:sz w:val="20"/>
                <w:color w:val="0000FF"/>
              </w:rPr>
              <w:t>五、成果文件：</w:t>
            </w:r>
            <w:r>
              <w:rPr>
                <w:rFonts w:ascii="仿宋_GB2312" w:hAnsi="仿宋_GB2312" w:cs="仿宋_GB2312" w:eastAsia="仿宋_GB2312"/>
                <w:sz w:val="20"/>
                <w:color w:val="0000FF"/>
              </w:rPr>
              <w:t>10套（含电子版1份）</w:t>
            </w:r>
          </w:p>
          <w:p>
            <w:pPr>
              <w:pStyle w:val="null3"/>
              <w:jc w:val="both"/>
            </w:pPr>
            <w:r>
              <w:rPr>
                <w:rFonts w:ascii="仿宋_GB2312" w:hAnsi="仿宋_GB2312" w:cs="仿宋_GB2312" w:eastAsia="仿宋_GB2312"/>
                <w:sz w:val="20"/>
                <w:color w:val="0000FF"/>
              </w:rPr>
              <w:t>六、服务周期</w:t>
            </w:r>
          </w:p>
          <w:p>
            <w:pPr>
              <w:pStyle w:val="null3"/>
              <w:jc w:val="both"/>
            </w:pPr>
            <w:r>
              <w:rPr>
                <w:rFonts w:ascii="仿宋_GB2312" w:hAnsi="仿宋_GB2312" w:cs="仿宋_GB2312" w:eastAsia="仿宋_GB2312"/>
                <w:sz w:val="20"/>
                <w:color w:val="0000FF"/>
              </w:rPr>
              <w:t>自合同签订之日起</w:t>
            </w:r>
            <w:r>
              <w:rPr>
                <w:rFonts w:ascii="仿宋_GB2312" w:hAnsi="仿宋_GB2312" w:cs="仿宋_GB2312" w:eastAsia="仿宋_GB2312"/>
                <w:sz w:val="20"/>
                <w:color w:val="0000FF"/>
              </w:rPr>
              <w:t>150日历天内完成（在规划编制和报送审批中具体以国家自然保护地整合优化成果批复时间为准）</w:t>
            </w:r>
            <w:r>
              <w:rPr>
                <w:rFonts w:ascii="仿宋_GB2312" w:hAnsi="仿宋_GB2312" w:cs="仿宋_GB2312" w:eastAsia="仿宋_GB2312"/>
                <w:sz w:val="20"/>
                <w:color w:val="0000FF"/>
              </w:rPr>
              <w:t>。</w:t>
            </w:r>
          </w:p>
          <w:p>
            <w:pPr>
              <w:pStyle w:val="null3"/>
              <w:jc w:val="both"/>
            </w:pPr>
            <w:r>
              <w:rPr>
                <w:rFonts w:ascii="仿宋_GB2312" w:hAnsi="仿宋_GB2312" w:cs="仿宋_GB2312" w:eastAsia="仿宋_GB2312"/>
                <w:sz w:val="20"/>
                <w:color w:val="0000FF"/>
              </w:rPr>
              <w:t>七、质量标准</w:t>
            </w:r>
          </w:p>
          <w:p>
            <w:pPr>
              <w:pStyle w:val="null3"/>
              <w:jc w:val="both"/>
            </w:pPr>
            <w:r>
              <w:rPr>
                <w:rFonts w:ascii="仿宋_GB2312" w:hAnsi="仿宋_GB2312" w:cs="仿宋_GB2312" w:eastAsia="仿宋_GB2312"/>
                <w:sz w:val="20"/>
                <w:color w:val="0000FF"/>
              </w:rPr>
              <w:t>成果符合《风景名胜区条例》（</w:t>
            </w:r>
            <w:r>
              <w:rPr>
                <w:rFonts w:ascii="仿宋_GB2312" w:hAnsi="仿宋_GB2312" w:cs="仿宋_GB2312" w:eastAsia="仿宋_GB2312"/>
                <w:sz w:val="20"/>
                <w:color w:val="0000FF"/>
              </w:rPr>
              <w:t>2026年1月30日第二次修订）、《风景名胜区总体规划标准（GB/T 50298-2018）》等相关现行或现有法律法规，符合行业规范标准要求，满足上报审批</w:t>
            </w:r>
            <w:r>
              <w:rPr>
                <w:rFonts w:ascii="仿宋_GB2312" w:hAnsi="仿宋_GB2312" w:cs="仿宋_GB2312" w:eastAsia="仿宋_GB2312"/>
                <w:sz w:val="20"/>
                <w:color w:val="0000FF"/>
              </w:rPr>
              <w:t>。</w:t>
            </w:r>
          </w:p>
          <w:p>
            <w:pPr>
              <w:pStyle w:val="null3"/>
              <w:jc w:val="both"/>
            </w:pPr>
            <w:r>
              <w:rPr>
                <w:rFonts w:ascii="仿宋_GB2312" w:hAnsi="仿宋_GB2312" w:cs="仿宋_GB2312" w:eastAsia="仿宋_GB2312"/>
                <w:sz w:val="20"/>
                <w:color w:val="0000FF"/>
              </w:rPr>
              <w:t>六、付款条件</w:t>
            </w:r>
          </w:p>
          <w:p>
            <w:pPr>
              <w:pStyle w:val="null3"/>
            </w:pPr>
            <w:r>
              <w:rPr>
                <w:rFonts w:ascii="仿宋_GB2312" w:hAnsi="仿宋_GB2312" w:cs="仿宋_GB2312" w:eastAsia="仿宋_GB2312"/>
              </w:rPr>
              <w:t xml:space="preserve"> </w:t>
            </w:r>
            <w:r>
              <w:rPr>
                <w:rFonts w:ascii="仿宋_GB2312" w:hAnsi="仿宋_GB2312" w:cs="仿宋_GB2312" w:eastAsia="仿宋_GB2312"/>
                <w:sz w:val="20"/>
                <w:color w:val="0000FF"/>
              </w:rPr>
              <w:t>第一次支付：合同签订后</w:t>
            </w:r>
            <w:r>
              <w:rPr>
                <w:rFonts w:ascii="仿宋_GB2312" w:hAnsi="仿宋_GB2312" w:cs="仿宋_GB2312" w:eastAsia="仿宋_GB2312"/>
                <w:sz w:val="20"/>
                <w:color w:val="0000FF"/>
              </w:rPr>
              <w:t>5个日历天内，甲方向乙方支付合同总金额的40%</w:t>
            </w:r>
            <w:r>
              <w:rPr>
                <w:rFonts w:ascii="仿宋_GB2312" w:hAnsi="仿宋_GB2312" w:cs="仿宋_GB2312" w:eastAsia="仿宋_GB2312"/>
                <w:sz w:val="20"/>
                <w:color w:val="0000FF"/>
              </w:rPr>
              <w:t>；</w:t>
            </w:r>
            <w:r>
              <w:rPr>
                <w:rFonts w:ascii="仿宋_GB2312" w:hAnsi="仿宋_GB2312" w:cs="仿宋_GB2312" w:eastAsia="仿宋_GB2312"/>
                <w:sz w:val="20"/>
                <w:color w:val="0000FF"/>
              </w:rPr>
              <w:t>第二次支付：乙方编制完成规划送审稿并提供甲方后</w:t>
            </w:r>
            <w:r>
              <w:rPr>
                <w:rFonts w:ascii="仿宋_GB2312" w:hAnsi="仿宋_GB2312" w:cs="仿宋_GB2312" w:eastAsia="仿宋_GB2312"/>
                <w:sz w:val="20"/>
                <w:color w:val="0000FF"/>
              </w:rPr>
              <w:t>5个日历天内，甲方向乙方支付合同总金额的40%</w:t>
            </w:r>
            <w:r>
              <w:rPr>
                <w:rFonts w:ascii="仿宋_GB2312" w:hAnsi="仿宋_GB2312" w:cs="仿宋_GB2312" w:eastAsia="仿宋_GB2312"/>
                <w:sz w:val="20"/>
                <w:color w:val="0000FF"/>
              </w:rPr>
              <w:t>；</w:t>
            </w:r>
            <w:r>
              <w:rPr>
                <w:rFonts w:ascii="仿宋_GB2312" w:hAnsi="仿宋_GB2312" w:cs="仿宋_GB2312" w:eastAsia="仿宋_GB2312"/>
                <w:sz w:val="20"/>
                <w:color w:val="0000FF"/>
              </w:rPr>
              <w:t>第</w:t>
            </w:r>
            <w:r>
              <w:rPr>
                <w:rFonts w:ascii="仿宋_GB2312" w:hAnsi="仿宋_GB2312" w:cs="仿宋_GB2312" w:eastAsia="仿宋_GB2312"/>
                <w:sz w:val="20"/>
                <w:color w:val="0000FF"/>
              </w:rPr>
              <w:t>三</w:t>
            </w:r>
            <w:r>
              <w:rPr>
                <w:rFonts w:ascii="仿宋_GB2312" w:hAnsi="仿宋_GB2312" w:cs="仿宋_GB2312" w:eastAsia="仿宋_GB2312"/>
                <w:sz w:val="20"/>
                <w:color w:val="0000FF"/>
              </w:rPr>
              <w:t>次支付：乙方提交规划成果通过主管部门组织的专家评审后</w:t>
            </w:r>
            <w:r>
              <w:rPr>
                <w:rFonts w:ascii="仿宋_GB2312" w:hAnsi="仿宋_GB2312" w:cs="仿宋_GB2312" w:eastAsia="仿宋_GB2312"/>
                <w:sz w:val="20"/>
                <w:color w:val="0000FF"/>
              </w:rPr>
              <w:t>5个日历天内，甲方向乙方支付合同总金额的20%</w:t>
            </w:r>
            <w:r>
              <w:rPr>
                <w:rFonts w:ascii="仿宋_GB2312" w:hAnsi="仿宋_GB2312" w:cs="仿宋_GB2312" w:eastAsia="仿宋_GB2312"/>
                <w:sz w:val="2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自合同签订之日起150日历天内完成（在规划编制和报送审批中具体以国家自然保护地整合优化成果批复时间为准）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陕西省汉中市留坝县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成果符合《风景名胜区条例》（2026年1月30日第二次修订）、《风景名胜区总体规划标准（GB/T 50298-2018）》等相关现行或现有法律法规，符合行业规范标准要求，满足上报审批。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进度款，合同签订后5个日历天内，甲方向乙方支付合同总金额的40%，达到付款条件起5个工作日内，支付合同总金额的40.0%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进度款，乙方编制完成规划送审稿并提供甲方后5个日历天内，甲方向乙方支付合同总金额的40%，达到付款条件起5个工作日内，支付合同总金额的40.0%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进度款，乙方提交规划成果通过主管部门组织的专家评审后5个日历天内，甲方向乙方支付合同总金额的20%，达到付款条件起5个工作日内，支付合同总金额的20.0%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提供会计师事务所出具的完整的2024年度或2025年度审计报告（成立时间至提交磋商响应文件截止时间不足一年的可提供成立后任意时段的资产负债表），或提交磋商响应截止时间前6个月内银行出具的资信证明，或信用担保机构出具的担保函（以上三种形式的资料提供任何一种即可）；其他组织和自然人提供银行出具的资信证明或财务报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营业执照或其他主体证明资料</w:t>
            </w:r>
          </w:p>
        </w:tc>
        <w:tc>
          <w:tcPr>
            <w:tcW w:type="dxa" w:w="3322"/>
          </w:tcPr>
          <w:p>
            <w:pPr>
              <w:pStyle w:val="null3"/>
            </w:pPr>
            <w:r>
              <w:rPr>
                <w:rFonts w:ascii="仿宋_GB2312" w:hAnsi="仿宋_GB2312" w:cs="仿宋_GB2312" w:eastAsia="仿宋_GB2312"/>
              </w:rPr>
              <w:t>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1、供应商须具有城乡规划(国土空间规划)编制单位乙级及以上资质。 2、供应商须具有工程设计综合资质甲级或风景园林设计专项乙级及以上资质。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项目负责人应具有城市(乡)规划相关专业或风景园林相关专业高级及以上职称证书（如联合体参与，任意一方具有均可，提供投标供应商本单位近一年内任意一个月的社会保险缴纳证明材料，若社保由投标供应商上级主管单位或所属法人主体代缴的，可提供该单位缴纳的社保证明，同时附双方隶属关系、人事管理相关证明材料；若为退休人员，无需提供社保证明，须提供退休证（或退休证明文件）及返聘合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 注：以响应文件中加盖单位公章的基本资格条件承诺函为准。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接受联合体磋商，联合体参加磋商的，应满足下列要求：联合体成员数量不得超过2家，联合体须由城乡规划(国土空间规划)编制单位牵头，联合体牵头单位代表联合体各方办理本项目磋商活动过程中的一切事务。牵头单位和其法定代表人或其委托代理人的印章或签字代表联合体各成员单位相应的印章或签字。联合体各方不得再以自己的名义单独或参加其他联合体在本项目的磋商，否则磋商响应将被拒绝。以上证明资料涉及到联合体的，须同时提供联合体牵头人及联合体成员资料（联合体单位参加磋商的，证明资料中“法定代表人身份证明或法定代表人授权书”仅须由牵头单位出具）。</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据财政部《关于推动解决政府采购异常低价问题的通知》（财库〔2026〕2号）“政府采购评审中出现下列情形之一的，评审委员会应当启动异常低价投标（响应）审查程序”： ①投标（响应）报价低于全部通过符合性审查投标人投标（响应）报价平均值65%的，即投标（响应）报价&lt;全部通过符合性审查投标人投标（响应）报价平均值×65%； ②投标（响应）报价低于通过符合性审查的次低报价投标人投标（响应）报价65%的，即投标（响应）报价&lt;通过符合性审查的次低报价投标人投标（响应）报价×65%； ③投标（响应）报价低于采购项目最高限价65%的，即投标（响应）报价&lt;采购项目最高限价×65%； ④评审委员会基于专业判断，认为投标人报价过低，有可能影响产品质量或者不能诚信履约的其他情形。 ⑤投标人提交的相关说明和证明材料，应当加盖投标人（法定名称）印章，相关投标人应于30分钟内（含30分钟）按评标委员会要求提供相应证明材料，通过书面形式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法定代表人或法定代表人授权书</w:t>
            </w:r>
          </w:p>
        </w:tc>
        <w:tc>
          <w:tcPr>
            <w:tcW w:type="dxa" w:w="3322"/>
          </w:tcPr>
          <w:p>
            <w:pPr>
              <w:pStyle w:val="null3"/>
            </w:pPr>
            <w:r>
              <w:rPr>
                <w:rFonts w:ascii="仿宋_GB2312" w:hAnsi="仿宋_GB2312" w:cs="仿宋_GB2312" w:eastAsia="仿宋_GB2312"/>
              </w:rPr>
              <w:t>1.供应商应授权合法的人员参加磋商全过程，其中法定代表人直接参加磋商的，须出具法定代表人身份证，且与营业执照或其他证明资料上信息一致。法定代表人授权代表参加磋商的，须出具法定代表人授权书及授权代表身份证；自然人参加磋商的须提供身份证。[联合体参与：牵头单位和其法定代表人或其委托代理人的印章或签字代表联合体各成员单位相应的印章或签字。联合体各方不得再以自己的名义单独或参加其他联合体在本项目的磋商，否则磋商响应将被拒绝。以上证明资料涉及到联合体的，须同时提供联合体牵头人及联合体成员资料（联合体单位参加磋商的，证明资料中“法定代表人身份证明或法定代表人授权书”仅须由牵头单位出具）] 注：以磋商响应文件中所附签章齐全的证明资料为准。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每次报价唯一，且未超过采购包最高限价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服务内容及服务邀请应答表.docx 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服务内容及服务邀请应答表.docx 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采购文件条款响应</w:t>
            </w:r>
          </w:p>
        </w:tc>
        <w:tc>
          <w:tcPr>
            <w:tcW w:type="dxa" w:w="3322"/>
          </w:tcPr>
          <w:p>
            <w:pPr>
              <w:pStyle w:val="null3"/>
            </w:pPr>
            <w:r>
              <w:rPr>
                <w:rFonts w:ascii="仿宋_GB2312" w:hAnsi="仿宋_GB2312" w:cs="仿宋_GB2312" w:eastAsia="仿宋_GB2312"/>
              </w:rPr>
              <w:t>对“服务期、付款方式、质量标准”内容进行响应且未附加采购人难以接受的条件</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供应商应提交的相关资格证明材料.docx 供应商认为需要提供的其他资料.docx 中小企业声明函 残疾人福利性单位声明函 标的清单 报价表 服务内容及服务邀请应答表.docx 商务应答表.docx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 1.项目背景调查及解读理解； 2.现行政策的分析、区域环境分析； 3.规划编制的条件认知。 二、评审标准： 项目理解各部分内容全面详细、分析深入、阐述条理清晰详尽、符合本项目采购需求，得12分，每缺一项内容扣4分；每项评审内容每存在1处缺陷的扣1分，扣完本项分值为止。 注：评审标准“缺陷”是指：①响应内容与项目不吻合、层次未细化；②阐述未从实际出发，不切合项目背景及需求；③前后逻辑错误、存在歧义；④无具体详细的阐述、不具备实施性；⑤科学原理或常识错误等。 未提供方案不得分。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1.总体工作思路与理念； 2.总体编制依据、编制原则； 3.规划编制服务方案；4.风景资源调查服务方案； 5.报告成果提交及报批方案； 6. 保密措施； 7.应急预案（①突发事件识别；②应急情况处理措施；③突发事件应急人员安排）； 二、评审标准： 服务方案各部分内容全面详细、思路清晰、措施有力，完全符合本项目的实际需求，得 28分，每缺一项内容扣4 分；每项评审内容每存在 1 处缺陷的扣1分，扣完本项分值为止。 注：评审标准“缺陷”是指：①响应内容与项目不吻合、层次未细化；②阐述未从实际出发，不切合项目背景及需求；③前后逻辑错误、存在歧义；④无具体详细的阐述、不具备实施性；⑤科学原理或常识错误等。 未提供方案不得分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工作进度计划保障措施</w:t>
            </w:r>
          </w:p>
        </w:tc>
        <w:tc>
          <w:tcPr>
            <w:tcW w:type="dxa" w:w="2492"/>
          </w:tcPr>
          <w:p>
            <w:pPr>
              <w:pStyle w:val="null3"/>
            </w:pPr>
            <w:r>
              <w:rPr>
                <w:rFonts w:ascii="仿宋_GB2312" w:hAnsi="仿宋_GB2312" w:cs="仿宋_GB2312" w:eastAsia="仿宋_GB2312"/>
              </w:rPr>
              <w:t>一、评审内容： 1.各项工作任务完成期限与时间节点安排的合理性； 2.任务进度跟踪与管控机制； 3.任务进度偏差调整预案。 二、评审标准： 项目进度保证各部分内容全面详细、节点清晰、管控有力、预案完善、后续保障承诺可行，完全满足本项目的时间要求与审批节奏，得9分，每缺一项内容扣 3分；每项评审内容每存在 1 处缺陷的扣 1 分，扣完本项分值为止。 注：评审标准“缺陷”是指：：①响应内容与项目不吻合、层次未细化；②阐述未从实际出发，不切合项目背景及需求；③前后逻辑错误、存在歧义；④无具体详细的阐述、不具备实施性；⑤科学原理或常识错误等。 未提供方案不得分。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一、评审内容： 1.质量目标与质量控制要点； 2.质量责任与保障体系； 3.全过程质量控制要点； 4.质量问题整改与后续服务承诺。 二、评审标准： 项目服务质量保证方案内容完整、重点突出，保障措施具体可行、针对性强，质量管控逻辑清晰、阐述严谨，完全切合本项目实际需求，得 12分，每缺一项内容扣3分；每项评审内容每存在 1 处缺陷的扣 1分，扣完本项分值为止。 注：评审标准“缺陷”是指：①响应内容与项目不吻合、层次未细化；②阐述未从实际出发，不切合项目背景及需求；③前后逻辑错误、存在歧义；④无具体详细的阐述、不具备实施性；⑤科学原理或常识错误等。 未提供方案不得分。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服务团队配置（1）</w:t>
            </w:r>
          </w:p>
        </w:tc>
        <w:tc>
          <w:tcPr>
            <w:tcW w:type="dxa" w:w="2492"/>
          </w:tcPr>
          <w:p>
            <w:pPr>
              <w:pStyle w:val="null3"/>
            </w:pPr>
            <w:r>
              <w:rPr>
                <w:rFonts w:ascii="仿宋_GB2312" w:hAnsi="仿宋_GB2312" w:cs="仿宋_GB2312" w:eastAsia="仿宋_GB2312"/>
              </w:rPr>
              <w:t>委派本项目团队（除项目负责人外）（1)具有风景园林相关专业高级职称1名，得1.5分； （2）具有城市(乡)规划相关专业高级职称1.5名，得1分，（3）具有注册城乡规划师执业资格1名，得2分； 注：响应文件中需注明团队成员相关信息和在本项目中所承担的职责任务，并提供职称证、资格证书复印件和在供应商本单位近一年内任意一个月的社会保险缴纳证明材料，若社保由投标供应商上级主管单位或所属法人主体代缴的，可提供该单位缴纳的社保证明，同时附双方隶属关系、人事管理相关证明材料；若为退休人员，无需提供社保证明，须提供退休证（或退休证明文件）及返聘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服务团队配置（2）</w:t>
            </w:r>
          </w:p>
        </w:tc>
        <w:tc>
          <w:tcPr>
            <w:tcW w:type="dxa" w:w="2492"/>
          </w:tcPr>
          <w:p>
            <w:pPr>
              <w:pStyle w:val="null3"/>
            </w:pPr>
            <w:r>
              <w:rPr>
                <w:rFonts w:ascii="仿宋_GB2312" w:hAnsi="仿宋_GB2312" w:cs="仿宋_GB2312" w:eastAsia="仿宋_GB2312"/>
              </w:rPr>
              <w:t>针对本项目拟配备服务团队人员架构齐全、数量充足，配备方案详细且合理，逻辑结构清晰，具有针对性计,7分； 针对本项目拟配备服务团队人员架构基本齐全、数量基本充足，配备方案明确且具有一定合理性，逻辑结构基本清晰计7分 ； 针对本项目拟配备服务团队人员架构不齐全、数量基本充足，配备方案含糊，合理性不足计5分 ； 针对本项目拟配备服务团队人员架构不全、数量不足，配备方案含糊，无合理性，计3分； 未提供计0分。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项目负责人能力</w:t>
            </w:r>
          </w:p>
        </w:tc>
        <w:tc>
          <w:tcPr>
            <w:tcW w:type="dxa" w:w="2492"/>
          </w:tcPr>
          <w:p>
            <w:pPr>
              <w:pStyle w:val="null3"/>
            </w:pPr>
            <w:r>
              <w:rPr>
                <w:rFonts w:ascii="仿宋_GB2312" w:hAnsi="仿宋_GB2312" w:cs="仿宋_GB2312" w:eastAsia="仿宋_GB2312"/>
              </w:rPr>
              <w:t>项目负责人获得过省级优秀城乡规划设计奖项的，每具有1个得 2分；获得过全国优秀城乡规划设计奖项的，每具有1个得4分；本项最多6分，同一项目获奖，不重复计分，以最高分计。 注：需提供颁奖单位正式颁奖文件或荣誉证书复印件或颁奖单位官方网站公示截图；证明材料需清晰体现项目名称、获奖者姓名为项目负责人本人、奖项类别及颁奖单位与日期。</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供应商需提供服务承诺（包括但不限于成果报告规范性保障，成果报告完整性保障，成果报告准确性保障等）。 根据承诺内容全面且详细，条理清晰，针对性充足且完全贴合项目需求，计6分； 承诺内容含糊不全面，条理不清晰。针对性不足，计4分； 未提供计0分；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供应商自2022年1月1日至磋商响应文件递交截止时间前类似项目业绩，每提供1份得2.5分，满分5分。 注：以响应文件中所附的合同协议书复印件为准，时间以合同签订时间为准。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1.评审范围：有效的磋商响应总报价（指经初审合格的供应商的磋商响应总报价）。 2.满足磋商文件要求且最后报价最低的供应商的价格为磋商基准价，其价格分为满分。其他供应商的价格分统一按照下列公式计算： 磋商报价得分=（磋商基准价/最后磋商报价）×分值×100。 3.评分分值计算保留小数点后两位，小数点后第三位“四舍五入”。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