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8CA155">
      <w:pPr>
        <w:pStyle w:val="14"/>
        <w:jc w:val="center"/>
        <w:outlineLvl w:val="1"/>
      </w:pPr>
      <w:r>
        <w:rPr>
          <w:rFonts w:ascii="仿宋_GB2312" w:hAnsi="仿宋_GB2312" w:eastAsia="仿宋_GB2312" w:cs="仿宋_GB2312"/>
          <w:b/>
          <w:sz w:val="36"/>
        </w:rPr>
        <w:t>第八章 拟签订采购合同文本</w:t>
      </w:r>
    </w:p>
    <w:p w14:paraId="19FC2BC5">
      <w:pPr>
        <w:pStyle w:val="14"/>
      </w:pPr>
      <w:r>
        <w:rPr>
          <w:rFonts w:ascii="仿宋_GB2312" w:hAnsi="仿宋_GB2312" w:eastAsia="仿宋_GB2312" w:cs="仿宋_GB2312"/>
        </w:rPr>
        <w:t>详见附件：合同范本.docx</w:t>
      </w:r>
    </w:p>
    <w:p w14:paraId="6A80862B">
      <w:pPr>
        <w:pStyle w:val="1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AA981D6">
      <w:pPr>
        <w:tabs>
          <w:tab w:val="left" w:pos="735"/>
        </w:tabs>
        <w:autoSpaceDE w:val="0"/>
        <w:autoSpaceDN w:val="0"/>
        <w:adjustRightInd w:val="0"/>
        <w:snapToGrid w:val="0"/>
        <w:spacing w:line="420" w:lineRule="exact"/>
        <w:jc w:val="center"/>
        <w:rPr>
          <w:rFonts w:hint="eastAsia" w:ascii="仿宋" w:hAnsi="仿宋" w:eastAsia="仿宋" w:cs="仿宋"/>
          <w:b/>
          <w:sz w:val="24"/>
          <w:lang w:val="zh-CN"/>
        </w:rPr>
      </w:pPr>
      <w:r>
        <w:rPr>
          <w:rFonts w:hint="eastAsia" w:ascii="仿宋" w:hAnsi="仿宋" w:eastAsia="仿宋" w:cs="仿宋"/>
          <w:b/>
          <w:sz w:val="36"/>
        </w:rPr>
        <w:t>拟签订采购合同文本</w:t>
      </w:r>
    </w:p>
    <w:p w14:paraId="144790EE">
      <w:pPr>
        <w:autoSpaceDE w:val="0"/>
        <w:autoSpaceDN w:val="0"/>
        <w:adjustRightInd w:val="0"/>
        <w:spacing w:line="360" w:lineRule="auto"/>
        <w:ind w:firstLine="480" w:firstLineChars="200"/>
        <w:rPr>
          <w:rFonts w:hint="eastAsia" w:ascii="仿宋" w:hAnsi="仿宋" w:eastAsia="仿宋" w:cs="仿宋"/>
          <w:b/>
          <w:bCs w:val="0"/>
          <w:sz w:val="24"/>
        </w:rPr>
      </w:pPr>
      <w:r>
        <w:rPr>
          <w:rFonts w:hint="eastAsia" w:ascii="仿宋" w:hAnsi="仿宋" w:eastAsia="仿宋" w:cs="仿宋"/>
          <w:b/>
          <w:bCs w:val="0"/>
          <w:sz w:val="24"/>
        </w:rPr>
        <w:t xml:space="preserve"> （说明：本合同作为合同的基本格式，不作为最终合同，采购人有权在签订合同时对合同的相关条款及内容作进一步的细化和修改。）</w:t>
      </w:r>
    </w:p>
    <w:p w14:paraId="29589E6A">
      <w:pPr>
        <w:autoSpaceDE w:val="0"/>
        <w:autoSpaceDN w:val="0"/>
        <w:adjustRightInd w:val="0"/>
        <w:spacing w:line="360" w:lineRule="auto"/>
        <w:ind w:firstLine="480" w:firstLineChars="200"/>
        <w:rPr>
          <w:rFonts w:hint="eastAsia" w:ascii="仿宋" w:hAnsi="仿宋" w:eastAsia="仿宋" w:cs="仿宋"/>
          <w:bCs/>
          <w:sz w:val="24"/>
        </w:rPr>
      </w:pPr>
    </w:p>
    <w:p w14:paraId="3335A264">
      <w:pPr>
        <w:rPr>
          <w:rFonts w:hint="eastAsia" w:ascii="宋体" w:hAnsi="宋体" w:cs="宋体"/>
          <w:b/>
          <w:sz w:val="36"/>
          <w:szCs w:val="36"/>
        </w:rPr>
      </w:pPr>
    </w:p>
    <w:p w14:paraId="2BA3B3FD">
      <w:pPr>
        <w:spacing w:line="480" w:lineRule="auto"/>
        <w:jc w:val="center"/>
        <w:rPr>
          <w:rFonts w:hint="eastAsia" w:ascii="宋体" w:hAnsi="宋体" w:cs="宋体"/>
          <w:b/>
          <w:bCs/>
          <w:kern w:val="0"/>
          <w:sz w:val="56"/>
          <w:szCs w:val="56"/>
          <w:lang w:bidi="ar"/>
        </w:rPr>
      </w:pPr>
      <w:r>
        <w:rPr>
          <w:rFonts w:hint="eastAsia" w:ascii="宋体" w:hAnsi="宋体" w:cs="宋体"/>
          <w:b/>
          <w:bCs/>
          <w:kern w:val="0"/>
          <w:sz w:val="56"/>
          <w:szCs w:val="56"/>
          <w:lang w:bidi="ar"/>
        </w:rPr>
        <w:t>张良庙紫柏山风景名胜区总体规划修编项目</w:t>
      </w:r>
    </w:p>
    <w:p w14:paraId="423CCCB3">
      <w:pPr>
        <w:spacing w:line="480" w:lineRule="auto"/>
        <w:jc w:val="center"/>
        <w:rPr>
          <w:rFonts w:hint="eastAsia" w:ascii="宋体" w:hAnsi="宋体" w:cs="宋体"/>
          <w:b/>
          <w:bCs/>
          <w:kern w:val="0"/>
          <w:sz w:val="48"/>
          <w:szCs w:val="48"/>
          <w:lang w:bidi="ar"/>
        </w:rPr>
      </w:pPr>
    </w:p>
    <w:p w14:paraId="3185B610">
      <w:pPr>
        <w:spacing w:line="480" w:lineRule="auto"/>
        <w:jc w:val="center"/>
        <w:rPr>
          <w:b/>
          <w:sz w:val="72"/>
          <w:szCs w:val="72"/>
        </w:rPr>
      </w:pPr>
      <w:r>
        <w:rPr>
          <w:rFonts w:hint="eastAsia"/>
          <w:b/>
          <w:sz w:val="72"/>
          <w:szCs w:val="72"/>
        </w:rPr>
        <w:t>技术服务合同</w:t>
      </w:r>
    </w:p>
    <w:p w14:paraId="71A63EC7">
      <w:pPr>
        <w:spacing w:line="900" w:lineRule="exact"/>
        <w:rPr>
          <w:b/>
          <w:sz w:val="32"/>
          <w:szCs w:val="32"/>
        </w:rPr>
      </w:pPr>
    </w:p>
    <w:p w14:paraId="11C356A0">
      <w:pPr>
        <w:pStyle w:val="10"/>
        <w:ind w:firstLine="400"/>
        <w:rPr>
          <w:rFonts w:hint="eastAsia"/>
        </w:rPr>
      </w:pPr>
    </w:p>
    <w:p w14:paraId="0DDEF532">
      <w:pPr>
        <w:spacing w:line="720" w:lineRule="auto"/>
        <w:rPr>
          <w:b/>
          <w:sz w:val="32"/>
          <w:szCs w:val="32"/>
        </w:rPr>
      </w:pPr>
    </w:p>
    <w:p w14:paraId="3D713410">
      <w:pPr>
        <w:spacing w:line="720" w:lineRule="auto"/>
        <w:ind w:left="298" w:leftChars="142" w:firstLine="300" w:firstLineChars="100"/>
        <w:rPr>
          <w:sz w:val="30"/>
          <w:szCs w:val="30"/>
          <w:u w:val="single"/>
        </w:rPr>
      </w:pPr>
      <w:r>
        <w:rPr>
          <w:rFonts w:hint="eastAsia"/>
          <w:b/>
          <w:sz w:val="30"/>
          <w:szCs w:val="30"/>
        </w:rPr>
        <w:t>项目名称：</w:t>
      </w:r>
      <w:r>
        <w:rPr>
          <w:rFonts w:hint="eastAsia"/>
          <w:bCs/>
          <w:sz w:val="30"/>
          <w:szCs w:val="30"/>
          <w:u w:val="single"/>
        </w:rPr>
        <w:t xml:space="preserve">                                             </w:t>
      </w:r>
    </w:p>
    <w:p w14:paraId="3AE72CCB">
      <w:pPr>
        <w:spacing w:line="720" w:lineRule="auto"/>
        <w:ind w:left="298" w:leftChars="142" w:firstLine="300" w:firstLineChars="100"/>
        <w:rPr>
          <w:sz w:val="30"/>
          <w:szCs w:val="30"/>
          <w:u w:val="single"/>
        </w:rPr>
      </w:pPr>
      <w:r>
        <w:rPr>
          <w:rFonts w:hint="eastAsia"/>
          <w:b/>
          <w:sz w:val="30"/>
          <w:szCs w:val="30"/>
        </w:rPr>
        <w:t>项目编号：</w:t>
      </w:r>
      <w:r>
        <w:rPr>
          <w:rFonts w:hint="eastAsia"/>
          <w:bCs/>
          <w:sz w:val="30"/>
          <w:szCs w:val="30"/>
          <w:u w:val="single"/>
        </w:rPr>
        <w:t xml:space="preserve">                                   </w:t>
      </w:r>
      <w:r>
        <w:rPr>
          <w:rFonts w:hint="eastAsia"/>
          <w:sz w:val="30"/>
          <w:szCs w:val="30"/>
          <w:u w:val="single"/>
        </w:rPr>
        <w:t xml:space="preserve">           </w:t>
      </w:r>
    </w:p>
    <w:p w14:paraId="51AE3F90">
      <w:pPr>
        <w:spacing w:line="720" w:lineRule="auto"/>
        <w:ind w:firstLine="600" w:firstLineChars="200"/>
        <w:rPr>
          <w:sz w:val="30"/>
          <w:szCs w:val="30"/>
          <w:u w:val="single"/>
        </w:rPr>
      </w:pPr>
      <w:r>
        <w:rPr>
          <w:rFonts w:hint="eastAsia"/>
          <w:b/>
          <w:sz w:val="30"/>
          <w:szCs w:val="30"/>
        </w:rPr>
        <w:t>甲    方：</w:t>
      </w:r>
      <w:r>
        <w:rPr>
          <w:rFonts w:hint="eastAsia"/>
          <w:bCs/>
          <w:sz w:val="30"/>
          <w:szCs w:val="30"/>
          <w:u w:val="single"/>
        </w:rPr>
        <w:t xml:space="preserve">                                       </w:t>
      </w:r>
      <w:r>
        <w:rPr>
          <w:rFonts w:hint="eastAsia"/>
          <w:sz w:val="30"/>
          <w:szCs w:val="30"/>
          <w:u w:val="single"/>
        </w:rPr>
        <w:t xml:space="preserve">      </w:t>
      </w:r>
    </w:p>
    <w:p w14:paraId="24C94CA8">
      <w:pPr>
        <w:spacing w:line="720" w:lineRule="auto"/>
        <w:ind w:firstLine="600" w:firstLineChars="200"/>
        <w:rPr>
          <w:sz w:val="30"/>
          <w:szCs w:val="30"/>
          <w:u w:val="single"/>
        </w:rPr>
      </w:pPr>
      <w:r>
        <w:rPr>
          <w:rFonts w:hint="eastAsia"/>
          <w:b/>
          <w:sz w:val="30"/>
          <w:szCs w:val="30"/>
        </w:rPr>
        <w:t>乙    方：</w:t>
      </w:r>
      <w:r>
        <w:rPr>
          <w:rFonts w:hint="eastAsia"/>
          <w:bCs/>
          <w:sz w:val="30"/>
          <w:szCs w:val="30"/>
          <w:u w:val="single"/>
        </w:rPr>
        <w:t xml:space="preserve">                                             </w:t>
      </w:r>
    </w:p>
    <w:p w14:paraId="598E9E99">
      <w:pPr>
        <w:spacing w:line="720" w:lineRule="auto"/>
        <w:ind w:firstLine="600" w:firstLineChars="200"/>
        <w:rPr>
          <w:sz w:val="30"/>
          <w:szCs w:val="30"/>
          <w:u w:val="single"/>
        </w:rPr>
      </w:pPr>
      <w:r>
        <w:rPr>
          <w:rFonts w:hint="eastAsia"/>
          <w:b/>
          <w:sz w:val="30"/>
          <w:szCs w:val="30"/>
        </w:rPr>
        <w:t>项目地点：</w:t>
      </w:r>
      <w:r>
        <w:rPr>
          <w:rFonts w:hint="eastAsia"/>
          <w:bCs/>
          <w:sz w:val="30"/>
          <w:szCs w:val="30"/>
          <w:u w:val="single"/>
        </w:rPr>
        <w:t xml:space="preserve">                                    </w:t>
      </w:r>
      <w:r>
        <w:rPr>
          <w:rFonts w:hint="eastAsia"/>
          <w:sz w:val="30"/>
          <w:szCs w:val="30"/>
          <w:u w:val="single"/>
        </w:rPr>
        <w:t xml:space="preserve">              </w:t>
      </w:r>
    </w:p>
    <w:p w14:paraId="4F673E0E">
      <w:pPr>
        <w:spacing w:line="720" w:lineRule="auto"/>
        <w:ind w:firstLine="600" w:firstLineChars="200"/>
        <w:rPr>
          <w:sz w:val="30"/>
          <w:szCs w:val="30"/>
          <w:u w:val="single"/>
        </w:rPr>
      </w:pPr>
      <w:r>
        <w:rPr>
          <w:rFonts w:hint="eastAsia"/>
          <w:b/>
          <w:sz w:val="30"/>
          <w:szCs w:val="30"/>
        </w:rPr>
        <w:t>签订日期：</w:t>
      </w:r>
      <w:r>
        <w:rPr>
          <w:rFonts w:hint="eastAsia"/>
          <w:sz w:val="30"/>
          <w:szCs w:val="30"/>
          <w:u w:val="single"/>
        </w:rPr>
        <w:t xml:space="preserve">              年    月    日                        </w:t>
      </w:r>
    </w:p>
    <w:p w14:paraId="7B03C665">
      <w:pPr>
        <w:pStyle w:val="10"/>
        <w:ind w:firstLine="400"/>
        <w:rPr>
          <w:rFonts w:hint="eastAsia"/>
        </w:rPr>
        <w:sectPr>
          <w:footerReference r:id="rId3" w:type="default"/>
          <w:footerReference r:id="rId4" w:type="even"/>
          <w:pgSz w:w="11906" w:h="16838"/>
          <w:pgMar w:top="1440" w:right="1440" w:bottom="1440" w:left="1440" w:header="851" w:footer="992" w:gutter="0"/>
          <w:cols w:space="720" w:num="1"/>
          <w:titlePg/>
          <w:docGrid w:type="linesAndChars" w:linePitch="312" w:charSpace="0"/>
        </w:sectPr>
      </w:pPr>
    </w:p>
    <w:p w14:paraId="39D19BF0">
      <w:pPr>
        <w:spacing w:line="960" w:lineRule="auto"/>
        <w:ind w:firstLine="705" w:firstLineChars="196"/>
        <w:rPr>
          <w:b/>
          <w:sz w:val="36"/>
          <w:szCs w:val="36"/>
        </w:rPr>
        <w:sectPr>
          <w:footerReference r:id="rId5" w:type="default"/>
          <w:type w:val="continuous"/>
          <w:pgSz w:w="11906" w:h="16838"/>
          <w:pgMar w:top="1440" w:right="1440" w:bottom="1440" w:left="1440" w:header="851" w:footer="992" w:gutter="0"/>
          <w:cols w:space="720" w:num="1"/>
          <w:docGrid w:type="linesAndChars" w:linePitch="312" w:charSpace="0"/>
        </w:sectPr>
      </w:pPr>
    </w:p>
    <w:p w14:paraId="395816F6">
      <w:pPr>
        <w:jc w:val="center"/>
        <w:rPr>
          <w:b/>
          <w:sz w:val="44"/>
          <w:szCs w:val="44"/>
        </w:rPr>
      </w:pPr>
      <w:r>
        <w:rPr>
          <w:rFonts w:hint="eastAsia"/>
          <w:b/>
          <w:sz w:val="44"/>
          <w:szCs w:val="44"/>
        </w:rPr>
        <w:t xml:space="preserve">合 同 书 </w:t>
      </w:r>
    </w:p>
    <w:p w14:paraId="0375ADDE">
      <w:pPr>
        <w:spacing w:line="520" w:lineRule="exact"/>
        <w:rPr>
          <w:b/>
          <w:sz w:val="28"/>
          <w:szCs w:val="28"/>
        </w:rPr>
      </w:pPr>
    </w:p>
    <w:p w14:paraId="549BD099">
      <w:pPr>
        <w:spacing w:line="520" w:lineRule="exact"/>
        <w:rPr>
          <w:rFonts w:hint="eastAsia" w:ascii="宋体" w:hAnsi="宋体" w:cs="宋体"/>
          <w:sz w:val="28"/>
          <w:szCs w:val="28"/>
          <w:u w:val="single"/>
        </w:rPr>
      </w:pPr>
      <w:r>
        <w:rPr>
          <w:rFonts w:hint="eastAsia" w:ascii="宋体" w:hAnsi="宋体" w:cs="宋体"/>
          <w:b/>
          <w:sz w:val="28"/>
          <w:szCs w:val="28"/>
        </w:rPr>
        <w:t>甲方：</w:t>
      </w:r>
      <w:r>
        <w:rPr>
          <w:rFonts w:hint="eastAsia" w:ascii="宋体" w:hAnsi="宋体" w:cs="宋体"/>
          <w:bCs/>
          <w:sz w:val="28"/>
          <w:szCs w:val="28"/>
          <w:u w:val="single"/>
        </w:rPr>
        <w:t xml:space="preserve">                                             </w:t>
      </w:r>
    </w:p>
    <w:p w14:paraId="789E6B33">
      <w:pPr>
        <w:spacing w:line="520" w:lineRule="exact"/>
        <w:rPr>
          <w:rFonts w:hint="eastAsia" w:ascii="宋体" w:hAnsi="宋体" w:cs="宋体"/>
          <w:sz w:val="28"/>
          <w:szCs w:val="28"/>
          <w:u w:val="single"/>
        </w:rPr>
      </w:pPr>
      <w:r>
        <w:rPr>
          <w:rFonts w:hint="eastAsia" w:ascii="宋体" w:hAnsi="宋体" w:cs="宋体"/>
          <w:b/>
          <w:sz w:val="28"/>
          <w:szCs w:val="28"/>
        </w:rPr>
        <w:t>乙方：</w:t>
      </w:r>
      <w:r>
        <w:rPr>
          <w:rFonts w:hint="eastAsia" w:ascii="宋体" w:hAnsi="宋体" w:cs="宋体"/>
          <w:sz w:val="28"/>
          <w:szCs w:val="28"/>
          <w:u w:val="single"/>
        </w:rPr>
        <w:t xml:space="preserve">                                             </w:t>
      </w:r>
    </w:p>
    <w:p w14:paraId="708379C3">
      <w:pPr>
        <w:spacing w:line="520" w:lineRule="exact"/>
        <w:ind w:firstLine="560" w:firstLineChars="200"/>
        <w:rPr>
          <w:rFonts w:hint="eastAsia" w:ascii="宋体" w:hAnsi="宋体" w:cs="宋体"/>
          <w:sz w:val="28"/>
          <w:szCs w:val="28"/>
        </w:rPr>
      </w:pPr>
    </w:p>
    <w:p w14:paraId="7EE31FF4">
      <w:pPr>
        <w:spacing w:line="520" w:lineRule="exact"/>
        <w:ind w:firstLine="560" w:firstLineChars="200"/>
        <w:rPr>
          <w:rFonts w:hint="eastAsia" w:ascii="宋体" w:hAnsi="宋体" w:cs="宋体"/>
          <w:sz w:val="28"/>
          <w:szCs w:val="28"/>
        </w:rPr>
      </w:pPr>
      <w:r>
        <w:rPr>
          <w:rFonts w:hint="eastAsia" w:ascii="宋体" w:hAnsi="宋体" w:cs="宋体"/>
          <w:sz w:val="28"/>
          <w:szCs w:val="28"/>
        </w:rPr>
        <w:t>依据《中华人民共和国民法典》，甲、乙双方就</w:t>
      </w:r>
      <w:r>
        <w:rPr>
          <w:rFonts w:hint="eastAsia" w:ascii="宋体" w:hAnsi="宋体" w:cs="宋体"/>
          <w:b/>
          <w:bCs/>
          <w:sz w:val="28"/>
          <w:szCs w:val="28"/>
          <w:u w:val="single"/>
        </w:rPr>
        <w:t>张良庙紫柏山风景名胜区总体规划修编项目</w:t>
      </w:r>
      <w:r>
        <w:rPr>
          <w:rFonts w:hint="eastAsia" w:ascii="宋体" w:hAnsi="宋体" w:cs="宋体"/>
          <w:sz w:val="28"/>
          <w:szCs w:val="28"/>
        </w:rPr>
        <w:t>，达成如下协议。</w:t>
      </w:r>
    </w:p>
    <w:p w14:paraId="6A4DC60E">
      <w:pPr>
        <w:pStyle w:val="2"/>
        <w:rPr>
          <w:rFonts w:hint="eastAsia"/>
          <w:sz w:val="28"/>
          <w:szCs w:val="28"/>
        </w:rPr>
      </w:pPr>
      <w:bookmarkStart w:id="0" w:name="_Toc26634"/>
      <w:r>
        <w:rPr>
          <w:sz w:val="28"/>
          <w:szCs w:val="28"/>
        </w:rPr>
        <w:t>第一条 合同内容及合同金额</w:t>
      </w:r>
      <w:bookmarkEnd w:id="0"/>
    </w:p>
    <w:p w14:paraId="67894C2A">
      <w:pPr>
        <w:spacing w:line="520" w:lineRule="exact"/>
        <w:ind w:firstLine="562" w:firstLineChars="200"/>
        <w:rPr>
          <w:rFonts w:hint="eastAsia" w:ascii="宋体" w:hAnsi="宋体" w:cs="宋体"/>
          <w:sz w:val="28"/>
          <w:szCs w:val="28"/>
        </w:rPr>
      </w:pPr>
      <w:r>
        <w:rPr>
          <w:rFonts w:hint="eastAsia" w:ascii="宋体" w:hAnsi="宋体" w:cs="宋体"/>
          <w:b/>
          <w:bCs/>
          <w:sz w:val="28"/>
          <w:szCs w:val="28"/>
        </w:rPr>
        <w:t>1.合同内容：</w:t>
      </w:r>
      <w:r>
        <w:rPr>
          <w:rFonts w:hint="eastAsia" w:ascii="宋体" w:hAnsi="宋体" w:cs="宋体"/>
          <w:sz w:val="28"/>
          <w:szCs w:val="28"/>
        </w:rPr>
        <w:t>规划编制服务（结合张良庙-紫柏山风景名胜区上一版规划实施情况、整合优化方案以及国土空间规划、旅游发展规划等相关上位规划，对张良庙-紫柏山风景名</w:t>
      </w:r>
      <w:bookmarkStart w:id="16" w:name="_GoBack"/>
      <w:bookmarkEnd w:id="16"/>
      <w:r>
        <w:rPr>
          <w:rFonts w:hint="eastAsia" w:ascii="宋体" w:hAnsi="宋体" w:cs="宋体"/>
          <w:sz w:val="28"/>
          <w:szCs w:val="28"/>
        </w:rPr>
        <w:t>胜区规划区域进行外业调查、资料收集、编制完成《张良庙-紫柏山风景名胜区总体规划修编》，配合甲方进行专家评审，并通过主管部门批复）。</w:t>
      </w:r>
    </w:p>
    <w:p w14:paraId="44B3EF03">
      <w:pPr>
        <w:spacing w:line="520" w:lineRule="exact"/>
        <w:ind w:firstLine="560" w:firstLineChars="200"/>
        <w:rPr>
          <w:rFonts w:hint="eastAsia" w:ascii="宋体" w:hAnsi="宋体" w:cs="宋体"/>
          <w:sz w:val="28"/>
          <w:szCs w:val="28"/>
        </w:rPr>
      </w:pPr>
      <w:r>
        <w:rPr>
          <w:rFonts w:hint="eastAsia" w:ascii="宋体" w:hAnsi="宋体" w:cs="宋体"/>
          <w:sz w:val="28"/>
          <w:szCs w:val="28"/>
        </w:rPr>
        <w:t>风景资源调查评价服务（对张良庙-紫柏山风景名胜区自然景观资源、人文景观资源、生态康养资源、科普教育资源等各类风景资源进行全覆盖普查及评价，登记资源名称、地理位置、资源类型、资源规模、保存现状、保护等级、权属归属等基础信息，建立风景资源台账与资源分布图件，建立风景资源资源等级划分图等成果）。。</w:t>
      </w:r>
    </w:p>
    <w:p w14:paraId="45E51D75">
      <w:pPr>
        <w:spacing w:line="520" w:lineRule="exact"/>
        <w:ind w:firstLine="562" w:firstLineChars="200"/>
        <w:rPr>
          <w:rFonts w:hint="eastAsia" w:ascii="宋体" w:hAnsi="宋体" w:cs="宋体"/>
          <w:sz w:val="28"/>
          <w:szCs w:val="28"/>
        </w:rPr>
      </w:pPr>
      <w:r>
        <w:rPr>
          <w:rFonts w:hint="eastAsia" w:ascii="宋体" w:hAnsi="宋体" w:cs="宋体"/>
          <w:b/>
          <w:bCs/>
          <w:sz w:val="28"/>
          <w:szCs w:val="28"/>
        </w:rPr>
        <w:t>2.技术要求：</w:t>
      </w:r>
      <w:r>
        <w:rPr>
          <w:rFonts w:hint="eastAsia" w:ascii="宋体" w:hAnsi="宋体" w:cs="宋体"/>
          <w:sz w:val="28"/>
          <w:szCs w:val="28"/>
        </w:rPr>
        <w:t>依据国家及行业相关法律法规和政策文件规定执行。</w:t>
      </w:r>
    </w:p>
    <w:p w14:paraId="01A7E368">
      <w:pPr>
        <w:spacing w:line="520" w:lineRule="exact"/>
        <w:ind w:firstLine="562" w:firstLineChars="200"/>
        <w:rPr>
          <w:rFonts w:hint="eastAsia" w:ascii="宋体" w:hAnsi="宋体" w:cs="宋体"/>
          <w:sz w:val="28"/>
          <w:szCs w:val="28"/>
        </w:rPr>
      </w:pPr>
      <w:r>
        <w:rPr>
          <w:rFonts w:hint="eastAsia" w:ascii="宋体" w:hAnsi="宋体" w:cs="宋体"/>
          <w:b/>
          <w:bCs/>
          <w:sz w:val="28"/>
          <w:szCs w:val="28"/>
        </w:rPr>
        <w:t>3.质量标准：</w:t>
      </w:r>
      <w:r>
        <w:rPr>
          <w:rFonts w:hint="eastAsia" w:ascii="宋体" w:hAnsi="宋体" w:cs="宋体"/>
          <w:b w:val="0"/>
          <w:bCs w:val="0"/>
          <w:sz w:val="28"/>
          <w:szCs w:val="28"/>
        </w:rPr>
        <w:t>成果符合《风景名胜区条例》（2026年1月30日第二次修订）、《风景名胜区总体规划标准（GB/T 50298-2018）》等相关现行或现有法律法规，符合行业规范标准要求，满足上报审批。</w:t>
      </w:r>
    </w:p>
    <w:p w14:paraId="20CBAE5A">
      <w:pPr>
        <w:spacing w:line="520" w:lineRule="exact"/>
        <w:ind w:firstLine="562" w:firstLineChars="200"/>
        <w:rPr>
          <w:rFonts w:hint="eastAsia" w:ascii="宋体" w:hAnsi="宋体" w:cs="宋体"/>
          <w:b/>
          <w:bCs/>
          <w:sz w:val="28"/>
          <w:szCs w:val="28"/>
        </w:rPr>
      </w:pPr>
      <w:r>
        <w:rPr>
          <w:rFonts w:hint="eastAsia" w:ascii="宋体" w:hAnsi="宋体" w:cs="宋体"/>
          <w:b/>
          <w:bCs/>
          <w:sz w:val="28"/>
          <w:szCs w:val="28"/>
        </w:rPr>
        <w:t>4.资料成果</w:t>
      </w:r>
    </w:p>
    <w:p w14:paraId="40EC748F">
      <w:pPr>
        <w:spacing w:line="520" w:lineRule="exact"/>
        <w:ind w:firstLine="560" w:firstLineChars="200"/>
        <w:rPr>
          <w:rFonts w:hint="eastAsia" w:ascii="宋体" w:hAnsi="宋体" w:cs="宋体"/>
          <w:sz w:val="28"/>
          <w:szCs w:val="28"/>
        </w:rPr>
      </w:pPr>
      <w:r>
        <w:rPr>
          <w:rFonts w:hint="eastAsia" w:ascii="宋体" w:hAnsi="宋体" w:cs="宋体"/>
          <w:sz w:val="28"/>
          <w:szCs w:val="28"/>
        </w:rPr>
        <w:t>（1）甲方应当在规划编制前向乙方提供规划编制所必需的相关资料，并对所提供资料的真实性、准确性和完整性负责。</w:t>
      </w:r>
    </w:p>
    <w:tbl>
      <w:tblPr>
        <w:tblStyle w:val="11"/>
        <w:tblW w:w="92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
      <w:tblGrid>
        <w:gridCol w:w="3904"/>
        <w:gridCol w:w="2290"/>
        <w:gridCol w:w="3062"/>
      </w:tblGrid>
      <w:tr w14:paraId="35AFD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trHeight w:val="438" w:hRule="atLeast"/>
          <w:jc w:val="center"/>
        </w:trPr>
        <w:tc>
          <w:tcPr>
            <w:tcW w:w="3904" w:type="dxa"/>
            <w:vAlign w:val="center"/>
          </w:tcPr>
          <w:p w14:paraId="4A406A54">
            <w:pPr>
              <w:jc w:val="center"/>
              <w:rPr>
                <w:rFonts w:hint="eastAsia" w:ascii="宋体" w:hAnsi="宋体" w:cs="宋体"/>
                <w:b/>
                <w:sz w:val="24"/>
              </w:rPr>
            </w:pPr>
            <w:r>
              <w:rPr>
                <w:rFonts w:hint="eastAsia" w:ascii="宋体" w:hAnsi="宋体" w:cs="宋体"/>
                <w:b/>
                <w:sz w:val="24"/>
              </w:rPr>
              <w:t>甲方向乙方提供的资料</w:t>
            </w:r>
          </w:p>
        </w:tc>
        <w:tc>
          <w:tcPr>
            <w:tcW w:w="2290" w:type="dxa"/>
            <w:vAlign w:val="center"/>
          </w:tcPr>
          <w:p w14:paraId="243BE88B">
            <w:pPr>
              <w:jc w:val="center"/>
              <w:rPr>
                <w:rFonts w:hint="eastAsia" w:ascii="宋体" w:hAnsi="宋体" w:cs="宋体"/>
                <w:b/>
                <w:sz w:val="24"/>
              </w:rPr>
            </w:pPr>
            <w:r>
              <w:rPr>
                <w:rFonts w:hint="eastAsia" w:ascii="宋体" w:hAnsi="宋体" w:cs="宋体"/>
                <w:b/>
                <w:sz w:val="24"/>
              </w:rPr>
              <w:t>份数</w:t>
            </w:r>
          </w:p>
        </w:tc>
        <w:tc>
          <w:tcPr>
            <w:tcW w:w="3062" w:type="dxa"/>
            <w:vAlign w:val="center"/>
          </w:tcPr>
          <w:p w14:paraId="2954CFAD">
            <w:pPr>
              <w:ind w:firstLine="482" w:firstLineChars="200"/>
              <w:rPr>
                <w:rFonts w:hint="eastAsia" w:ascii="宋体" w:hAnsi="宋体" w:cs="宋体"/>
                <w:b/>
                <w:sz w:val="24"/>
              </w:rPr>
            </w:pPr>
            <w:r>
              <w:rPr>
                <w:rFonts w:hint="eastAsia" w:ascii="宋体" w:hAnsi="宋体" w:cs="宋体"/>
                <w:b/>
                <w:sz w:val="24"/>
              </w:rPr>
              <w:t>提交时间</w:t>
            </w:r>
          </w:p>
        </w:tc>
      </w:tr>
      <w:tr w14:paraId="5C404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trHeight w:val="655" w:hRule="atLeast"/>
          <w:jc w:val="center"/>
        </w:trPr>
        <w:tc>
          <w:tcPr>
            <w:tcW w:w="3904" w:type="dxa"/>
            <w:vAlign w:val="center"/>
          </w:tcPr>
          <w:p w14:paraId="35A404D1">
            <w:pPr>
              <w:jc w:val="center"/>
              <w:rPr>
                <w:rFonts w:hint="eastAsia" w:ascii="宋体" w:hAnsi="宋体" w:cs="宋体"/>
                <w:sz w:val="24"/>
              </w:rPr>
            </w:pPr>
          </w:p>
        </w:tc>
        <w:tc>
          <w:tcPr>
            <w:tcW w:w="2290" w:type="dxa"/>
            <w:vAlign w:val="center"/>
          </w:tcPr>
          <w:p w14:paraId="705992A6">
            <w:pPr>
              <w:jc w:val="center"/>
              <w:rPr>
                <w:rFonts w:hint="eastAsia" w:ascii="宋体" w:hAnsi="宋体" w:cs="宋体"/>
                <w:sz w:val="24"/>
              </w:rPr>
            </w:pPr>
          </w:p>
        </w:tc>
        <w:tc>
          <w:tcPr>
            <w:tcW w:w="3062" w:type="dxa"/>
            <w:vAlign w:val="center"/>
          </w:tcPr>
          <w:p w14:paraId="375BEA82">
            <w:pPr>
              <w:jc w:val="center"/>
              <w:rPr>
                <w:rFonts w:hint="eastAsia" w:ascii="宋体" w:hAnsi="宋体" w:cs="宋体"/>
                <w:sz w:val="24"/>
              </w:rPr>
            </w:pPr>
          </w:p>
        </w:tc>
      </w:tr>
    </w:tbl>
    <w:p w14:paraId="2A2286D1">
      <w:pPr>
        <w:spacing w:line="520" w:lineRule="exact"/>
        <w:ind w:firstLine="560" w:firstLineChars="200"/>
        <w:rPr>
          <w:rFonts w:hint="eastAsia" w:ascii="宋体" w:hAnsi="宋体" w:cs="宋体"/>
          <w:sz w:val="28"/>
          <w:szCs w:val="28"/>
        </w:rPr>
      </w:pPr>
      <w:r>
        <w:rPr>
          <w:rFonts w:hint="eastAsia" w:ascii="宋体" w:hAnsi="宋体" w:cs="宋体"/>
          <w:sz w:val="28"/>
          <w:szCs w:val="28"/>
        </w:rPr>
        <w:t>（2）乙方向甲方提交的编制成果应符合法律法规、技术标准的规定和合同要求，并对所提供的编制成果真实性、准确性和完整性负责。</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
      <w:tblGrid>
        <w:gridCol w:w="3873"/>
        <w:gridCol w:w="2061"/>
        <w:gridCol w:w="3426"/>
      </w:tblGrid>
      <w:tr w14:paraId="7846D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trHeight w:val="379" w:hRule="atLeast"/>
          <w:jc w:val="center"/>
        </w:trPr>
        <w:tc>
          <w:tcPr>
            <w:tcW w:w="3873" w:type="dxa"/>
            <w:vAlign w:val="center"/>
          </w:tcPr>
          <w:p w14:paraId="099ACA09">
            <w:pPr>
              <w:jc w:val="center"/>
              <w:rPr>
                <w:rFonts w:hint="eastAsia" w:ascii="宋体" w:hAnsi="宋体" w:cs="宋体"/>
                <w:b/>
                <w:sz w:val="24"/>
              </w:rPr>
            </w:pPr>
            <w:r>
              <w:rPr>
                <w:rFonts w:hint="eastAsia" w:ascii="宋体" w:hAnsi="宋体" w:cs="宋体"/>
                <w:b/>
                <w:sz w:val="24"/>
              </w:rPr>
              <w:t>乙方向甲方提交的成果</w:t>
            </w:r>
          </w:p>
        </w:tc>
        <w:tc>
          <w:tcPr>
            <w:tcW w:w="2061" w:type="dxa"/>
            <w:vAlign w:val="center"/>
          </w:tcPr>
          <w:p w14:paraId="12456109">
            <w:pPr>
              <w:jc w:val="center"/>
              <w:rPr>
                <w:rFonts w:hint="eastAsia" w:ascii="宋体" w:hAnsi="宋体" w:cs="宋体"/>
                <w:b/>
                <w:sz w:val="24"/>
              </w:rPr>
            </w:pPr>
            <w:r>
              <w:rPr>
                <w:rFonts w:hint="eastAsia" w:ascii="宋体" w:hAnsi="宋体" w:cs="宋体"/>
                <w:b/>
                <w:sz w:val="24"/>
              </w:rPr>
              <w:t>份数</w:t>
            </w:r>
          </w:p>
        </w:tc>
        <w:tc>
          <w:tcPr>
            <w:tcW w:w="3426" w:type="dxa"/>
            <w:vAlign w:val="center"/>
          </w:tcPr>
          <w:p w14:paraId="0AA85EBB">
            <w:pPr>
              <w:jc w:val="center"/>
              <w:rPr>
                <w:rFonts w:hint="eastAsia" w:ascii="宋体" w:hAnsi="宋体" w:cs="宋体"/>
                <w:b/>
                <w:sz w:val="24"/>
              </w:rPr>
            </w:pPr>
            <w:r>
              <w:rPr>
                <w:rFonts w:hint="eastAsia" w:ascii="宋体" w:hAnsi="宋体" w:cs="宋体"/>
                <w:b/>
                <w:sz w:val="24"/>
              </w:rPr>
              <w:t>提交时间</w:t>
            </w:r>
          </w:p>
        </w:tc>
      </w:tr>
      <w:tr w14:paraId="0E421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trHeight w:val="1237" w:hRule="atLeast"/>
          <w:jc w:val="center"/>
        </w:trPr>
        <w:tc>
          <w:tcPr>
            <w:tcW w:w="3873" w:type="dxa"/>
            <w:vAlign w:val="center"/>
          </w:tcPr>
          <w:p w14:paraId="4FED4839">
            <w:pPr>
              <w:rPr>
                <w:rFonts w:hint="eastAsia" w:ascii="宋体" w:hAnsi="宋体" w:cs="宋体"/>
                <w:sz w:val="24"/>
              </w:rPr>
            </w:pPr>
          </w:p>
        </w:tc>
        <w:tc>
          <w:tcPr>
            <w:tcW w:w="2061" w:type="dxa"/>
            <w:vAlign w:val="center"/>
          </w:tcPr>
          <w:p w14:paraId="5CF89D2E">
            <w:pPr>
              <w:rPr>
                <w:rFonts w:hint="eastAsia" w:ascii="宋体" w:hAnsi="宋体" w:cs="宋体"/>
                <w:sz w:val="24"/>
              </w:rPr>
            </w:pPr>
          </w:p>
        </w:tc>
        <w:tc>
          <w:tcPr>
            <w:tcW w:w="3426" w:type="dxa"/>
            <w:vAlign w:val="center"/>
          </w:tcPr>
          <w:p w14:paraId="48B2CBD2">
            <w:pPr>
              <w:rPr>
                <w:rFonts w:hint="eastAsia" w:ascii="宋体" w:hAnsi="宋体" w:cs="宋体"/>
                <w:sz w:val="24"/>
              </w:rPr>
            </w:pPr>
          </w:p>
        </w:tc>
      </w:tr>
    </w:tbl>
    <w:p w14:paraId="3EC624EA">
      <w:pPr>
        <w:spacing w:line="520" w:lineRule="exact"/>
        <w:ind w:firstLine="562" w:firstLineChars="200"/>
        <w:rPr>
          <w:rFonts w:hint="eastAsia" w:ascii="宋体" w:hAnsi="宋体" w:cs="宋体"/>
          <w:sz w:val="28"/>
          <w:szCs w:val="28"/>
        </w:rPr>
      </w:pPr>
      <w:r>
        <w:rPr>
          <w:rFonts w:hint="eastAsia" w:ascii="宋体" w:hAnsi="宋体" w:cs="宋体"/>
          <w:b/>
          <w:bCs/>
          <w:sz w:val="28"/>
          <w:szCs w:val="28"/>
        </w:rPr>
        <w:t>5.合同金额：</w:t>
      </w:r>
      <w:r>
        <w:rPr>
          <w:rFonts w:hint="eastAsia" w:ascii="宋体" w:hAnsi="宋体" w:cs="宋体"/>
          <w:sz w:val="28"/>
          <w:szCs w:val="28"/>
          <w:u w:val="single"/>
        </w:rPr>
        <w:t>人民币：（大写）   元整（¥：    元）</w:t>
      </w:r>
      <w:r>
        <w:rPr>
          <w:rFonts w:hint="eastAsia" w:ascii="宋体" w:hAnsi="宋体" w:cs="宋体"/>
          <w:sz w:val="28"/>
          <w:szCs w:val="28"/>
        </w:rPr>
        <w:t>。</w:t>
      </w:r>
    </w:p>
    <w:p w14:paraId="5282E7D8">
      <w:pPr>
        <w:pStyle w:val="2"/>
        <w:spacing w:line="520" w:lineRule="exact"/>
        <w:rPr>
          <w:rFonts w:hint="eastAsia" w:cs="宋体"/>
          <w:sz w:val="28"/>
          <w:szCs w:val="28"/>
        </w:rPr>
      </w:pPr>
      <w:bookmarkStart w:id="1" w:name="_Toc21918"/>
      <w:r>
        <w:rPr>
          <w:rFonts w:cs="宋体"/>
          <w:sz w:val="28"/>
          <w:szCs w:val="28"/>
        </w:rPr>
        <w:t>第二条 服务期限</w:t>
      </w:r>
      <w:bookmarkEnd w:id="1"/>
    </w:p>
    <w:p w14:paraId="03052436">
      <w:pPr>
        <w:spacing w:line="520" w:lineRule="exact"/>
        <w:ind w:firstLine="560" w:firstLineChars="200"/>
        <w:rPr>
          <w:rFonts w:hint="eastAsia" w:ascii="宋体" w:hAnsi="宋体" w:cs="宋体"/>
          <w:sz w:val="28"/>
          <w:szCs w:val="28"/>
        </w:rPr>
      </w:pPr>
      <w:r>
        <w:rPr>
          <w:rFonts w:hint="eastAsia" w:ascii="宋体" w:hAnsi="宋体" w:cs="宋体"/>
          <w:sz w:val="28"/>
          <w:szCs w:val="28"/>
        </w:rPr>
        <w:t>本合同履行服务期为</w:t>
      </w:r>
      <w:r>
        <w:rPr>
          <w:rFonts w:hint="eastAsia" w:ascii="宋体" w:hAnsi="宋体" w:cs="宋体"/>
          <w:b/>
          <w:bCs/>
          <w:sz w:val="28"/>
          <w:szCs w:val="28"/>
          <w:u w:val="single"/>
        </w:rPr>
        <w:t>自合同签订之日起150日历天内完成（在规划编制和报送审批中具体以国家自然保护地整合优化成果批复时间为准）</w:t>
      </w:r>
      <w:r>
        <w:rPr>
          <w:rFonts w:hint="eastAsia" w:ascii="宋体" w:hAnsi="宋体" w:cs="宋体"/>
          <w:sz w:val="28"/>
          <w:szCs w:val="28"/>
        </w:rPr>
        <w:t>。因项目规划范围、内容等发生变化以及相关技术标准修订等政策影响，具体评审以甲方相关要求为准。</w:t>
      </w:r>
    </w:p>
    <w:p w14:paraId="774ADDD1">
      <w:pPr>
        <w:pStyle w:val="2"/>
        <w:spacing w:line="520" w:lineRule="exact"/>
        <w:rPr>
          <w:rFonts w:hint="eastAsia" w:cs="宋体"/>
          <w:sz w:val="28"/>
          <w:szCs w:val="28"/>
        </w:rPr>
      </w:pPr>
      <w:bookmarkStart w:id="2" w:name="_Toc9691"/>
      <w:r>
        <w:rPr>
          <w:rFonts w:cs="宋体"/>
          <w:sz w:val="28"/>
          <w:szCs w:val="28"/>
        </w:rPr>
        <w:t>第三条 甲、乙双方权利与义务</w:t>
      </w:r>
      <w:bookmarkEnd w:id="2"/>
    </w:p>
    <w:p w14:paraId="0E2C8F98">
      <w:pPr>
        <w:spacing w:line="520" w:lineRule="exact"/>
        <w:ind w:firstLine="562" w:firstLineChars="200"/>
        <w:rPr>
          <w:rFonts w:hint="eastAsia" w:ascii="宋体" w:hAnsi="宋体" w:cs="宋体"/>
          <w:b/>
          <w:sz w:val="28"/>
          <w:szCs w:val="28"/>
        </w:rPr>
      </w:pPr>
      <w:r>
        <w:rPr>
          <w:rFonts w:hint="eastAsia" w:ascii="宋体" w:hAnsi="宋体" w:cs="宋体"/>
          <w:b/>
          <w:sz w:val="28"/>
          <w:szCs w:val="28"/>
        </w:rPr>
        <w:t>（一）甲方的权利与义务</w:t>
      </w:r>
    </w:p>
    <w:p w14:paraId="5E8D7D94">
      <w:pPr>
        <w:spacing w:line="520" w:lineRule="exact"/>
        <w:ind w:firstLine="560" w:firstLineChars="200"/>
        <w:rPr>
          <w:rFonts w:hint="eastAsia" w:ascii="宋体" w:hAnsi="宋体" w:cs="宋体"/>
          <w:sz w:val="28"/>
          <w:szCs w:val="28"/>
        </w:rPr>
      </w:pPr>
      <w:r>
        <w:rPr>
          <w:rFonts w:hint="eastAsia" w:ascii="宋体" w:hAnsi="宋体" w:cs="宋体"/>
          <w:sz w:val="28"/>
          <w:szCs w:val="28"/>
        </w:rPr>
        <w:t>1.甲方有权对合同规定范围内乙方的服务行为进行监督和检查，拥有监督权。有权核对乙方提供服务所配备的人员数量。对甲方认为不合理的部分有权下达整改通知书，并要求乙方限期整改；</w:t>
      </w:r>
    </w:p>
    <w:p w14:paraId="75177BEA">
      <w:pPr>
        <w:spacing w:line="520" w:lineRule="exact"/>
        <w:ind w:firstLine="560" w:firstLineChars="200"/>
        <w:rPr>
          <w:rFonts w:hint="eastAsia" w:ascii="宋体" w:hAnsi="宋体" w:cs="宋体"/>
          <w:sz w:val="28"/>
          <w:szCs w:val="28"/>
        </w:rPr>
      </w:pPr>
      <w:r>
        <w:rPr>
          <w:rFonts w:hint="eastAsia" w:ascii="宋体" w:hAnsi="宋体" w:cs="宋体"/>
          <w:sz w:val="28"/>
          <w:szCs w:val="28"/>
        </w:rPr>
        <w:t>2.甲方负责协调公园建设单位和县级相关部门提供项目编制所需的相关资料和规划意图，并配合乙方开展外业调查和意见征询，并负责检查监督乙方编制工作的实施进度执行情况；</w:t>
      </w:r>
    </w:p>
    <w:p w14:paraId="20F9C874">
      <w:pPr>
        <w:spacing w:line="520" w:lineRule="exact"/>
        <w:ind w:firstLine="560" w:firstLineChars="200"/>
        <w:rPr>
          <w:rFonts w:hint="eastAsia" w:ascii="宋体" w:hAnsi="宋体" w:cs="宋体"/>
          <w:sz w:val="28"/>
          <w:szCs w:val="28"/>
        </w:rPr>
      </w:pPr>
      <w:r>
        <w:rPr>
          <w:rFonts w:hint="eastAsia" w:ascii="宋体" w:hAnsi="宋体" w:cs="宋体"/>
          <w:sz w:val="28"/>
          <w:szCs w:val="28"/>
        </w:rPr>
        <w:t>3.甲方根据本合同规定按时向乙方支付应付服务费用，因甲方支付进度推迟则编制周期顺延；</w:t>
      </w:r>
    </w:p>
    <w:p w14:paraId="298BDB24">
      <w:pPr>
        <w:spacing w:line="520" w:lineRule="exact"/>
        <w:ind w:firstLine="560" w:firstLineChars="200"/>
        <w:rPr>
          <w:rFonts w:hint="eastAsia" w:ascii="宋体" w:hAnsi="宋体" w:cs="宋体"/>
          <w:sz w:val="28"/>
          <w:szCs w:val="28"/>
        </w:rPr>
      </w:pPr>
      <w:r>
        <w:rPr>
          <w:rFonts w:hint="eastAsia" w:ascii="宋体" w:hAnsi="宋体" w:cs="宋体"/>
          <w:sz w:val="28"/>
          <w:szCs w:val="28"/>
        </w:rPr>
        <w:t>4.乙方依照本协议交付的成果归甲方享有；</w:t>
      </w:r>
    </w:p>
    <w:p w14:paraId="7562B51D">
      <w:pPr>
        <w:spacing w:line="520" w:lineRule="exact"/>
        <w:ind w:firstLine="560" w:firstLineChars="200"/>
        <w:rPr>
          <w:rFonts w:hint="eastAsia" w:ascii="宋体" w:hAnsi="宋体" w:cs="宋体"/>
          <w:sz w:val="28"/>
          <w:szCs w:val="28"/>
        </w:rPr>
      </w:pPr>
      <w:r>
        <w:rPr>
          <w:rFonts w:hint="eastAsia" w:ascii="宋体" w:hAnsi="宋体" w:cs="宋体"/>
          <w:sz w:val="28"/>
          <w:szCs w:val="28"/>
        </w:rPr>
        <w:t>5.甲方应及时、合理对乙方交付的成果文件进行审核验收；</w:t>
      </w:r>
    </w:p>
    <w:p w14:paraId="66CB0CD9">
      <w:pPr>
        <w:spacing w:line="520" w:lineRule="exact"/>
        <w:ind w:firstLine="560" w:firstLineChars="200"/>
      </w:pPr>
      <w:r>
        <w:rPr>
          <w:rFonts w:hint="eastAsia" w:ascii="宋体" w:hAnsi="宋体" w:cs="宋体"/>
          <w:sz w:val="28"/>
          <w:szCs w:val="28"/>
        </w:rPr>
        <w:t>6.国家法律法规所规定由甲方承担的其它责任。</w:t>
      </w:r>
    </w:p>
    <w:p w14:paraId="16B8CFA7">
      <w:pPr>
        <w:spacing w:line="520" w:lineRule="exact"/>
        <w:ind w:firstLine="562" w:firstLineChars="200"/>
        <w:rPr>
          <w:rFonts w:hint="eastAsia" w:ascii="宋体" w:hAnsi="宋体" w:cs="宋体"/>
          <w:b/>
          <w:sz w:val="28"/>
          <w:szCs w:val="28"/>
        </w:rPr>
      </w:pPr>
      <w:r>
        <w:rPr>
          <w:rFonts w:hint="eastAsia" w:ascii="宋体" w:hAnsi="宋体" w:cs="宋体"/>
          <w:b/>
          <w:sz w:val="28"/>
          <w:szCs w:val="28"/>
        </w:rPr>
        <w:t>（二）乙方的权利和义务</w:t>
      </w:r>
    </w:p>
    <w:p w14:paraId="4B0305F2">
      <w:pPr>
        <w:spacing w:line="520" w:lineRule="exact"/>
        <w:ind w:firstLine="560" w:firstLineChars="200"/>
        <w:rPr>
          <w:rFonts w:hint="eastAsia" w:ascii="宋体" w:hAnsi="宋体" w:cs="宋体"/>
          <w:sz w:val="28"/>
          <w:szCs w:val="28"/>
        </w:rPr>
      </w:pPr>
      <w:r>
        <w:rPr>
          <w:rFonts w:hint="eastAsia" w:ascii="宋体" w:hAnsi="宋体" w:cs="宋体"/>
          <w:sz w:val="28"/>
          <w:szCs w:val="28"/>
        </w:rPr>
        <w:t>1.乙方应按本合同规定的服务内容履行服务义务，按照规划编制要求及时组织技术力量、推进编制工作进度，并积极配合甲方做好相关技术服务；</w:t>
      </w:r>
    </w:p>
    <w:p w14:paraId="4E07EB4E">
      <w:pPr>
        <w:spacing w:line="520" w:lineRule="exact"/>
        <w:ind w:firstLine="560" w:firstLineChars="200"/>
        <w:rPr>
          <w:rFonts w:hint="eastAsia" w:ascii="宋体" w:hAnsi="宋体" w:cs="宋体"/>
          <w:sz w:val="28"/>
          <w:szCs w:val="28"/>
        </w:rPr>
      </w:pPr>
      <w:r>
        <w:rPr>
          <w:rFonts w:hint="eastAsia" w:ascii="宋体" w:hAnsi="宋体" w:cs="宋体"/>
          <w:sz w:val="28"/>
          <w:szCs w:val="28"/>
        </w:rPr>
        <w:t>2.乙方有义务协助甲方完成本规划上报、评审等相关事宜；</w:t>
      </w:r>
    </w:p>
    <w:p w14:paraId="20DAF9BD">
      <w:pPr>
        <w:spacing w:line="520" w:lineRule="exact"/>
        <w:ind w:firstLine="560" w:firstLineChars="200"/>
        <w:rPr>
          <w:rFonts w:hint="eastAsia" w:ascii="宋体" w:hAnsi="宋体" w:cs="宋体"/>
          <w:sz w:val="28"/>
          <w:szCs w:val="28"/>
        </w:rPr>
      </w:pPr>
      <w:r>
        <w:rPr>
          <w:rFonts w:hint="eastAsia" w:ascii="宋体" w:hAnsi="宋体" w:cs="宋体"/>
          <w:sz w:val="28"/>
          <w:szCs w:val="28"/>
        </w:rPr>
        <w:t>3.乙方有义务根据评审意见及主管部门要求，及时完善本规划，并取得主管部门的正式批复；</w:t>
      </w:r>
    </w:p>
    <w:p w14:paraId="0BAB7871">
      <w:pPr>
        <w:spacing w:line="520" w:lineRule="exact"/>
        <w:ind w:firstLine="560" w:firstLineChars="200"/>
        <w:rPr>
          <w:rFonts w:hint="eastAsia" w:ascii="宋体" w:hAnsi="宋体" w:cs="宋体"/>
          <w:sz w:val="28"/>
          <w:szCs w:val="28"/>
        </w:rPr>
      </w:pPr>
      <w:r>
        <w:rPr>
          <w:rFonts w:hint="eastAsia" w:ascii="宋体" w:hAnsi="宋体" w:cs="宋体"/>
          <w:sz w:val="28"/>
          <w:szCs w:val="28"/>
        </w:rPr>
        <w:t>4.乙方有义务根据甲方及各级主管部门相关要求，按时保质保量完成本次服务；</w:t>
      </w:r>
    </w:p>
    <w:p w14:paraId="4C38440B">
      <w:pPr>
        <w:spacing w:line="520" w:lineRule="exact"/>
        <w:ind w:firstLine="560" w:firstLineChars="200"/>
        <w:rPr>
          <w:rFonts w:hint="eastAsia" w:ascii="宋体" w:hAnsi="宋体" w:cs="宋体"/>
          <w:sz w:val="28"/>
          <w:szCs w:val="28"/>
        </w:rPr>
      </w:pPr>
      <w:r>
        <w:rPr>
          <w:rFonts w:hint="eastAsia" w:ascii="宋体" w:hAnsi="宋体" w:cs="宋体"/>
          <w:sz w:val="28"/>
          <w:szCs w:val="28"/>
        </w:rPr>
        <w:t>5.乙方负责规划编制的相关技术服务工作，及时解答甲方提出的与项目有关的询问，并依照甲方项目管理规定，按期如实编报项目进展，接受甲方监督和检查；</w:t>
      </w:r>
    </w:p>
    <w:p w14:paraId="25972E4B">
      <w:pPr>
        <w:spacing w:line="520" w:lineRule="exact"/>
        <w:ind w:firstLine="560" w:firstLineChars="200"/>
        <w:rPr>
          <w:rFonts w:hint="eastAsia" w:ascii="宋体" w:hAnsi="宋体" w:cs="宋体"/>
          <w:sz w:val="28"/>
          <w:szCs w:val="28"/>
        </w:rPr>
      </w:pPr>
      <w:r>
        <w:rPr>
          <w:rFonts w:hint="eastAsia" w:ascii="宋体" w:hAnsi="宋体" w:cs="宋体"/>
          <w:sz w:val="28"/>
          <w:szCs w:val="28"/>
        </w:rPr>
        <w:t>6.乙方接受项目行业主管部门的指导，对主管部门和甲方提出的合理化建议积极采纳，并做好相关修改完善，确保符合行业技术规范要求；</w:t>
      </w:r>
    </w:p>
    <w:p w14:paraId="33D7B3FC">
      <w:pPr>
        <w:spacing w:line="520" w:lineRule="exact"/>
        <w:ind w:firstLine="560" w:firstLineChars="200"/>
        <w:rPr>
          <w:rFonts w:hint="eastAsia" w:ascii="宋体" w:hAnsi="宋体" w:cs="宋体"/>
          <w:sz w:val="28"/>
          <w:szCs w:val="28"/>
        </w:rPr>
      </w:pPr>
      <w:r>
        <w:rPr>
          <w:rFonts w:hint="eastAsia" w:ascii="宋体" w:hAnsi="宋体" w:cs="宋体"/>
          <w:sz w:val="28"/>
          <w:szCs w:val="28"/>
        </w:rPr>
        <w:t>7.乙方根据本合同的规定向甲方收取服务费用，按期向甲方提交成果，若项目成果未能达到审批上报标准，乙方应在要求时限日内修改完善，由此造成经济损失的由乙方自行承担；</w:t>
      </w:r>
    </w:p>
    <w:p w14:paraId="7520A1FC">
      <w:pPr>
        <w:spacing w:line="520" w:lineRule="exact"/>
        <w:ind w:firstLine="560" w:firstLineChars="200"/>
        <w:rPr>
          <w:rFonts w:hint="eastAsia" w:ascii="宋体" w:hAnsi="宋体" w:cs="宋体"/>
          <w:sz w:val="28"/>
          <w:szCs w:val="28"/>
        </w:rPr>
      </w:pPr>
      <w:r>
        <w:rPr>
          <w:rFonts w:hint="eastAsia" w:ascii="宋体" w:hAnsi="宋体" w:cs="宋体"/>
          <w:sz w:val="28"/>
          <w:szCs w:val="28"/>
        </w:rPr>
        <w:t>8.乙方不得擅自将本协议项下的委托事项转委托；</w:t>
      </w:r>
    </w:p>
    <w:p w14:paraId="7FF33FC6">
      <w:pPr>
        <w:spacing w:line="520" w:lineRule="exact"/>
        <w:ind w:firstLine="560" w:firstLineChars="200"/>
        <w:rPr>
          <w:rFonts w:hint="eastAsia" w:ascii="宋体" w:hAnsi="宋体" w:cs="宋体"/>
          <w:sz w:val="28"/>
          <w:szCs w:val="28"/>
        </w:rPr>
      </w:pPr>
      <w:r>
        <w:rPr>
          <w:rFonts w:hint="eastAsia" w:ascii="宋体" w:hAnsi="宋体" w:cs="宋体"/>
          <w:sz w:val="28"/>
          <w:szCs w:val="28"/>
        </w:rPr>
        <w:t>9.在没有甲方事先书面批准的情况下，乙方不得泄露与本协议或在协议履行期间得知的与甲方有关的任何知识产权成果和保密信息；</w:t>
      </w:r>
    </w:p>
    <w:p w14:paraId="31E27941">
      <w:pPr>
        <w:spacing w:line="520" w:lineRule="exact"/>
        <w:ind w:firstLine="560" w:firstLineChars="200"/>
        <w:rPr>
          <w:rFonts w:hint="eastAsia" w:ascii="宋体" w:hAnsi="宋体" w:cs="宋体"/>
          <w:sz w:val="28"/>
          <w:szCs w:val="28"/>
        </w:rPr>
      </w:pPr>
      <w:r>
        <w:rPr>
          <w:rFonts w:hint="eastAsia" w:ascii="宋体" w:hAnsi="宋体" w:cs="宋体"/>
          <w:sz w:val="28"/>
          <w:szCs w:val="28"/>
        </w:rPr>
        <w:t>10.乙方应保证所提供服务在使用时不会侵犯任何第三方的专利权、商标权、工业设计权或其他权利</w:t>
      </w:r>
    </w:p>
    <w:p w14:paraId="585282DC">
      <w:pPr>
        <w:spacing w:line="520" w:lineRule="exact"/>
        <w:ind w:firstLine="560" w:firstLineChars="200"/>
        <w:rPr>
          <w:rFonts w:hint="eastAsia" w:ascii="宋体" w:hAnsi="宋体" w:cs="宋体"/>
          <w:sz w:val="28"/>
          <w:szCs w:val="28"/>
        </w:rPr>
      </w:pPr>
      <w:r>
        <w:rPr>
          <w:rFonts w:hint="eastAsia" w:ascii="宋体" w:hAnsi="宋体" w:cs="宋体"/>
          <w:sz w:val="28"/>
          <w:szCs w:val="28"/>
        </w:rPr>
        <w:t>11.国家法律法规所规定由乙方承担的其它责任。</w:t>
      </w:r>
    </w:p>
    <w:p w14:paraId="7073205D">
      <w:pPr>
        <w:pStyle w:val="2"/>
        <w:spacing w:line="520" w:lineRule="exact"/>
        <w:rPr>
          <w:rFonts w:hint="eastAsia" w:cs="宋体"/>
          <w:sz w:val="28"/>
          <w:szCs w:val="28"/>
        </w:rPr>
      </w:pPr>
      <w:bookmarkStart w:id="3" w:name="_Toc4326"/>
      <w:r>
        <w:rPr>
          <w:rFonts w:cs="宋体"/>
          <w:sz w:val="28"/>
          <w:szCs w:val="28"/>
        </w:rPr>
        <w:t>第四条 提交服务成果文件</w:t>
      </w:r>
      <w:bookmarkEnd w:id="3"/>
    </w:p>
    <w:p w14:paraId="0BAD85F3">
      <w:pPr>
        <w:spacing w:line="520" w:lineRule="exact"/>
        <w:ind w:firstLine="560" w:firstLineChars="200"/>
        <w:rPr>
          <w:rFonts w:hint="eastAsia" w:ascii="宋体" w:hAnsi="宋体" w:cs="宋体"/>
          <w:sz w:val="28"/>
          <w:szCs w:val="28"/>
        </w:rPr>
      </w:pPr>
      <w:r>
        <w:rPr>
          <w:rFonts w:ascii="宋体" w:hAnsi="宋体" w:cs="宋体"/>
          <w:sz w:val="28"/>
          <w:szCs w:val="28"/>
        </w:rPr>
        <w:t>张良庙紫柏山风景名胜区总体规划修编</w:t>
      </w:r>
      <w:r>
        <w:rPr>
          <w:rFonts w:hint="eastAsia" w:ascii="宋体" w:hAnsi="宋体" w:cs="宋体"/>
          <w:sz w:val="28"/>
          <w:szCs w:val="28"/>
        </w:rPr>
        <w:t>编制服务项目（含文本、附表和图纸）</w:t>
      </w:r>
      <w:r>
        <w:rPr>
          <w:rFonts w:hint="eastAsia" w:ascii="宋体" w:hAnsi="宋体" w:cs="宋体"/>
          <w:sz w:val="28"/>
          <w:szCs w:val="28"/>
          <w:lang w:val="en-US" w:eastAsia="zh-CN"/>
        </w:rPr>
        <w:t>10</w:t>
      </w:r>
      <w:r>
        <w:rPr>
          <w:rFonts w:hint="eastAsia" w:ascii="宋体" w:hAnsi="宋体" w:cs="宋体"/>
          <w:sz w:val="28"/>
          <w:szCs w:val="28"/>
        </w:rPr>
        <w:t>套（含电子版1份）。</w:t>
      </w:r>
    </w:p>
    <w:p w14:paraId="1AF87FFD">
      <w:pPr>
        <w:pStyle w:val="2"/>
        <w:spacing w:line="520" w:lineRule="exact"/>
        <w:rPr>
          <w:rFonts w:hint="eastAsia" w:cs="宋体"/>
          <w:sz w:val="28"/>
          <w:szCs w:val="28"/>
        </w:rPr>
      </w:pPr>
      <w:bookmarkStart w:id="4" w:name="_Toc2159"/>
      <w:r>
        <w:rPr>
          <w:rFonts w:cs="宋体"/>
          <w:sz w:val="28"/>
          <w:szCs w:val="28"/>
        </w:rPr>
        <w:t>第五条 项目验收</w:t>
      </w:r>
      <w:bookmarkEnd w:id="4"/>
    </w:p>
    <w:p w14:paraId="4A52D60A">
      <w:pPr>
        <w:spacing w:line="520" w:lineRule="exact"/>
        <w:ind w:firstLine="560" w:firstLineChars="200"/>
        <w:rPr>
          <w:rFonts w:hint="eastAsia" w:ascii="宋体" w:hAnsi="宋体" w:cs="宋体"/>
          <w:sz w:val="28"/>
          <w:szCs w:val="28"/>
        </w:rPr>
      </w:pPr>
      <w:r>
        <w:rPr>
          <w:rFonts w:hint="eastAsia" w:ascii="宋体" w:hAnsi="宋体" w:cs="宋体"/>
          <w:sz w:val="28"/>
          <w:szCs w:val="28"/>
        </w:rPr>
        <w:t>甲方依据招标文件规定及投标文件的服务承诺对项目进行验收。</w:t>
      </w:r>
    </w:p>
    <w:p w14:paraId="66EA2242">
      <w:pPr>
        <w:pStyle w:val="2"/>
        <w:spacing w:line="520" w:lineRule="exact"/>
        <w:rPr>
          <w:rFonts w:hint="eastAsia" w:cs="宋体"/>
          <w:sz w:val="28"/>
          <w:szCs w:val="28"/>
        </w:rPr>
      </w:pPr>
      <w:bookmarkStart w:id="5" w:name="_Toc21511"/>
      <w:r>
        <w:rPr>
          <w:rFonts w:cs="宋体"/>
          <w:sz w:val="28"/>
          <w:szCs w:val="28"/>
        </w:rPr>
        <w:t>第六条 服务要求</w:t>
      </w:r>
      <w:bookmarkEnd w:id="5"/>
    </w:p>
    <w:p w14:paraId="3F313C02">
      <w:pPr>
        <w:spacing w:line="520" w:lineRule="exact"/>
        <w:ind w:firstLine="560" w:firstLineChars="200"/>
        <w:rPr>
          <w:rFonts w:hint="eastAsia" w:ascii="宋体" w:hAnsi="宋体" w:cs="宋体"/>
          <w:sz w:val="28"/>
          <w:szCs w:val="28"/>
        </w:rPr>
      </w:pPr>
      <w:r>
        <w:rPr>
          <w:rFonts w:hint="eastAsia" w:ascii="宋体" w:hAnsi="宋体" w:cs="宋体"/>
          <w:sz w:val="28"/>
          <w:szCs w:val="28"/>
        </w:rPr>
        <w:t>1.乙方应按照国家有关法律规定和投标文件，为甲方提供服务。</w:t>
      </w:r>
    </w:p>
    <w:p w14:paraId="5ED7E022">
      <w:pPr>
        <w:spacing w:line="520" w:lineRule="exact"/>
        <w:ind w:firstLine="560" w:firstLineChars="200"/>
        <w:rPr>
          <w:rFonts w:hint="eastAsia" w:ascii="宋体" w:hAnsi="宋体" w:cs="宋体"/>
          <w:sz w:val="28"/>
          <w:szCs w:val="28"/>
        </w:rPr>
      </w:pPr>
      <w:r>
        <w:rPr>
          <w:rFonts w:hint="eastAsia" w:ascii="宋体" w:hAnsi="宋体" w:cs="宋体"/>
          <w:sz w:val="28"/>
          <w:szCs w:val="28"/>
        </w:rPr>
        <w:t>2.如在服务过程中发生质量问题，乙方在接到甲方通知后在投标文件承诺的时间内到达甲方现场处理。</w:t>
      </w:r>
    </w:p>
    <w:p w14:paraId="1ABE562A">
      <w:pPr>
        <w:spacing w:line="520" w:lineRule="exact"/>
        <w:ind w:firstLine="560" w:firstLineChars="200"/>
        <w:rPr>
          <w:rFonts w:hint="eastAsia" w:ascii="宋体" w:hAnsi="宋体" w:cs="宋体"/>
          <w:sz w:val="28"/>
          <w:szCs w:val="28"/>
        </w:rPr>
      </w:pPr>
      <w:r>
        <w:rPr>
          <w:rFonts w:hint="eastAsia" w:ascii="宋体" w:hAnsi="宋体" w:cs="宋体"/>
          <w:sz w:val="28"/>
          <w:szCs w:val="28"/>
        </w:rPr>
        <w:t>3.在服务期内，乙方应对服务的质量及安全问题负责处理解决，并承担一切费用。</w:t>
      </w:r>
    </w:p>
    <w:p w14:paraId="12FC4C9F">
      <w:pPr>
        <w:pStyle w:val="2"/>
        <w:spacing w:line="520" w:lineRule="exact"/>
        <w:rPr>
          <w:rFonts w:hint="eastAsia" w:cs="宋体"/>
          <w:sz w:val="28"/>
          <w:szCs w:val="28"/>
        </w:rPr>
      </w:pPr>
      <w:bookmarkStart w:id="6" w:name="_Toc1555"/>
      <w:r>
        <w:rPr>
          <w:rFonts w:cs="宋体"/>
          <w:sz w:val="28"/>
          <w:szCs w:val="28"/>
        </w:rPr>
        <w:t>第七条 成果归属和分享</w:t>
      </w:r>
      <w:bookmarkEnd w:id="6"/>
    </w:p>
    <w:p w14:paraId="74142E8C">
      <w:pPr>
        <w:spacing w:line="520" w:lineRule="exact"/>
        <w:ind w:firstLine="560" w:firstLineChars="200"/>
        <w:rPr>
          <w:rFonts w:hint="eastAsia" w:ascii="宋体" w:hAnsi="宋体" w:cs="宋体"/>
          <w:sz w:val="28"/>
          <w:szCs w:val="28"/>
        </w:rPr>
      </w:pPr>
      <w:r>
        <w:rPr>
          <w:rFonts w:hint="eastAsia" w:ascii="宋体" w:hAnsi="宋体" w:cs="宋体"/>
          <w:sz w:val="28"/>
          <w:szCs w:val="28"/>
        </w:rPr>
        <w:t>1.成果归属：乙方在本协议项下完成的所有成果所有权和著作权归属于甲方。</w:t>
      </w:r>
    </w:p>
    <w:p w14:paraId="454AB94E">
      <w:pPr>
        <w:spacing w:line="520" w:lineRule="exact"/>
        <w:ind w:firstLine="560" w:firstLineChars="200"/>
        <w:rPr>
          <w:rFonts w:hint="eastAsia" w:ascii="宋体" w:hAnsi="宋体" w:cs="宋体"/>
          <w:sz w:val="28"/>
          <w:szCs w:val="28"/>
        </w:rPr>
      </w:pPr>
      <w:r>
        <w:rPr>
          <w:rFonts w:hint="eastAsia" w:ascii="宋体" w:hAnsi="宋体" w:cs="宋体"/>
          <w:sz w:val="28"/>
          <w:szCs w:val="28"/>
        </w:rPr>
        <w:t>2.成果转让和使用：在没有甲方事前书面同意的情况下，乙方不得擅自转让协议项目产生的成果，不得在公开场合发表、公布以及使用。</w:t>
      </w:r>
    </w:p>
    <w:p w14:paraId="5EB3B655">
      <w:pPr>
        <w:pStyle w:val="2"/>
        <w:spacing w:line="520" w:lineRule="exact"/>
        <w:rPr>
          <w:rFonts w:hint="eastAsia" w:cs="宋体"/>
          <w:sz w:val="28"/>
          <w:szCs w:val="28"/>
        </w:rPr>
      </w:pPr>
      <w:bookmarkStart w:id="7" w:name="_Toc28452"/>
      <w:r>
        <w:rPr>
          <w:rFonts w:cs="宋体"/>
          <w:sz w:val="28"/>
          <w:szCs w:val="28"/>
        </w:rPr>
        <w:t>第八条 税费</w:t>
      </w:r>
      <w:bookmarkEnd w:id="7"/>
    </w:p>
    <w:p w14:paraId="2F66C248">
      <w:pPr>
        <w:spacing w:line="520" w:lineRule="exact"/>
        <w:ind w:firstLine="560" w:firstLineChars="200"/>
        <w:rPr>
          <w:rFonts w:hint="eastAsia" w:ascii="宋体" w:hAnsi="宋体" w:cs="宋体"/>
          <w:sz w:val="28"/>
          <w:szCs w:val="28"/>
        </w:rPr>
      </w:pPr>
      <w:r>
        <w:rPr>
          <w:rFonts w:hint="eastAsia" w:ascii="宋体" w:hAnsi="宋体" w:cs="宋体"/>
          <w:sz w:val="28"/>
          <w:szCs w:val="28"/>
        </w:rPr>
        <w:t>本合同执行中相关的一切税费均由乙方负担。</w:t>
      </w:r>
    </w:p>
    <w:p w14:paraId="1438111C">
      <w:pPr>
        <w:pStyle w:val="2"/>
        <w:spacing w:line="520" w:lineRule="exact"/>
        <w:rPr>
          <w:rFonts w:hint="eastAsia" w:cs="宋体"/>
          <w:sz w:val="28"/>
          <w:szCs w:val="28"/>
        </w:rPr>
      </w:pPr>
      <w:bookmarkStart w:id="8" w:name="_Toc15682"/>
      <w:r>
        <w:rPr>
          <w:rFonts w:cs="宋体"/>
          <w:sz w:val="28"/>
          <w:szCs w:val="28"/>
        </w:rPr>
        <w:t>第九条 付款</w:t>
      </w:r>
      <w:bookmarkEnd w:id="8"/>
    </w:p>
    <w:p w14:paraId="45F5278D">
      <w:pPr>
        <w:spacing w:line="520" w:lineRule="exact"/>
        <w:ind w:firstLine="562" w:firstLineChars="200"/>
        <w:rPr>
          <w:rFonts w:hint="eastAsia" w:ascii="宋体" w:hAnsi="宋体" w:cs="宋体"/>
          <w:b/>
          <w:bCs/>
          <w:sz w:val="28"/>
          <w:szCs w:val="28"/>
        </w:rPr>
      </w:pPr>
      <w:r>
        <w:rPr>
          <w:rFonts w:hint="eastAsia" w:ascii="宋体" w:hAnsi="宋体" w:cs="宋体"/>
          <w:b/>
          <w:bCs/>
          <w:sz w:val="28"/>
          <w:szCs w:val="28"/>
        </w:rPr>
        <w:t>1.合同形式：</w:t>
      </w:r>
      <w:r>
        <w:rPr>
          <w:rFonts w:hint="eastAsia" w:ascii="宋体" w:hAnsi="宋体" w:cs="宋体"/>
          <w:sz w:val="28"/>
          <w:szCs w:val="28"/>
        </w:rPr>
        <w:t>固定总价合同。</w:t>
      </w:r>
    </w:p>
    <w:p w14:paraId="68FB37E4">
      <w:pPr>
        <w:spacing w:line="520" w:lineRule="exact"/>
        <w:ind w:firstLine="562" w:firstLineChars="200"/>
        <w:rPr>
          <w:rFonts w:hint="eastAsia" w:ascii="宋体" w:hAnsi="宋体" w:cs="宋体"/>
          <w:sz w:val="28"/>
          <w:szCs w:val="28"/>
        </w:rPr>
      </w:pPr>
      <w:r>
        <w:rPr>
          <w:rFonts w:hint="eastAsia" w:ascii="宋体" w:hAnsi="宋体" w:cs="宋体"/>
          <w:b/>
          <w:bCs/>
          <w:sz w:val="28"/>
          <w:szCs w:val="28"/>
        </w:rPr>
        <w:t>2.付款：</w:t>
      </w:r>
      <w:r>
        <w:rPr>
          <w:rFonts w:hint="eastAsia" w:ascii="宋体" w:hAnsi="宋体" w:cs="宋体"/>
          <w:sz w:val="28"/>
          <w:szCs w:val="28"/>
        </w:rPr>
        <w:t>本合同总金额为</w:t>
      </w:r>
      <w:r>
        <w:rPr>
          <w:rFonts w:hint="eastAsia" w:ascii="宋体" w:hAnsi="宋体" w:cs="宋体"/>
          <w:sz w:val="28"/>
          <w:szCs w:val="28"/>
          <w:u w:val="single"/>
        </w:rPr>
        <w:t>人民币：（大写）    元整（¥：   元）</w:t>
      </w:r>
      <w:r>
        <w:rPr>
          <w:rFonts w:hint="eastAsia" w:ascii="宋体" w:hAnsi="宋体" w:cs="宋体"/>
          <w:sz w:val="28"/>
          <w:szCs w:val="28"/>
        </w:rPr>
        <w:t>，甲方每次付款前乙方需开具相应款项的增值税普通发票。付款方式分三次支付：</w:t>
      </w:r>
    </w:p>
    <w:p w14:paraId="089C26B5">
      <w:pPr>
        <w:spacing w:line="520" w:lineRule="exact"/>
        <w:ind w:firstLine="560" w:firstLineChars="200"/>
        <w:rPr>
          <w:rFonts w:hint="eastAsia" w:ascii="宋体" w:hAnsi="宋体" w:cs="宋体"/>
          <w:sz w:val="28"/>
          <w:szCs w:val="28"/>
        </w:rPr>
      </w:pPr>
      <w:r>
        <w:rPr>
          <w:rFonts w:hint="eastAsia" w:ascii="宋体" w:hAnsi="宋体" w:cs="宋体"/>
          <w:sz w:val="28"/>
          <w:szCs w:val="28"/>
        </w:rPr>
        <w:t>第一次支付：合同签订后5个日历天内，甲方向乙方支付合同总金额的40%，即</w:t>
      </w:r>
      <w:r>
        <w:rPr>
          <w:rFonts w:hint="eastAsia" w:ascii="宋体" w:hAnsi="宋体" w:cs="宋体"/>
          <w:sz w:val="28"/>
          <w:szCs w:val="28"/>
          <w:u w:val="single"/>
        </w:rPr>
        <w:t>人民币（大写） 元整（¥：  元）</w:t>
      </w:r>
      <w:r>
        <w:rPr>
          <w:rFonts w:hint="eastAsia" w:ascii="宋体" w:hAnsi="宋体" w:cs="宋体"/>
          <w:sz w:val="28"/>
          <w:szCs w:val="28"/>
        </w:rPr>
        <w:t>；</w:t>
      </w:r>
    </w:p>
    <w:p w14:paraId="6985B169">
      <w:pPr>
        <w:spacing w:line="520" w:lineRule="exact"/>
        <w:ind w:firstLine="560" w:firstLineChars="200"/>
        <w:rPr>
          <w:rFonts w:hint="eastAsia" w:ascii="宋体" w:hAnsi="宋体" w:cs="宋体"/>
          <w:sz w:val="28"/>
          <w:szCs w:val="28"/>
        </w:rPr>
      </w:pPr>
      <w:r>
        <w:rPr>
          <w:rFonts w:hint="eastAsia" w:ascii="宋体" w:hAnsi="宋体" w:cs="宋体"/>
          <w:sz w:val="28"/>
          <w:szCs w:val="28"/>
        </w:rPr>
        <w:t>第二次支付：乙方编制完成规划送审稿并提供甲方后5个日历天内，甲方向乙方支付合同总金额的40%，即</w:t>
      </w:r>
      <w:r>
        <w:rPr>
          <w:rFonts w:hint="eastAsia" w:ascii="宋体" w:hAnsi="宋体" w:cs="宋体"/>
          <w:sz w:val="28"/>
          <w:szCs w:val="28"/>
          <w:u w:val="single"/>
        </w:rPr>
        <w:t>人民币（大写）   元整（¥：   元）</w:t>
      </w:r>
      <w:r>
        <w:rPr>
          <w:rFonts w:hint="eastAsia" w:ascii="宋体" w:hAnsi="宋体" w:cs="宋体"/>
          <w:sz w:val="28"/>
          <w:szCs w:val="28"/>
        </w:rPr>
        <w:t>；</w:t>
      </w:r>
    </w:p>
    <w:p w14:paraId="48F40A2C">
      <w:pPr>
        <w:spacing w:line="520" w:lineRule="exact"/>
        <w:ind w:firstLine="560" w:firstLineChars="200"/>
        <w:rPr>
          <w:rFonts w:hint="eastAsia" w:ascii="宋体" w:hAnsi="宋体" w:cs="宋体"/>
          <w:sz w:val="28"/>
          <w:szCs w:val="28"/>
        </w:rPr>
      </w:pPr>
      <w:r>
        <w:rPr>
          <w:rFonts w:hint="eastAsia" w:ascii="宋体" w:hAnsi="宋体" w:cs="宋体"/>
          <w:sz w:val="28"/>
          <w:szCs w:val="28"/>
        </w:rPr>
        <w:t>第X次支付：乙方提交规划成果通过主管部门组织的专家评审后5个日历天内，甲方向乙方支付合同总金额的20%，即</w:t>
      </w:r>
      <w:r>
        <w:rPr>
          <w:rFonts w:hint="eastAsia" w:ascii="宋体" w:hAnsi="宋体" w:cs="宋体"/>
          <w:sz w:val="28"/>
          <w:szCs w:val="28"/>
          <w:u w:val="single"/>
        </w:rPr>
        <w:t>人民币（大写）  元整（¥：  元）</w:t>
      </w:r>
      <w:r>
        <w:rPr>
          <w:rFonts w:hint="eastAsia" w:ascii="宋体" w:hAnsi="宋体" w:cs="宋体"/>
          <w:sz w:val="28"/>
          <w:szCs w:val="28"/>
        </w:rPr>
        <w:t>。</w:t>
      </w:r>
    </w:p>
    <w:p w14:paraId="55370B95">
      <w:pPr>
        <w:spacing w:line="520" w:lineRule="exact"/>
        <w:ind w:firstLine="562" w:firstLineChars="200"/>
        <w:rPr>
          <w:rFonts w:hint="eastAsia" w:ascii="宋体" w:hAnsi="宋体" w:cs="宋体"/>
          <w:b/>
          <w:bCs/>
          <w:sz w:val="28"/>
          <w:szCs w:val="28"/>
        </w:rPr>
      </w:pPr>
      <w:r>
        <w:rPr>
          <w:rFonts w:hint="eastAsia" w:ascii="宋体" w:hAnsi="宋体" w:cs="宋体"/>
          <w:b/>
          <w:bCs/>
          <w:sz w:val="28"/>
          <w:szCs w:val="28"/>
        </w:rPr>
        <w:t>3.乙方收款账户信息</w:t>
      </w:r>
    </w:p>
    <w:p w14:paraId="3BC4258D">
      <w:pPr>
        <w:pStyle w:val="2"/>
        <w:spacing w:line="520" w:lineRule="exact"/>
        <w:rPr>
          <w:rFonts w:hint="eastAsia" w:cs="宋体"/>
          <w:sz w:val="28"/>
          <w:szCs w:val="28"/>
        </w:rPr>
      </w:pPr>
      <w:r>
        <w:rPr>
          <w:rFonts w:cs="宋体"/>
          <w:sz w:val="28"/>
          <w:szCs w:val="28"/>
        </w:rPr>
        <w:t xml:space="preserve"> </w:t>
      </w:r>
      <w:bookmarkStart w:id="9" w:name="_Toc25126"/>
      <w:r>
        <w:rPr>
          <w:rFonts w:cs="宋体"/>
          <w:sz w:val="28"/>
          <w:szCs w:val="28"/>
        </w:rPr>
        <w:t>第十条 违约责任</w:t>
      </w:r>
      <w:bookmarkEnd w:id="9"/>
    </w:p>
    <w:p w14:paraId="6EE16491">
      <w:pPr>
        <w:spacing w:line="520" w:lineRule="exact"/>
        <w:ind w:firstLine="560" w:firstLineChars="200"/>
        <w:rPr>
          <w:rFonts w:hint="eastAsia" w:ascii="宋体" w:hAnsi="宋体" w:cs="宋体"/>
          <w:sz w:val="28"/>
          <w:szCs w:val="28"/>
        </w:rPr>
      </w:pPr>
      <w:r>
        <w:rPr>
          <w:rFonts w:hint="eastAsia" w:ascii="宋体" w:hAnsi="宋体" w:cs="宋体"/>
          <w:sz w:val="28"/>
          <w:szCs w:val="28"/>
        </w:rPr>
        <w:t>1.甲乙双方均应按招标文件要求及乙方投标文件承诺保质保量按时履行合同。如遇不可抗力等客观情况影响项目服务进度，乙方应及时向甲方提交书面说明。</w:t>
      </w:r>
    </w:p>
    <w:p w14:paraId="57DC006A">
      <w:pPr>
        <w:spacing w:line="520" w:lineRule="exact"/>
        <w:ind w:firstLine="560" w:firstLineChars="200"/>
        <w:rPr>
          <w:rFonts w:hint="eastAsia" w:ascii="宋体" w:hAnsi="宋体" w:cs="宋体"/>
          <w:sz w:val="28"/>
          <w:szCs w:val="28"/>
        </w:rPr>
      </w:pPr>
      <w:r>
        <w:rPr>
          <w:rFonts w:hint="eastAsia" w:ascii="宋体" w:hAnsi="宋体" w:cs="宋体"/>
          <w:sz w:val="28"/>
          <w:szCs w:val="28"/>
        </w:rPr>
        <w:t>2.如任何一方未经双方协商而更改服务内容的，即为违约，除承担守约方因履行合同而形成的损失外，还应向守约方支付违约金，违约金的金额按相关规定执行。</w:t>
      </w:r>
    </w:p>
    <w:p w14:paraId="2E08D885">
      <w:pPr>
        <w:spacing w:line="520" w:lineRule="exact"/>
        <w:ind w:firstLine="560" w:firstLineChars="200"/>
        <w:rPr>
          <w:rFonts w:hint="eastAsia" w:ascii="宋体" w:hAnsi="宋体" w:cs="宋体"/>
          <w:sz w:val="28"/>
          <w:szCs w:val="28"/>
        </w:rPr>
      </w:pPr>
      <w:r>
        <w:rPr>
          <w:rFonts w:hint="eastAsia" w:ascii="宋体" w:hAnsi="宋体" w:cs="宋体"/>
          <w:sz w:val="28"/>
          <w:szCs w:val="28"/>
        </w:rPr>
        <w:t>3.如甲方不依约支付合同金额，应按银行同期存款利率向乙方支付违约金。</w:t>
      </w:r>
    </w:p>
    <w:p w14:paraId="24674361">
      <w:pPr>
        <w:spacing w:line="520" w:lineRule="exact"/>
        <w:ind w:firstLine="560" w:firstLineChars="200"/>
        <w:rPr>
          <w:rFonts w:hint="eastAsia" w:ascii="宋体" w:hAnsi="宋体" w:cs="宋体"/>
          <w:sz w:val="28"/>
          <w:szCs w:val="28"/>
        </w:rPr>
      </w:pPr>
      <w:r>
        <w:rPr>
          <w:rFonts w:hint="eastAsia" w:ascii="宋体" w:hAnsi="宋体" w:cs="宋体"/>
          <w:sz w:val="28"/>
          <w:szCs w:val="28"/>
        </w:rPr>
        <w:t>4.如果乙方在开展服务或者在服务过程中有损及甲方声誉的言行的，甲方有权拒绝支付合同金额，并要求乙方赔偿违约金及相应损失。</w:t>
      </w:r>
    </w:p>
    <w:p w14:paraId="2890AAA5">
      <w:pPr>
        <w:spacing w:line="520" w:lineRule="exact"/>
        <w:ind w:firstLine="560" w:firstLineChars="200"/>
        <w:rPr>
          <w:rFonts w:hint="eastAsia" w:ascii="宋体" w:hAnsi="宋体" w:cs="宋体"/>
          <w:sz w:val="28"/>
          <w:szCs w:val="28"/>
        </w:rPr>
      </w:pPr>
      <w:r>
        <w:rPr>
          <w:rFonts w:hint="eastAsia" w:ascii="宋体" w:hAnsi="宋体" w:cs="宋体"/>
          <w:sz w:val="28"/>
          <w:szCs w:val="28"/>
        </w:rPr>
        <w:t>5.如乙方提供虚假发票，乙方除须向甲方补开合法发票外，并须赔偿甲方发票票面金额一倍的违约金，且甲方有权无条件解除合同，因解除合同而产生的一切损失均由乙方承担。</w:t>
      </w:r>
    </w:p>
    <w:p w14:paraId="50EF3D94">
      <w:pPr>
        <w:pStyle w:val="2"/>
        <w:spacing w:line="520" w:lineRule="exact"/>
        <w:rPr>
          <w:rFonts w:hint="eastAsia" w:cs="宋体"/>
          <w:sz w:val="28"/>
          <w:szCs w:val="28"/>
        </w:rPr>
      </w:pPr>
      <w:bookmarkStart w:id="10" w:name="_Toc1075"/>
      <w:r>
        <w:rPr>
          <w:rFonts w:cs="宋体"/>
          <w:sz w:val="28"/>
          <w:szCs w:val="28"/>
        </w:rPr>
        <w:t>第十一条 不可抗力事件处理</w:t>
      </w:r>
      <w:bookmarkEnd w:id="10"/>
    </w:p>
    <w:p w14:paraId="051A351B">
      <w:pPr>
        <w:spacing w:line="520" w:lineRule="exact"/>
        <w:ind w:firstLine="560" w:firstLineChars="200"/>
        <w:rPr>
          <w:rFonts w:hint="eastAsia" w:ascii="宋体" w:hAnsi="宋体" w:cs="宋体"/>
          <w:sz w:val="28"/>
          <w:szCs w:val="28"/>
        </w:rPr>
      </w:pPr>
      <w:r>
        <w:rPr>
          <w:rFonts w:hint="eastAsia" w:ascii="宋体" w:hAnsi="宋体" w:cs="宋体"/>
          <w:sz w:val="28"/>
          <w:szCs w:val="28"/>
        </w:rPr>
        <w:t>1.在合同有效期内，乙方因不可抗力事件导致不能履行合同的，则合同履行期可在甲方同意的前提下予以延长，其延长期与不可抗力影响期相同，但不得影响合同的执行。</w:t>
      </w:r>
    </w:p>
    <w:p w14:paraId="5973F438">
      <w:pPr>
        <w:spacing w:line="520" w:lineRule="exact"/>
        <w:ind w:firstLine="560" w:firstLineChars="200"/>
        <w:rPr>
          <w:rFonts w:hint="eastAsia" w:ascii="宋体" w:hAnsi="宋体" w:cs="宋体"/>
          <w:sz w:val="28"/>
          <w:szCs w:val="28"/>
        </w:rPr>
      </w:pPr>
      <w:r>
        <w:rPr>
          <w:rFonts w:hint="eastAsia" w:ascii="宋体" w:hAnsi="宋体" w:cs="宋体"/>
          <w:sz w:val="28"/>
          <w:szCs w:val="28"/>
        </w:rPr>
        <w:t>2.不可抗力事件发生后，应在三日内以书面形式通知甲方，并寄送有关权威机构出具的证明。</w:t>
      </w:r>
    </w:p>
    <w:p w14:paraId="506CF703">
      <w:pPr>
        <w:spacing w:line="520" w:lineRule="exact"/>
        <w:ind w:firstLine="560" w:firstLineChars="200"/>
        <w:rPr>
          <w:rFonts w:hint="eastAsia" w:ascii="宋体" w:hAnsi="宋体" w:cs="宋体"/>
          <w:sz w:val="28"/>
          <w:szCs w:val="28"/>
        </w:rPr>
      </w:pPr>
      <w:r>
        <w:rPr>
          <w:rFonts w:hint="eastAsia" w:ascii="宋体" w:hAnsi="宋体" w:cs="宋体"/>
          <w:sz w:val="28"/>
          <w:szCs w:val="28"/>
        </w:rPr>
        <w:t>3.不可抗力事件延续三十天以上，双方应通过友好协商，确定是否继续履行合同。</w:t>
      </w:r>
    </w:p>
    <w:p w14:paraId="7F4D12CA">
      <w:pPr>
        <w:spacing w:line="520" w:lineRule="exact"/>
        <w:ind w:firstLine="560" w:firstLineChars="200"/>
        <w:rPr>
          <w:rFonts w:hint="eastAsia" w:ascii="宋体" w:hAnsi="宋体" w:cs="宋体"/>
          <w:sz w:val="28"/>
          <w:szCs w:val="28"/>
        </w:rPr>
      </w:pPr>
      <w:r>
        <w:rPr>
          <w:rFonts w:hint="eastAsia" w:ascii="宋体" w:hAnsi="宋体" w:cs="宋体"/>
          <w:sz w:val="28"/>
          <w:szCs w:val="28"/>
        </w:rPr>
        <w:t>4.在合同履行期内，如遇国家或主管部门相关政策、管理办法、规范标准、审批流程调整的，导致公园总体规划编制发生较大变化等不可抗力原因，双方应积极沟通和协商，可签订补充协议。</w:t>
      </w:r>
    </w:p>
    <w:p w14:paraId="4AD6D461">
      <w:pPr>
        <w:pStyle w:val="2"/>
        <w:spacing w:line="520" w:lineRule="exact"/>
        <w:rPr>
          <w:rFonts w:hint="eastAsia" w:cs="宋体"/>
          <w:sz w:val="28"/>
          <w:szCs w:val="28"/>
        </w:rPr>
      </w:pPr>
      <w:bookmarkStart w:id="11" w:name="_Toc28816"/>
      <w:r>
        <w:rPr>
          <w:rFonts w:cs="宋体"/>
          <w:sz w:val="28"/>
          <w:szCs w:val="28"/>
        </w:rPr>
        <w:t>第十二条 合同争议解决</w:t>
      </w:r>
      <w:bookmarkEnd w:id="11"/>
    </w:p>
    <w:p w14:paraId="2E9E76F7">
      <w:pPr>
        <w:spacing w:line="520" w:lineRule="exact"/>
        <w:ind w:firstLine="560" w:firstLineChars="200"/>
        <w:rPr>
          <w:rFonts w:hint="eastAsia" w:ascii="宋体" w:hAnsi="宋体" w:cs="宋体"/>
          <w:sz w:val="28"/>
          <w:szCs w:val="28"/>
        </w:rPr>
      </w:pPr>
      <w:r>
        <w:rPr>
          <w:rFonts w:hint="eastAsia" w:ascii="宋体" w:hAnsi="宋体" w:cs="宋体"/>
          <w:sz w:val="28"/>
          <w:szCs w:val="28"/>
        </w:rPr>
        <w:t>因履行本合同引起的或与本合同有关的争议，甲乙双方应首先通过友好协商解决，如果协商不能解决，可向甲方所在地法院提起诉讼。</w:t>
      </w:r>
    </w:p>
    <w:p w14:paraId="1046A086">
      <w:pPr>
        <w:pStyle w:val="2"/>
        <w:spacing w:line="520" w:lineRule="exact"/>
        <w:rPr>
          <w:rFonts w:hint="eastAsia" w:cs="宋体"/>
          <w:sz w:val="28"/>
          <w:szCs w:val="28"/>
        </w:rPr>
      </w:pPr>
      <w:bookmarkStart w:id="12" w:name="_Toc26078"/>
      <w:r>
        <w:rPr>
          <w:rFonts w:cs="宋体"/>
          <w:sz w:val="28"/>
          <w:szCs w:val="28"/>
        </w:rPr>
        <w:t>第十三条 合同生效及其它</w:t>
      </w:r>
      <w:bookmarkEnd w:id="12"/>
    </w:p>
    <w:p w14:paraId="0088F067">
      <w:pPr>
        <w:spacing w:line="520" w:lineRule="exact"/>
        <w:ind w:firstLine="560" w:firstLineChars="200"/>
        <w:rPr>
          <w:rFonts w:hint="eastAsia" w:ascii="宋体" w:hAnsi="宋体" w:cs="宋体"/>
          <w:sz w:val="28"/>
          <w:szCs w:val="28"/>
        </w:rPr>
      </w:pPr>
      <w:r>
        <w:rPr>
          <w:rFonts w:hint="eastAsia" w:ascii="宋体" w:hAnsi="宋体" w:cs="宋体"/>
          <w:sz w:val="28"/>
          <w:szCs w:val="28"/>
        </w:rPr>
        <w:t>1.合同经甲乙双方法定代表人（负责人）或相应的授权代表签字并加盖单位公章后生效。</w:t>
      </w:r>
    </w:p>
    <w:p w14:paraId="207B49FB">
      <w:pPr>
        <w:spacing w:line="520" w:lineRule="exact"/>
        <w:ind w:firstLine="560" w:firstLineChars="200"/>
        <w:rPr>
          <w:rFonts w:hint="eastAsia" w:ascii="宋体" w:hAnsi="宋体" w:cs="宋体"/>
          <w:sz w:val="28"/>
          <w:szCs w:val="28"/>
        </w:rPr>
      </w:pPr>
      <w:r>
        <w:rPr>
          <w:rFonts w:hint="eastAsia" w:ascii="宋体" w:hAnsi="宋体" w:cs="宋体"/>
          <w:sz w:val="28"/>
          <w:szCs w:val="28"/>
        </w:rPr>
        <w:t>2.本合同未尽事宜，遵照《中华人民共和国民法典》有关条文执行。</w:t>
      </w:r>
    </w:p>
    <w:p w14:paraId="34D1DC41">
      <w:pPr>
        <w:pStyle w:val="2"/>
        <w:spacing w:line="520" w:lineRule="exact"/>
        <w:rPr>
          <w:rFonts w:hint="eastAsia" w:cs="宋体"/>
          <w:sz w:val="28"/>
          <w:szCs w:val="28"/>
        </w:rPr>
      </w:pPr>
      <w:bookmarkStart w:id="13" w:name="_Toc245"/>
      <w:r>
        <w:rPr>
          <w:rFonts w:cs="宋体"/>
          <w:sz w:val="28"/>
          <w:szCs w:val="28"/>
        </w:rPr>
        <w:t>第十四条 合同的变更、终止与转让</w:t>
      </w:r>
      <w:bookmarkEnd w:id="13"/>
    </w:p>
    <w:p w14:paraId="71FB862F">
      <w:pPr>
        <w:spacing w:line="520" w:lineRule="exact"/>
        <w:ind w:firstLine="560" w:firstLineChars="200"/>
        <w:rPr>
          <w:rFonts w:hint="eastAsia" w:ascii="宋体" w:hAnsi="宋体" w:cs="宋体"/>
          <w:sz w:val="28"/>
          <w:szCs w:val="28"/>
        </w:rPr>
      </w:pPr>
      <w:r>
        <w:rPr>
          <w:rFonts w:hint="eastAsia" w:ascii="宋体" w:hAnsi="宋体" w:cs="宋体"/>
          <w:sz w:val="28"/>
          <w:szCs w:val="28"/>
        </w:rPr>
        <w:t>1.本合同一经签订，甲乙双方不得擅自变更，中止或终止。</w:t>
      </w:r>
    </w:p>
    <w:p w14:paraId="5957B617">
      <w:pPr>
        <w:spacing w:line="520" w:lineRule="exact"/>
        <w:ind w:firstLine="560" w:firstLineChars="200"/>
        <w:rPr>
          <w:rFonts w:hint="eastAsia" w:ascii="宋体" w:hAnsi="宋体" w:cs="宋体"/>
          <w:sz w:val="28"/>
          <w:szCs w:val="28"/>
        </w:rPr>
      </w:pPr>
      <w:r>
        <w:rPr>
          <w:rFonts w:hint="eastAsia" w:ascii="宋体" w:hAnsi="宋体" w:cs="宋体"/>
          <w:sz w:val="28"/>
          <w:szCs w:val="28"/>
        </w:rPr>
        <w:t>2.乙方不得擅自转让其应履行的合同义务。</w:t>
      </w:r>
    </w:p>
    <w:p w14:paraId="14F18014">
      <w:pPr>
        <w:pStyle w:val="2"/>
        <w:spacing w:line="520" w:lineRule="exact"/>
        <w:rPr>
          <w:rFonts w:hint="eastAsia" w:cs="宋体"/>
          <w:sz w:val="28"/>
          <w:szCs w:val="28"/>
        </w:rPr>
      </w:pPr>
      <w:bookmarkStart w:id="14" w:name="_Toc27"/>
      <w:r>
        <w:rPr>
          <w:rFonts w:cs="宋体"/>
          <w:sz w:val="28"/>
          <w:szCs w:val="28"/>
        </w:rPr>
        <w:t>第十五条 签订本合同依据</w:t>
      </w:r>
      <w:bookmarkEnd w:id="14"/>
    </w:p>
    <w:p w14:paraId="0FCB2C13">
      <w:pPr>
        <w:spacing w:line="520" w:lineRule="exact"/>
        <w:ind w:firstLine="560" w:firstLineChars="200"/>
        <w:rPr>
          <w:rFonts w:hint="eastAsia" w:ascii="宋体" w:hAnsi="宋体" w:cs="宋体"/>
          <w:sz w:val="28"/>
          <w:szCs w:val="28"/>
        </w:rPr>
      </w:pPr>
      <w:r>
        <w:rPr>
          <w:rFonts w:hint="eastAsia" w:ascii="宋体" w:hAnsi="宋体" w:cs="宋体"/>
          <w:sz w:val="28"/>
          <w:szCs w:val="28"/>
        </w:rPr>
        <w:t>1.</w:t>
      </w:r>
      <w:r>
        <w:rPr>
          <w:rFonts w:hint="eastAsia" w:ascii="宋体" w:hAnsi="宋体" w:cs="宋体"/>
          <w:sz w:val="28"/>
          <w:szCs w:val="28"/>
          <w:lang w:val="en-US" w:eastAsia="zh-CN"/>
        </w:rPr>
        <w:t>竞争性磋商</w:t>
      </w:r>
      <w:r>
        <w:rPr>
          <w:rFonts w:hint="eastAsia" w:ascii="宋体" w:hAnsi="宋体" w:cs="宋体"/>
          <w:sz w:val="28"/>
          <w:szCs w:val="28"/>
        </w:rPr>
        <w:t>文件；</w:t>
      </w:r>
    </w:p>
    <w:p w14:paraId="0066A036">
      <w:pPr>
        <w:spacing w:line="520" w:lineRule="exact"/>
        <w:ind w:firstLine="560" w:firstLineChars="200"/>
        <w:rPr>
          <w:rFonts w:hint="eastAsia" w:ascii="宋体" w:hAnsi="宋体" w:cs="宋体"/>
          <w:sz w:val="28"/>
          <w:szCs w:val="28"/>
        </w:rPr>
      </w:pPr>
      <w:r>
        <w:rPr>
          <w:rFonts w:hint="eastAsia" w:ascii="宋体" w:hAnsi="宋体" w:cs="宋体"/>
          <w:sz w:val="28"/>
          <w:szCs w:val="28"/>
        </w:rPr>
        <w:t>2.</w:t>
      </w:r>
      <w:r>
        <w:rPr>
          <w:rFonts w:hint="eastAsia" w:ascii="宋体" w:hAnsi="宋体" w:cs="宋体"/>
          <w:sz w:val="28"/>
          <w:szCs w:val="28"/>
          <w:lang w:val="en-US" w:eastAsia="zh-CN"/>
        </w:rPr>
        <w:t>响应</w:t>
      </w:r>
      <w:r>
        <w:rPr>
          <w:rFonts w:hint="eastAsia" w:ascii="宋体" w:hAnsi="宋体" w:cs="宋体"/>
          <w:sz w:val="28"/>
          <w:szCs w:val="28"/>
        </w:rPr>
        <w:t>文件；</w:t>
      </w:r>
    </w:p>
    <w:p w14:paraId="7C1CD9C8">
      <w:pPr>
        <w:spacing w:line="520" w:lineRule="exact"/>
        <w:ind w:firstLine="560" w:firstLineChars="200"/>
        <w:rPr>
          <w:rFonts w:hint="eastAsia" w:ascii="宋体" w:hAnsi="宋体" w:cs="宋体"/>
          <w:sz w:val="28"/>
          <w:szCs w:val="28"/>
        </w:rPr>
      </w:pPr>
      <w:r>
        <w:rPr>
          <w:rFonts w:hint="eastAsia" w:ascii="宋体" w:hAnsi="宋体" w:cs="宋体"/>
          <w:sz w:val="28"/>
          <w:szCs w:val="28"/>
        </w:rPr>
        <w:t>3.</w:t>
      </w:r>
      <w:r>
        <w:rPr>
          <w:rFonts w:hint="eastAsia" w:ascii="宋体" w:hAnsi="宋体" w:cs="宋体"/>
          <w:sz w:val="28"/>
          <w:szCs w:val="28"/>
          <w:lang w:val="en-US" w:eastAsia="zh-CN"/>
        </w:rPr>
        <w:t>成交</w:t>
      </w:r>
      <w:r>
        <w:rPr>
          <w:rFonts w:hint="eastAsia" w:ascii="宋体" w:hAnsi="宋体" w:cs="宋体"/>
          <w:sz w:val="28"/>
          <w:szCs w:val="28"/>
        </w:rPr>
        <w:t>通知书；</w:t>
      </w:r>
    </w:p>
    <w:p w14:paraId="79DBC743">
      <w:pPr>
        <w:spacing w:line="520" w:lineRule="exact"/>
        <w:ind w:firstLine="560" w:firstLineChars="200"/>
        <w:rPr>
          <w:rFonts w:hint="eastAsia" w:ascii="宋体" w:hAnsi="宋体" w:cs="宋体"/>
          <w:sz w:val="28"/>
          <w:szCs w:val="28"/>
        </w:rPr>
      </w:pPr>
      <w:r>
        <w:rPr>
          <w:rFonts w:hint="eastAsia" w:ascii="宋体" w:hAnsi="宋体" w:cs="宋体"/>
          <w:sz w:val="28"/>
          <w:szCs w:val="28"/>
        </w:rPr>
        <w:t>4.澄清及答疑（如有）。</w:t>
      </w:r>
    </w:p>
    <w:p w14:paraId="7F785C6F">
      <w:pPr>
        <w:pStyle w:val="2"/>
        <w:spacing w:line="520" w:lineRule="exact"/>
        <w:rPr>
          <w:rFonts w:hint="eastAsia" w:cs="宋体"/>
          <w:sz w:val="28"/>
          <w:szCs w:val="28"/>
        </w:rPr>
      </w:pPr>
      <w:bookmarkStart w:id="15" w:name="_Toc3351"/>
      <w:r>
        <w:rPr>
          <w:rFonts w:cs="宋体"/>
          <w:sz w:val="28"/>
          <w:szCs w:val="28"/>
        </w:rPr>
        <w:t>第十六条 合同份数</w:t>
      </w:r>
      <w:bookmarkEnd w:id="15"/>
    </w:p>
    <w:p w14:paraId="477EFB58">
      <w:pPr>
        <w:spacing w:line="520" w:lineRule="exact"/>
        <w:ind w:firstLine="560" w:firstLineChars="200"/>
        <w:rPr>
          <w:rFonts w:hint="eastAsia" w:ascii="宋体" w:hAnsi="宋体" w:cs="宋体"/>
          <w:sz w:val="28"/>
          <w:szCs w:val="28"/>
        </w:rPr>
      </w:pPr>
      <w:r>
        <w:rPr>
          <w:rFonts w:hint="eastAsia" w:ascii="宋体" w:hAnsi="宋体" w:cs="宋体"/>
          <w:sz w:val="28"/>
          <w:szCs w:val="28"/>
        </w:rPr>
        <w:t>本合同一式</w:t>
      </w:r>
      <w:r>
        <w:rPr>
          <w:rFonts w:hint="eastAsia" w:ascii="宋体" w:hAnsi="宋体" w:cs="宋体"/>
          <w:sz w:val="28"/>
          <w:szCs w:val="28"/>
          <w:u w:val="single"/>
        </w:rPr>
        <w:t>六</w:t>
      </w:r>
      <w:r>
        <w:rPr>
          <w:rFonts w:hint="eastAsia" w:ascii="宋体" w:hAnsi="宋体" w:cs="宋体"/>
          <w:sz w:val="28"/>
          <w:szCs w:val="28"/>
        </w:rPr>
        <w:t>份，具有同等法律效力，甲乙双方各</w:t>
      </w:r>
      <w:r>
        <w:rPr>
          <w:rFonts w:hint="eastAsia" w:ascii="宋体" w:hAnsi="宋体" w:cs="宋体"/>
          <w:sz w:val="28"/>
          <w:szCs w:val="28"/>
          <w:u w:val="single"/>
        </w:rPr>
        <w:t>三</w:t>
      </w:r>
      <w:r>
        <w:rPr>
          <w:rFonts w:hint="eastAsia" w:ascii="宋体" w:hAnsi="宋体" w:cs="宋体"/>
          <w:sz w:val="28"/>
          <w:szCs w:val="28"/>
        </w:rPr>
        <w:t>份。</w:t>
      </w:r>
    </w:p>
    <w:p w14:paraId="6D7D43E5">
      <w:pPr>
        <w:spacing w:line="520" w:lineRule="exact"/>
        <w:rPr>
          <w:rFonts w:hint="eastAsia" w:ascii="宋体" w:hAnsi="宋体" w:cs="宋体"/>
          <w:sz w:val="28"/>
          <w:szCs w:val="28"/>
        </w:rPr>
      </w:pPr>
      <w:r>
        <w:rPr>
          <w:rFonts w:hint="eastAsia" w:ascii="宋体" w:hAnsi="宋体" w:cs="宋体"/>
          <w:sz w:val="28"/>
          <w:szCs w:val="28"/>
        </w:rPr>
        <w:t xml:space="preserve"> </w:t>
      </w:r>
    </w:p>
    <w:p w14:paraId="79A29BBA">
      <w:pPr>
        <w:spacing w:line="520" w:lineRule="exact"/>
        <w:rPr>
          <w:rFonts w:hint="eastAsia" w:ascii="宋体" w:hAnsi="宋体" w:cs="宋体"/>
          <w:sz w:val="28"/>
        </w:rPr>
      </w:pPr>
      <w:r>
        <w:rPr>
          <w:rFonts w:hint="eastAsia" w:ascii="宋体" w:hAnsi="宋体" w:cs="宋体"/>
          <w:sz w:val="28"/>
          <w:szCs w:val="28"/>
        </w:rPr>
        <w:t>【以下无正文】</w:t>
      </w:r>
    </w:p>
    <w:p w14:paraId="6E3D325E">
      <w:pPr>
        <w:spacing w:line="520" w:lineRule="exact"/>
        <w:rPr>
          <w:rFonts w:hint="eastAsia" w:ascii="宋体" w:hAnsi="宋体" w:cs="宋体"/>
          <w:sz w:val="28"/>
          <w:szCs w:val="28"/>
        </w:rPr>
      </w:pPr>
      <w:r>
        <w:rPr>
          <w:rFonts w:hint="eastAsia" w:ascii="宋体" w:hAnsi="宋体" w:cs="宋体"/>
          <w:sz w:val="28"/>
          <w:szCs w:val="28"/>
        </w:rPr>
        <w:br w:type="page"/>
      </w:r>
      <w:r>
        <w:rPr>
          <w:rFonts w:hint="eastAsia" w:ascii="宋体" w:hAnsi="宋体" w:cs="宋体"/>
          <w:sz w:val="28"/>
          <w:szCs w:val="28"/>
        </w:rPr>
        <w:t>【合同签署页】</w:t>
      </w:r>
    </w:p>
    <w:tbl>
      <w:tblPr>
        <w:tblStyle w:val="11"/>
        <w:tblW w:w="9638" w:type="dxa"/>
        <w:jc w:val="center"/>
        <w:tblLayout w:type="fixed"/>
        <w:tblCellMar>
          <w:top w:w="0" w:type="dxa"/>
          <w:left w:w="108" w:type="dxa"/>
          <w:bottom w:w="0" w:type="dxa"/>
          <w:right w:w="108" w:type="dxa"/>
        </w:tblCellMar>
      </w:tblPr>
      <w:tblGrid>
        <w:gridCol w:w="5001"/>
        <w:gridCol w:w="4637"/>
      </w:tblGrid>
      <w:tr w14:paraId="2BB428F7">
        <w:tblPrEx>
          <w:tblCellMar>
            <w:top w:w="0" w:type="dxa"/>
            <w:left w:w="108" w:type="dxa"/>
            <w:bottom w:w="0" w:type="dxa"/>
            <w:right w:w="108" w:type="dxa"/>
          </w:tblCellMar>
        </w:tblPrEx>
        <w:trPr>
          <w:trHeight w:val="2446" w:hRule="atLeast"/>
          <w:jc w:val="center"/>
        </w:trPr>
        <w:tc>
          <w:tcPr>
            <w:tcW w:w="5001" w:type="dxa"/>
            <w:tcBorders>
              <w:top w:val="nil"/>
              <w:left w:val="nil"/>
              <w:bottom w:val="nil"/>
              <w:right w:val="nil"/>
            </w:tcBorders>
            <w:vAlign w:val="center"/>
          </w:tcPr>
          <w:p w14:paraId="3CC22D78">
            <w:pPr>
              <w:pStyle w:val="3"/>
              <w:ind w:firstLine="0"/>
              <w:rPr>
                <w:rFonts w:hint="eastAsia" w:ascii="宋体" w:hAnsi="宋体" w:cs="宋体"/>
                <w:sz w:val="28"/>
                <w:szCs w:val="28"/>
              </w:rPr>
            </w:pPr>
            <w:r>
              <w:rPr>
                <w:rFonts w:hint="eastAsia" w:ascii="宋体" w:hAnsi="宋体" w:cs="宋体"/>
                <w:b/>
                <w:bCs/>
                <w:sz w:val="28"/>
                <w:szCs w:val="28"/>
              </w:rPr>
              <w:t>甲方</w:t>
            </w:r>
            <w:r>
              <w:rPr>
                <w:rFonts w:hint="eastAsia" w:ascii="宋体" w:hAnsi="宋体" w:cs="宋体"/>
                <w:sz w:val="28"/>
                <w:szCs w:val="28"/>
              </w:rPr>
              <w:t>：</w:t>
            </w:r>
          </w:p>
        </w:tc>
        <w:tc>
          <w:tcPr>
            <w:tcW w:w="4637" w:type="dxa"/>
            <w:tcBorders>
              <w:top w:val="nil"/>
              <w:left w:val="nil"/>
              <w:bottom w:val="nil"/>
              <w:right w:val="nil"/>
            </w:tcBorders>
            <w:vAlign w:val="center"/>
          </w:tcPr>
          <w:p w14:paraId="00572F09">
            <w:pPr>
              <w:pStyle w:val="3"/>
              <w:ind w:firstLine="0"/>
              <w:rPr>
                <w:rFonts w:hint="eastAsia" w:ascii="宋体" w:hAnsi="宋体" w:cs="宋体"/>
                <w:sz w:val="28"/>
                <w:szCs w:val="28"/>
              </w:rPr>
            </w:pPr>
            <w:r>
              <w:rPr>
                <w:rFonts w:hint="eastAsia" w:ascii="宋体" w:hAnsi="宋体" w:cs="宋体"/>
                <w:b/>
                <w:bCs/>
                <w:sz w:val="28"/>
                <w:szCs w:val="28"/>
              </w:rPr>
              <w:t>乙方</w:t>
            </w:r>
            <w:r>
              <w:rPr>
                <w:rFonts w:hint="eastAsia" w:ascii="宋体" w:hAnsi="宋体" w:cs="宋体"/>
                <w:sz w:val="28"/>
                <w:szCs w:val="28"/>
              </w:rPr>
              <w:t>：</w:t>
            </w:r>
          </w:p>
        </w:tc>
      </w:tr>
      <w:tr w14:paraId="6F9DE940">
        <w:tblPrEx>
          <w:tblCellMar>
            <w:top w:w="0" w:type="dxa"/>
            <w:left w:w="108" w:type="dxa"/>
            <w:bottom w:w="0" w:type="dxa"/>
            <w:right w:w="108" w:type="dxa"/>
          </w:tblCellMar>
        </w:tblPrEx>
        <w:trPr>
          <w:trHeight w:val="555" w:hRule="atLeast"/>
          <w:jc w:val="center"/>
        </w:trPr>
        <w:tc>
          <w:tcPr>
            <w:tcW w:w="5001" w:type="dxa"/>
            <w:tcBorders>
              <w:top w:val="nil"/>
              <w:left w:val="nil"/>
              <w:bottom w:val="nil"/>
              <w:right w:val="nil"/>
            </w:tcBorders>
            <w:vAlign w:val="center"/>
          </w:tcPr>
          <w:p w14:paraId="39944427">
            <w:pPr>
              <w:autoSpaceDE w:val="0"/>
              <w:autoSpaceDN w:val="0"/>
              <w:adjustRightInd w:val="0"/>
              <w:jc w:val="left"/>
              <w:rPr>
                <w:rFonts w:hint="eastAsia" w:ascii="宋体" w:hAnsi="宋体" w:cs="宋体"/>
                <w:sz w:val="28"/>
                <w:szCs w:val="28"/>
              </w:rPr>
            </w:pPr>
            <w:r>
              <w:rPr>
                <w:rFonts w:hint="eastAsia" w:ascii="宋体" w:hAnsi="宋体" w:cs="宋体"/>
                <w:sz w:val="28"/>
                <w:szCs w:val="28"/>
              </w:rPr>
              <w:t>法定代表人</w:t>
            </w:r>
          </w:p>
          <w:p w14:paraId="08076BC8">
            <w:pPr>
              <w:autoSpaceDE w:val="0"/>
              <w:autoSpaceDN w:val="0"/>
              <w:adjustRightInd w:val="0"/>
              <w:jc w:val="left"/>
              <w:rPr>
                <w:rFonts w:hint="eastAsia" w:ascii="宋体" w:hAnsi="宋体" w:cs="宋体"/>
                <w:sz w:val="28"/>
                <w:szCs w:val="28"/>
              </w:rPr>
            </w:pPr>
            <w:r>
              <w:rPr>
                <w:rFonts w:hint="eastAsia" w:ascii="宋体" w:hAnsi="宋体" w:cs="宋体"/>
                <w:sz w:val="28"/>
                <w:szCs w:val="28"/>
              </w:rPr>
              <w:t>或授权委托人：</w:t>
            </w:r>
          </w:p>
        </w:tc>
        <w:tc>
          <w:tcPr>
            <w:tcW w:w="4637" w:type="dxa"/>
            <w:tcBorders>
              <w:top w:val="nil"/>
              <w:left w:val="nil"/>
              <w:bottom w:val="nil"/>
              <w:right w:val="nil"/>
            </w:tcBorders>
            <w:vAlign w:val="center"/>
          </w:tcPr>
          <w:p w14:paraId="1FBE8271">
            <w:pPr>
              <w:autoSpaceDE w:val="0"/>
              <w:autoSpaceDN w:val="0"/>
              <w:adjustRightInd w:val="0"/>
              <w:jc w:val="left"/>
              <w:rPr>
                <w:rFonts w:hint="eastAsia" w:ascii="宋体" w:hAnsi="宋体" w:cs="宋体"/>
                <w:sz w:val="28"/>
                <w:szCs w:val="28"/>
              </w:rPr>
            </w:pPr>
            <w:r>
              <w:rPr>
                <w:rFonts w:hint="eastAsia" w:ascii="宋体" w:hAnsi="宋体" w:cs="宋体"/>
                <w:sz w:val="28"/>
                <w:szCs w:val="28"/>
              </w:rPr>
              <w:t>法定代表人</w:t>
            </w:r>
          </w:p>
          <w:p w14:paraId="6A9EF806">
            <w:pPr>
              <w:autoSpaceDE w:val="0"/>
              <w:autoSpaceDN w:val="0"/>
              <w:adjustRightInd w:val="0"/>
              <w:jc w:val="left"/>
              <w:rPr>
                <w:rFonts w:hint="eastAsia" w:ascii="宋体" w:hAnsi="宋体" w:cs="宋体"/>
                <w:sz w:val="28"/>
                <w:szCs w:val="28"/>
              </w:rPr>
            </w:pPr>
            <w:r>
              <w:rPr>
                <w:rFonts w:hint="eastAsia" w:ascii="宋体" w:hAnsi="宋体" w:cs="宋体"/>
                <w:sz w:val="28"/>
                <w:szCs w:val="28"/>
              </w:rPr>
              <w:t>或授权委托人：</w:t>
            </w:r>
          </w:p>
        </w:tc>
      </w:tr>
      <w:tr w14:paraId="13B56A56">
        <w:tblPrEx>
          <w:tblCellMar>
            <w:top w:w="0" w:type="dxa"/>
            <w:left w:w="108" w:type="dxa"/>
            <w:bottom w:w="0" w:type="dxa"/>
            <w:right w:w="108" w:type="dxa"/>
          </w:tblCellMar>
        </w:tblPrEx>
        <w:trPr>
          <w:trHeight w:val="468" w:hRule="atLeast"/>
          <w:jc w:val="center"/>
        </w:trPr>
        <w:tc>
          <w:tcPr>
            <w:tcW w:w="5001" w:type="dxa"/>
            <w:tcBorders>
              <w:top w:val="nil"/>
              <w:left w:val="nil"/>
              <w:bottom w:val="nil"/>
              <w:right w:val="nil"/>
            </w:tcBorders>
            <w:vAlign w:val="center"/>
          </w:tcPr>
          <w:p w14:paraId="180A2BBF">
            <w:pPr>
              <w:autoSpaceDE w:val="0"/>
              <w:autoSpaceDN w:val="0"/>
              <w:adjustRightInd w:val="0"/>
              <w:jc w:val="left"/>
              <w:rPr>
                <w:rFonts w:hint="eastAsia" w:ascii="宋体" w:hAnsi="宋体" w:cs="宋体"/>
                <w:sz w:val="28"/>
                <w:szCs w:val="28"/>
              </w:rPr>
            </w:pPr>
            <w:r>
              <w:rPr>
                <w:rFonts w:hint="eastAsia" w:ascii="宋体" w:hAnsi="宋体" w:cs="宋体"/>
                <w:sz w:val="28"/>
                <w:szCs w:val="28"/>
              </w:rPr>
              <w:t>地址</w:t>
            </w:r>
            <w:r>
              <w:rPr>
                <w:rFonts w:hint="eastAsia" w:ascii="宋体" w:hAnsi="宋体" w:cs="宋体"/>
                <w:spacing w:val="-10"/>
                <w:sz w:val="28"/>
                <w:szCs w:val="28"/>
              </w:rPr>
              <w:t xml:space="preserve">： </w:t>
            </w:r>
          </w:p>
        </w:tc>
        <w:tc>
          <w:tcPr>
            <w:tcW w:w="4637" w:type="dxa"/>
            <w:tcBorders>
              <w:top w:val="nil"/>
              <w:left w:val="nil"/>
              <w:bottom w:val="nil"/>
              <w:right w:val="nil"/>
            </w:tcBorders>
            <w:vAlign w:val="center"/>
          </w:tcPr>
          <w:p w14:paraId="593CFCA7">
            <w:pPr>
              <w:autoSpaceDE w:val="0"/>
              <w:autoSpaceDN w:val="0"/>
              <w:adjustRightInd w:val="0"/>
              <w:jc w:val="left"/>
              <w:rPr>
                <w:rFonts w:hint="eastAsia" w:ascii="宋体" w:hAnsi="宋体" w:cs="宋体"/>
                <w:sz w:val="28"/>
                <w:szCs w:val="28"/>
              </w:rPr>
            </w:pPr>
            <w:r>
              <w:rPr>
                <w:rFonts w:hint="eastAsia" w:ascii="宋体" w:hAnsi="宋体" w:cs="宋体"/>
                <w:sz w:val="28"/>
                <w:szCs w:val="28"/>
              </w:rPr>
              <w:t xml:space="preserve">地址： </w:t>
            </w:r>
          </w:p>
        </w:tc>
      </w:tr>
      <w:tr w14:paraId="1CFED443">
        <w:tblPrEx>
          <w:tblCellMar>
            <w:top w:w="0" w:type="dxa"/>
            <w:left w:w="108" w:type="dxa"/>
            <w:bottom w:w="0" w:type="dxa"/>
            <w:right w:w="108" w:type="dxa"/>
          </w:tblCellMar>
        </w:tblPrEx>
        <w:trPr>
          <w:trHeight w:val="468" w:hRule="atLeast"/>
          <w:jc w:val="center"/>
        </w:trPr>
        <w:tc>
          <w:tcPr>
            <w:tcW w:w="5001" w:type="dxa"/>
            <w:tcBorders>
              <w:top w:val="nil"/>
              <w:left w:val="nil"/>
              <w:bottom w:val="nil"/>
              <w:right w:val="nil"/>
            </w:tcBorders>
            <w:vAlign w:val="center"/>
          </w:tcPr>
          <w:p w14:paraId="31BD2CA6">
            <w:pPr>
              <w:autoSpaceDE w:val="0"/>
              <w:autoSpaceDN w:val="0"/>
              <w:adjustRightInd w:val="0"/>
              <w:ind w:left="840" w:hanging="840" w:hangingChars="300"/>
              <w:jc w:val="left"/>
              <w:rPr>
                <w:rFonts w:hint="eastAsia" w:ascii="宋体" w:hAnsi="宋体" w:cs="宋体"/>
                <w:sz w:val="28"/>
                <w:szCs w:val="28"/>
              </w:rPr>
            </w:pPr>
            <w:r>
              <w:rPr>
                <w:rFonts w:hint="eastAsia" w:ascii="宋体" w:hAnsi="宋体" w:cs="宋体"/>
                <w:sz w:val="28"/>
                <w:szCs w:val="28"/>
              </w:rPr>
              <w:t xml:space="preserve">电话： </w:t>
            </w:r>
          </w:p>
        </w:tc>
        <w:tc>
          <w:tcPr>
            <w:tcW w:w="4637" w:type="dxa"/>
            <w:tcBorders>
              <w:top w:val="nil"/>
              <w:left w:val="nil"/>
              <w:bottom w:val="nil"/>
              <w:right w:val="nil"/>
            </w:tcBorders>
            <w:vAlign w:val="center"/>
          </w:tcPr>
          <w:p w14:paraId="4166BA1D">
            <w:pPr>
              <w:autoSpaceDE w:val="0"/>
              <w:autoSpaceDN w:val="0"/>
              <w:adjustRightInd w:val="0"/>
              <w:ind w:left="840" w:hanging="840" w:hangingChars="300"/>
              <w:jc w:val="left"/>
              <w:rPr>
                <w:rFonts w:hint="eastAsia" w:ascii="宋体" w:hAnsi="宋体" w:cs="宋体"/>
                <w:sz w:val="28"/>
                <w:szCs w:val="28"/>
              </w:rPr>
            </w:pPr>
            <w:r>
              <w:rPr>
                <w:rFonts w:hint="eastAsia" w:ascii="宋体" w:hAnsi="宋体" w:cs="宋体"/>
                <w:sz w:val="28"/>
                <w:szCs w:val="28"/>
              </w:rPr>
              <w:t xml:space="preserve">电话： </w:t>
            </w:r>
          </w:p>
        </w:tc>
      </w:tr>
      <w:tr w14:paraId="06E47C8A">
        <w:tblPrEx>
          <w:tblCellMar>
            <w:top w:w="0" w:type="dxa"/>
            <w:left w:w="108" w:type="dxa"/>
            <w:bottom w:w="0" w:type="dxa"/>
            <w:right w:w="108" w:type="dxa"/>
          </w:tblCellMar>
        </w:tblPrEx>
        <w:trPr>
          <w:trHeight w:val="468" w:hRule="atLeast"/>
          <w:jc w:val="center"/>
        </w:trPr>
        <w:tc>
          <w:tcPr>
            <w:tcW w:w="5001" w:type="dxa"/>
            <w:tcBorders>
              <w:top w:val="nil"/>
              <w:left w:val="nil"/>
              <w:bottom w:val="nil"/>
              <w:right w:val="nil"/>
            </w:tcBorders>
            <w:vAlign w:val="center"/>
          </w:tcPr>
          <w:p w14:paraId="7721CD20">
            <w:pPr>
              <w:autoSpaceDE w:val="0"/>
              <w:autoSpaceDN w:val="0"/>
              <w:adjustRightInd w:val="0"/>
              <w:ind w:left="1260" w:hanging="1260" w:hangingChars="450"/>
              <w:jc w:val="left"/>
              <w:rPr>
                <w:rFonts w:hint="eastAsia" w:ascii="宋体" w:hAnsi="宋体" w:cs="宋体"/>
                <w:sz w:val="28"/>
                <w:szCs w:val="28"/>
              </w:rPr>
            </w:pPr>
            <w:r>
              <w:rPr>
                <w:rFonts w:hint="eastAsia" w:ascii="宋体" w:hAnsi="宋体" w:cs="宋体"/>
                <w:sz w:val="28"/>
                <w:szCs w:val="28"/>
              </w:rPr>
              <w:t>统一社会信用代码：</w:t>
            </w:r>
          </w:p>
        </w:tc>
        <w:tc>
          <w:tcPr>
            <w:tcW w:w="4637" w:type="dxa"/>
            <w:tcBorders>
              <w:top w:val="nil"/>
              <w:left w:val="nil"/>
              <w:bottom w:val="nil"/>
              <w:right w:val="nil"/>
            </w:tcBorders>
            <w:vAlign w:val="center"/>
          </w:tcPr>
          <w:p w14:paraId="66C74D11">
            <w:pPr>
              <w:autoSpaceDE w:val="0"/>
              <w:autoSpaceDN w:val="0"/>
              <w:adjustRightInd w:val="0"/>
              <w:ind w:left="1260" w:hanging="1260" w:hangingChars="450"/>
              <w:jc w:val="left"/>
              <w:rPr>
                <w:rFonts w:hint="eastAsia" w:ascii="宋体" w:hAnsi="宋体" w:cs="宋体"/>
                <w:sz w:val="28"/>
                <w:szCs w:val="28"/>
              </w:rPr>
            </w:pPr>
            <w:r>
              <w:rPr>
                <w:rFonts w:hint="eastAsia" w:ascii="宋体" w:hAnsi="宋体" w:cs="宋体"/>
                <w:sz w:val="28"/>
                <w:szCs w:val="28"/>
              </w:rPr>
              <w:t xml:space="preserve">统一社会信用代码： </w:t>
            </w:r>
          </w:p>
        </w:tc>
      </w:tr>
      <w:tr w14:paraId="769DA691">
        <w:tblPrEx>
          <w:tblCellMar>
            <w:top w:w="0" w:type="dxa"/>
            <w:left w:w="108" w:type="dxa"/>
            <w:bottom w:w="0" w:type="dxa"/>
            <w:right w:w="108" w:type="dxa"/>
          </w:tblCellMar>
        </w:tblPrEx>
        <w:trPr>
          <w:trHeight w:val="727" w:hRule="atLeast"/>
          <w:jc w:val="center"/>
        </w:trPr>
        <w:tc>
          <w:tcPr>
            <w:tcW w:w="5001" w:type="dxa"/>
            <w:tcBorders>
              <w:top w:val="nil"/>
              <w:left w:val="nil"/>
              <w:bottom w:val="nil"/>
              <w:right w:val="nil"/>
            </w:tcBorders>
            <w:vAlign w:val="center"/>
          </w:tcPr>
          <w:p w14:paraId="068A7B2D">
            <w:pPr>
              <w:autoSpaceDE w:val="0"/>
              <w:autoSpaceDN w:val="0"/>
              <w:adjustRightInd w:val="0"/>
              <w:jc w:val="left"/>
              <w:rPr>
                <w:rFonts w:hint="eastAsia" w:ascii="宋体" w:hAnsi="宋体" w:cs="宋体"/>
                <w:sz w:val="28"/>
                <w:szCs w:val="28"/>
              </w:rPr>
            </w:pPr>
            <w:r>
              <w:rPr>
                <w:rFonts w:hint="eastAsia" w:ascii="宋体" w:hAnsi="宋体" w:cs="宋体"/>
                <w:sz w:val="28"/>
                <w:szCs w:val="28"/>
              </w:rPr>
              <w:t>开户银行：</w:t>
            </w:r>
          </w:p>
        </w:tc>
        <w:tc>
          <w:tcPr>
            <w:tcW w:w="4637" w:type="dxa"/>
            <w:tcBorders>
              <w:top w:val="nil"/>
              <w:left w:val="nil"/>
              <w:bottom w:val="nil"/>
              <w:right w:val="nil"/>
            </w:tcBorders>
            <w:vAlign w:val="center"/>
          </w:tcPr>
          <w:p w14:paraId="09A413F0">
            <w:pPr>
              <w:autoSpaceDE w:val="0"/>
              <w:autoSpaceDN w:val="0"/>
              <w:adjustRightInd w:val="0"/>
              <w:jc w:val="left"/>
              <w:rPr>
                <w:rFonts w:hint="eastAsia" w:ascii="宋体" w:hAnsi="宋体" w:cs="宋体"/>
              </w:rPr>
            </w:pPr>
            <w:r>
              <w:rPr>
                <w:rFonts w:hint="eastAsia" w:ascii="宋体" w:hAnsi="宋体" w:cs="宋体"/>
                <w:sz w:val="28"/>
                <w:szCs w:val="28"/>
              </w:rPr>
              <w:t xml:space="preserve">开户银行： </w:t>
            </w:r>
          </w:p>
        </w:tc>
      </w:tr>
      <w:tr w14:paraId="605A2C5C">
        <w:tblPrEx>
          <w:tblCellMar>
            <w:top w:w="0" w:type="dxa"/>
            <w:left w:w="108" w:type="dxa"/>
            <w:bottom w:w="0" w:type="dxa"/>
            <w:right w:w="108" w:type="dxa"/>
          </w:tblCellMar>
        </w:tblPrEx>
        <w:trPr>
          <w:trHeight w:val="572" w:hRule="atLeast"/>
          <w:jc w:val="center"/>
        </w:trPr>
        <w:tc>
          <w:tcPr>
            <w:tcW w:w="5001" w:type="dxa"/>
            <w:tcBorders>
              <w:top w:val="nil"/>
              <w:left w:val="nil"/>
              <w:bottom w:val="nil"/>
              <w:right w:val="nil"/>
            </w:tcBorders>
            <w:vAlign w:val="center"/>
          </w:tcPr>
          <w:p w14:paraId="190BF45A">
            <w:pPr>
              <w:autoSpaceDE w:val="0"/>
              <w:autoSpaceDN w:val="0"/>
              <w:adjustRightInd w:val="0"/>
              <w:jc w:val="left"/>
              <w:rPr>
                <w:rFonts w:hint="eastAsia" w:ascii="宋体" w:hAnsi="宋体" w:cs="宋体"/>
                <w:sz w:val="28"/>
                <w:szCs w:val="28"/>
              </w:rPr>
            </w:pPr>
            <w:r>
              <w:rPr>
                <w:rFonts w:hint="eastAsia" w:ascii="宋体" w:hAnsi="宋体" w:cs="宋体"/>
                <w:sz w:val="28"/>
                <w:szCs w:val="28"/>
              </w:rPr>
              <w:t>银行账号：</w:t>
            </w:r>
          </w:p>
        </w:tc>
        <w:tc>
          <w:tcPr>
            <w:tcW w:w="4637" w:type="dxa"/>
            <w:tcBorders>
              <w:top w:val="nil"/>
              <w:left w:val="nil"/>
              <w:bottom w:val="nil"/>
              <w:right w:val="nil"/>
            </w:tcBorders>
            <w:vAlign w:val="center"/>
          </w:tcPr>
          <w:p w14:paraId="7AA9D4EB">
            <w:pPr>
              <w:pStyle w:val="10"/>
              <w:ind w:left="0" w:leftChars="0" w:firstLine="0" w:firstLineChars="0"/>
              <w:rPr>
                <w:rFonts w:hint="eastAsia" w:ascii="宋体" w:cs="宋体"/>
                <w:sz w:val="28"/>
                <w:szCs w:val="28"/>
              </w:rPr>
            </w:pPr>
            <w:r>
              <w:rPr>
                <w:rFonts w:hint="eastAsia" w:ascii="宋体" w:cs="宋体"/>
                <w:sz w:val="28"/>
                <w:szCs w:val="28"/>
              </w:rPr>
              <w:t xml:space="preserve">银行账号： </w:t>
            </w:r>
          </w:p>
        </w:tc>
      </w:tr>
      <w:tr w14:paraId="1720A476">
        <w:tblPrEx>
          <w:tblCellMar>
            <w:top w:w="0" w:type="dxa"/>
            <w:left w:w="108" w:type="dxa"/>
            <w:bottom w:w="0" w:type="dxa"/>
            <w:right w:w="108" w:type="dxa"/>
          </w:tblCellMar>
        </w:tblPrEx>
        <w:trPr>
          <w:trHeight w:val="468" w:hRule="atLeast"/>
          <w:jc w:val="center"/>
        </w:trPr>
        <w:tc>
          <w:tcPr>
            <w:tcW w:w="5001" w:type="dxa"/>
            <w:tcBorders>
              <w:top w:val="nil"/>
              <w:left w:val="nil"/>
              <w:bottom w:val="nil"/>
              <w:right w:val="nil"/>
            </w:tcBorders>
            <w:vAlign w:val="center"/>
          </w:tcPr>
          <w:p w14:paraId="7E64C253">
            <w:pPr>
              <w:autoSpaceDE w:val="0"/>
              <w:autoSpaceDN w:val="0"/>
              <w:adjustRightInd w:val="0"/>
              <w:jc w:val="left"/>
              <w:rPr>
                <w:rFonts w:hint="eastAsia" w:ascii="宋体" w:hAnsi="宋体" w:cs="宋体"/>
                <w:sz w:val="28"/>
                <w:szCs w:val="28"/>
              </w:rPr>
            </w:pPr>
            <w:r>
              <w:rPr>
                <w:rFonts w:hint="eastAsia" w:ascii="宋体" w:hAnsi="宋体" w:cs="宋体"/>
                <w:sz w:val="28"/>
                <w:szCs w:val="28"/>
              </w:rPr>
              <w:t>签订日期：       年    月    日</w:t>
            </w:r>
          </w:p>
        </w:tc>
        <w:tc>
          <w:tcPr>
            <w:tcW w:w="4637" w:type="dxa"/>
            <w:tcBorders>
              <w:top w:val="nil"/>
              <w:left w:val="nil"/>
              <w:bottom w:val="nil"/>
              <w:right w:val="nil"/>
            </w:tcBorders>
            <w:vAlign w:val="center"/>
          </w:tcPr>
          <w:p w14:paraId="7A7FE27C">
            <w:pPr>
              <w:autoSpaceDE w:val="0"/>
              <w:autoSpaceDN w:val="0"/>
              <w:adjustRightInd w:val="0"/>
              <w:jc w:val="left"/>
              <w:rPr>
                <w:rFonts w:hint="eastAsia" w:ascii="宋体" w:hAnsi="宋体" w:cs="宋体"/>
                <w:sz w:val="28"/>
                <w:szCs w:val="28"/>
              </w:rPr>
            </w:pPr>
            <w:r>
              <w:rPr>
                <w:rFonts w:hint="eastAsia" w:ascii="宋体" w:hAnsi="宋体" w:cs="宋体"/>
                <w:sz w:val="28"/>
                <w:szCs w:val="28"/>
              </w:rPr>
              <w:t>签订日期：       年    月    日</w:t>
            </w:r>
          </w:p>
        </w:tc>
      </w:tr>
    </w:tbl>
    <w:p w14:paraId="5A520E9E">
      <w:pPr>
        <w:wordWrap w:val="0"/>
        <w:jc w:val="right"/>
      </w:pPr>
      <w:r>
        <w:rPr>
          <w:rFonts w:hint="eastAsia"/>
          <w:sz w:val="28"/>
          <w:szCs w:val="28"/>
        </w:rPr>
        <w:t xml:space="preserve">   </w:t>
      </w:r>
    </w:p>
    <w:p w14:paraId="0C1153C4"/>
    <w:p w14:paraId="10EAA05B"/>
    <w:sectPr>
      <w:footerReference r:id="rId6" w:type="default"/>
      <w:pgSz w:w="11900" w:h="16838"/>
      <w:pgMar w:top="1440" w:right="1800" w:bottom="1440" w:left="1800" w:header="0" w:footer="850" w:gutter="0"/>
      <w:pgNumType w:start="1"/>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77121">
    <w:pPr>
      <w:pStyle w:val="7"/>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47512905"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79594D03">
                          <w:pPr>
                            <w:pStyle w:val="7"/>
                            <w:rPr>
                              <w:rFonts w:hint="eastAsia"/>
                            </w:rPr>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OqXm5zwAAAAUBAAAPAAAAAAAAAAEAIAAAACIAAABkcnMv&#10;ZG93bnJldi54bWxQSwECFAAUAAAACACHTuJAH2QOugwCAAAMBAAADgAAAAAAAAABACAAAAAeAQAA&#10;ZHJzL2Uyb0RvYy54bWxQSwUGAAAAAAYABgBZAQAAnAUAAAAA&#10;">
              <v:fill on="f" focussize="0,0"/>
              <v:stroke on="f"/>
              <v:imagedata o:title=""/>
              <o:lock v:ext="edit" aspectratio="f"/>
              <v:textbox inset="0mm,0mm,0mm,0mm" style="mso-fit-shape-to-text:t;">
                <w:txbxContent>
                  <w:p w14:paraId="79594D03">
                    <w:pPr>
                      <w:pStyle w:val="7"/>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p w14:paraId="2EEBC413">
    <w:pPr>
      <w:pStyle w:val="7"/>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EAF79">
    <w:pPr>
      <w:pStyle w:val="7"/>
      <w:framePr w:wrap="around" w:vAnchor="text" w:hAnchor="margin" w:xAlign="center" w:y="1"/>
      <w:rPr>
        <w:rStyle w:val="13"/>
        <w:rFonts w:hint="eastAsia"/>
      </w:rPr>
    </w:pPr>
    <w:r>
      <w:fldChar w:fldCharType="begin"/>
    </w:r>
    <w:r>
      <w:rPr>
        <w:rStyle w:val="13"/>
      </w:rPr>
      <w:instrText xml:space="preserve">PAGE  </w:instrText>
    </w:r>
    <w:r>
      <w:fldChar w:fldCharType="end"/>
    </w:r>
  </w:p>
  <w:p w14:paraId="772E8281">
    <w:pPr>
      <w:pStyle w:val="7"/>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1BB9D">
    <w:pPr>
      <w:pStyle w:val="7"/>
      <w:jc w:val="cente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211265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1562523D">
                          <w:pPr>
                            <w:pStyle w:val="7"/>
                            <w:rPr>
                              <w:rFonts w:hint="eastAsia"/>
                            </w:rPr>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6pebnPAAAABQEAAA8AAAAAAAAAAQAgAAAAIgAAAGRycy9k&#10;b3ducmV2LnhtbFBLAQIUABQAAAAIAIdO4kC8DJiPCwIAAAwEAAAOAAAAAAAAAAEAIAAAAB4BAABk&#10;cnMvZTJvRG9jLnhtbFBLBQYAAAAABgAGAFkBAACbBQAAAAA=&#10;">
              <v:fill on="f" focussize="0,0"/>
              <v:stroke on="f"/>
              <v:imagedata o:title=""/>
              <o:lock v:ext="edit" aspectratio="f"/>
              <v:textbox inset="0mm,0mm,0mm,0mm" style="mso-fit-shape-to-text:t;">
                <w:txbxContent>
                  <w:p w14:paraId="1562523D">
                    <w:pPr>
                      <w:pStyle w:val="7"/>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p w14:paraId="17574F94">
    <w:pPr>
      <w:pStyle w:val="7"/>
      <w:jc w:val="center"/>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5DF47">
    <w:pPr>
      <w:pStyle w:val="7"/>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CCBB4">
                          <w:pPr>
                            <w:pStyle w:val="7"/>
                            <w:ind w:firstLine="360"/>
                            <w:rPr>
                              <w:color w:val="auto"/>
                            </w:rPr>
                          </w:pPr>
                          <w:r>
                            <w:rPr>
                              <w:color w:val="auto"/>
                            </w:rPr>
                            <w:fldChar w:fldCharType="begin"/>
                          </w:r>
                          <w:r>
                            <w:rPr>
                              <w:color w:val="auto"/>
                            </w:rPr>
                            <w:instrText xml:space="preserve"> PAGE  \* MERGEFORMAT </w:instrText>
                          </w:r>
                          <w:r>
                            <w:rPr>
                              <w:color w:val="auto"/>
                            </w:rPr>
                            <w:fldChar w:fldCharType="separate"/>
                          </w:r>
                          <w:r>
                            <w:rPr>
                              <w:color w:val="auto"/>
                            </w:rPr>
                            <w:t>2</w:t>
                          </w:r>
                          <w:r>
                            <w:rPr>
                              <w:color w:val="auto"/>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70CCBB4">
                    <w:pPr>
                      <w:pStyle w:val="7"/>
                      <w:ind w:firstLine="360"/>
                      <w:rPr>
                        <w:color w:val="auto"/>
                      </w:rPr>
                    </w:pPr>
                    <w:r>
                      <w:rPr>
                        <w:color w:val="auto"/>
                      </w:rPr>
                      <w:fldChar w:fldCharType="begin"/>
                    </w:r>
                    <w:r>
                      <w:rPr>
                        <w:color w:val="auto"/>
                      </w:rPr>
                      <w:instrText xml:space="preserve"> PAGE  \* MERGEFORMAT </w:instrText>
                    </w:r>
                    <w:r>
                      <w:rPr>
                        <w:color w:val="auto"/>
                      </w:rPr>
                      <w:fldChar w:fldCharType="separate"/>
                    </w:r>
                    <w:r>
                      <w:rPr>
                        <w:color w:val="auto"/>
                      </w:rPr>
                      <w:t>2</w:t>
                    </w:r>
                    <w:r>
                      <w:rPr>
                        <w:color w:val="auto"/>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MTEwNzVkOGQ5M2EyMGE5MjU4ODRhYzgxZmVlYWUifQ=="/>
  </w:docVars>
  <w:rsids>
    <w:rsidRoot w:val="40CB58C1"/>
    <w:rsid w:val="01D46B46"/>
    <w:rsid w:val="054306D6"/>
    <w:rsid w:val="1FA17BA9"/>
    <w:rsid w:val="29872188"/>
    <w:rsid w:val="2D0B65A3"/>
    <w:rsid w:val="347307BF"/>
    <w:rsid w:val="40CB58C1"/>
    <w:rsid w:val="484E58BC"/>
    <w:rsid w:val="4ED12BCC"/>
    <w:rsid w:val="60FA67E0"/>
    <w:rsid w:val="6CB811F0"/>
    <w:rsid w:val="70990A6D"/>
    <w:rsid w:val="77610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480" w:after="80" w:line="278" w:lineRule="auto"/>
      <w:jc w:val="left"/>
      <w:outlineLvl w:val="0"/>
    </w:pPr>
    <w:rPr>
      <w:rFonts w:asciiTheme="majorHAnsi" w:hAnsiTheme="majorHAnsi" w:eastAsiaTheme="majorEastAsia" w:cstheme="majorBidi"/>
      <w:color w:val="000000" w:themeColor="text1"/>
      <w:sz w:val="48"/>
      <w:szCs w:val="48"/>
      <w14:textFill>
        <w14:solidFill>
          <w14:schemeClr w14:val="tx1"/>
        </w14:solidFill>
      </w14:textFill>
      <w14:ligatures w14:val="standardContextual"/>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annotation text"/>
    <w:basedOn w:val="1"/>
    <w:qFormat/>
    <w:uiPriority w:val="0"/>
    <w:pPr>
      <w:jc w:val="left"/>
    </w:pPr>
  </w:style>
  <w:style w:type="paragraph" w:styleId="5">
    <w:name w:val="Body Text"/>
    <w:basedOn w:val="1"/>
    <w:next w:val="1"/>
    <w:qFormat/>
    <w:uiPriority w:val="1"/>
    <w:rPr>
      <w:rFonts w:ascii="宋体" w:hAnsi="宋体" w:eastAsia="宋体" w:cs="宋体"/>
      <w:sz w:val="24"/>
      <w:szCs w:val="24"/>
      <w:lang w:val="en-US" w:eastAsia="zh-CN" w:bidi="ar-SA"/>
    </w:rPr>
  </w:style>
  <w:style w:type="paragraph" w:styleId="6">
    <w:name w:val="Body Text Indent"/>
    <w:basedOn w:val="1"/>
    <w:semiHidden/>
    <w:unhideWhenUsed/>
    <w:qFormat/>
    <w:uiPriority w:val="99"/>
    <w:pPr>
      <w:spacing w:after="120"/>
      <w:ind w:left="420" w:leftChars="200"/>
    </w:pPr>
  </w:style>
  <w:style w:type="paragraph" w:styleId="7">
    <w:name w:val="footer"/>
    <w:basedOn w:val="1"/>
    <w:qFormat/>
    <w:uiPriority w:val="0"/>
    <w:pPr>
      <w:tabs>
        <w:tab w:val="center" w:pos="4153"/>
        <w:tab w:val="right" w:pos="8306"/>
      </w:tabs>
      <w:snapToGrid w:val="0"/>
      <w:spacing w:line="240" w:lineRule="auto"/>
    </w:pPr>
    <w:rPr>
      <w:sz w:val="18"/>
      <w:szCs w:val="18"/>
    </w:rPr>
  </w:style>
  <w:style w:type="paragraph" w:styleId="8">
    <w:name w:val="toc 1"/>
    <w:basedOn w:val="1"/>
    <w:next w:val="1"/>
    <w:qFormat/>
    <w:uiPriority w:val="39"/>
    <w:pPr>
      <w:tabs>
        <w:tab w:val="right" w:leader="dot" w:pos="9060"/>
      </w:tabs>
      <w:spacing w:line="360" w:lineRule="auto"/>
    </w:pPr>
    <w:rPr>
      <w:rFonts w:ascii="宋体" w:hAnsi="宋体" w:eastAsia="宋体"/>
      <w:b/>
      <w:sz w:val="24"/>
    </w:rPr>
  </w:style>
  <w:style w:type="paragraph" w:styleId="9">
    <w:name w:val="Body Text First Indent"/>
    <w:basedOn w:val="5"/>
    <w:unhideWhenUsed/>
    <w:qFormat/>
    <w:uiPriority w:val="99"/>
    <w:pPr>
      <w:spacing w:line="240" w:lineRule="auto"/>
      <w:ind w:firstLine="420" w:firstLineChars="100"/>
      <w:jc w:val="both"/>
    </w:pPr>
    <w:rPr>
      <w:rFonts w:ascii="Times New Roman" w:eastAsia="宋体"/>
      <w:sz w:val="21"/>
    </w:rPr>
  </w:style>
  <w:style w:type="paragraph" w:styleId="10">
    <w:name w:val="Body Text First Indent 2"/>
    <w:basedOn w:val="6"/>
    <w:qFormat/>
    <w:uiPriority w:val="99"/>
    <w:pPr>
      <w:ind w:firstLine="420" w:firstLineChars="200"/>
      <w:jc w:val="left"/>
    </w:pPr>
    <w:rPr>
      <w:rFonts w:hAnsi="宋体"/>
      <w:sz w:val="20"/>
      <w:szCs w:val="22"/>
    </w:rPr>
  </w:style>
  <w:style w:type="character" w:styleId="13">
    <w:name w:val="page number"/>
    <w:qFormat/>
    <w:uiPriority w:val="0"/>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customStyle="1" w:styleId="15">
    <w:name w:val="Default5"/>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3283</Words>
  <Characters>3361</Characters>
  <Lines>0</Lines>
  <Paragraphs>0</Paragraphs>
  <TotalTime>1</TotalTime>
  <ScaleCrop>false</ScaleCrop>
  <LinksUpToDate>false</LinksUpToDate>
  <CharactersWithSpaces>3828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2024-12-10T09:23:00Z</dcterms:created>
  <dc:creator>芹泽。</dc:creator>
  <cp:lastModifiedBy>123</cp:lastModifiedBy>
  <dcterms:modified xsi:type="dcterms:W3CDTF">2026-06-03T07:33:43Z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18913BD8C0024BEBA704AE79B104A13F_13</vt:lpwstr>
  </property>
  <property fmtid="{D5CDD505-2E9C-101B-9397-08002B2CF9AE}" pid="4" name="KSOTemplateDocerSaveRecord">
    <vt:lpwstr>eyJoZGlkIjoiMTVjNDljZTRlNWE0NzE1ZTgyYzkyOWFlZDE0YWMyMjAiLCJ1c2VySWQiOiI4ODgwNzE0ODcifQ==</vt:lpwstr>
  </property>
</Properties>
</file>