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版本号：FN-ZBH-2026-011.1B120260730001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移动检察办公办案业务一体化服务(二次)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FN-ZBH-2026-011.1B1</w:t>
      </w:r>
      <w:r>
        <w:br/>
      </w:r>
      <w:r>
        <w:br/>
      </w:r>
      <w:r>
        <w:br/>
      </w:r>
    </w:p>
    <w:p>
      <w:pPr>
        <w:pStyle w:val="null3"/>
        <w:jc w:val="center"/>
        <w:outlineLvl w:val="2"/>
      </w:pPr>
      <w:r>
        <w:rPr>
          <w:rFonts w:ascii="仿宋_GB2312" w:hAnsi="仿宋_GB2312" w:cs="仿宋_GB2312" w:eastAsia="仿宋_GB2312"/>
          <w:sz w:val="28"/>
          <w:b/>
        </w:rPr>
        <w:t>汉中市南郑区人民检察院</w:t>
      </w:r>
    </w:p>
    <w:p>
      <w:pPr>
        <w:pStyle w:val="null3"/>
        <w:jc w:val="center"/>
        <w:outlineLvl w:val="2"/>
      </w:pPr>
      <w:r>
        <w:rPr>
          <w:rFonts w:ascii="仿宋_GB2312" w:hAnsi="仿宋_GB2312" w:cs="仿宋_GB2312" w:eastAsia="仿宋_GB2312"/>
          <w:sz w:val="28"/>
          <w:b/>
        </w:rPr>
        <w:t>丰诺工程咨询有限公司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丰诺工程咨询有限公司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汉中市南郑区人民检察院</w:t>
      </w:r>
      <w:r>
        <w:rPr>
          <w:rFonts w:ascii="仿宋_GB2312" w:hAnsi="仿宋_GB2312" w:cs="仿宋_GB2312" w:eastAsia="仿宋_GB2312"/>
        </w:rPr>
        <w:t>委托，拟对</w:t>
      </w:r>
      <w:r>
        <w:rPr>
          <w:rFonts w:ascii="仿宋_GB2312" w:hAnsi="仿宋_GB2312" w:cs="仿宋_GB2312" w:eastAsia="仿宋_GB2312"/>
        </w:rPr>
        <w:t>移动检察办公办案业务一体化服务(二次)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FN-ZBH-2026-011.1B1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移动检察办公办案业务一体化服务(二次)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主要包含移动检务双系统终端设备工具包、省检察院检务平台终端安全管理（MDM）系统授权服务、省检察院检务平台数字证书认证及协同签名系统授权服务、移动办公系统功能服务、检务平台接入终端设备数据通信服务、维保服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供应商应授权合法的人员参与磋商，法定代表人直接参加磋商的，须出具法定代表人身份证明，并与营业执照或其他主体资格证明文件上信息一致。法定代表人授权代表参与磋商的，须出具法定代表人授权书和授权代表身份证。</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南郑区汉山街道办让水大道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汉中市南郑区人民检察院经办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5525037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陕西省汉中市汉台区七里街道办事处盛世国际商业广场2号写字楼1506室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0916-2115600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开户名称：丰诺工程咨询有限公司</w:t>
            </w:r>
          </w:p>
          <w:p>
            <w:pPr>
              <w:pStyle w:val="null3"/>
            </w:pPr>
            <w:r>
              <w:rPr>
                <w:rFonts w:ascii="仿宋_GB2312" w:hAnsi="仿宋_GB2312" w:cs="仿宋_GB2312" w:eastAsia="仿宋_GB2312"/>
              </w:rPr>
              <w:t>开户银行：中国工商银行股份有限公司西安朱雀路南段支行（西安电子工业区支行）</w:t>
            </w:r>
          </w:p>
          <w:p>
            <w:pPr>
              <w:pStyle w:val="null3"/>
            </w:pPr>
            <w:r>
              <w:rPr>
                <w:rFonts w:ascii="仿宋_GB2312" w:hAnsi="仿宋_GB2312" w:cs="仿宋_GB2312" w:eastAsia="仿宋_GB2312"/>
              </w:rPr>
              <w:t>银行账号：3700083309100039532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汉中市南郑区人民检察院</w:t>
      </w:r>
      <w:r>
        <w:rPr>
          <w:rFonts w:ascii="仿宋_GB2312" w:hAnsi="仿宋_GB2312" w:cs="仿宋_GB2312" w:eastAsia="仿宋_GB2312"/>
        </w:rPr>
        <w:t>和</w:t>
      </w:r>
      <w:r>
        <w:rPr>
          <w:rFonts w:ascii="仿宋_GB2312" w:hAnsi="仿宋_GB2312" w:cs="仿宋_GB2312" w:eastAsia="仿宋_GB2312"/>
        </w:rPr>
        <w:t>丰诺工程咨询有限公司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汉中市南郑区人民检察院</w:t>
      </w:r>
      <w:r>
        <w:rPr>
          <w:rFonts w:ascii="仿宋_GB2312" w:hAnsi="仿宋_GB2312" w:cs="仿宋_GB2312" w:eastAsia="仿宋_GB2312"/>
        </w:rPr>
        <w:t>负责解释。除上述磋商文件内容，其他内容由</w:t>
      </w:r>
      <w:r>
        <w:rPr>
          <w:rFonts w:ascii="仿宋_GB2312" w:hAnsi="仿宋_GB2312" w:cs="仿宋_GB2312" w:eastAsia="仿宋_GB2312"/>
        </w:rPr>
        <w:t>丰诺工程咨询有限公司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依据合同约定与相关行业强制性规定执行。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联系电话：0916-2115600</w:t>
      </w:r>
    </w:p>
    <w:p>
      <w:pPr>
        <w:pStyle w:val="null3"/>
      </w:pPr>
      <w:r>
        <w:rPr>
          <w:rFonts w:ascii="仿宋_GB2312" w:hAnsi="仿宋_GB2312" w:cs="仿宋_GB2312" w:eastAsia="仿宋_GB2312"/>
        </w:rPr>
        <w:t>地址：陕西省汉中市汉台区七里街道办事处盛世国际商业广场2号写字楼1506室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主要包含移动检务双系统终端设备工具包、省检察院检务平台终端安全管理（MDM）系统授权服务、省检察院检务平台数字证书认证及协同签名系统授权服务、移动办公系统功能服务、检务平台接入终端设备数据通信服务、维保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满足移动办公办案的需求</w:t>
            </w:r>
          </w:p>
        </w:tc>
        <w:tc>
          <w:tcPr>
            <w:tcW w:type="dxa" w:w="755"/>
          </w:tcPr>
          <w:p>
            <w:pPr>
              <w:pStyle w:val="null3"/>
              <w:jc w:val="right"/>
            </w:pPr>
            <w:r>
              <w:rPr>
                <w:rFonts w:ascii="仿宋_GB2312" w:hAnsi="仿宋_GB2312" w:cs="仿宋_GB2312" w:eastAsia="仿宋_GB2312"/>
              </w:rPr>
              <w:t>80.00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标的名称：满足移动办公办案的需求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03"/>
              <w:gridCol w:w="804"/>
              <w:gridCol w:w="2696"/>
              <w:gridCol w:w="407"/>
              <w:gridCol w:w="440"/>
              <w:gridCol w:w="450"/>
            </w:tblGrid>
            <w:tr>
              <w:tc>
                <w:tcPr>
                  <w:tcW w:type="dxa" w:w="5100"/>
                  <w:gridSpan w:val="6"/>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采购清单</w:t>
                  </w:r>
                </w:p>
              </w:tc>
            </w:tr>
            <w:tr>
              <w:tc>
                <w:tcPr>
                  <w:tcW w:type="dxa" w:w="303"/>
                  <w:tcBorders>
                    <w:top w:val="single" w:color="000000" w:sz="4"/>
                    <w:left w:val="single" w:color="000000" w:sz="4"/>
                    <w:bottom w:val="single" w:color="000000" w:sz="4"/>
                    <w:right w:val="single" w:color="000000" w:sz="4"/>
                  </w:tcBorders>
                  <w:shd w:fill="DCE6F1"/>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804"/>
                  <w:tcBorders>
                    <w:top w:val="single" w:color="000000" w:sz="4"/>
                    <w:left w:val="single" w:color="000000" w:sz="4"/>
                    <w:bottom w:val="single" w:color="000000" w:sz="4"/>
                    <w:right w:val="single" w:color="000000" w:sz="4"/>
                  </w:tcBorders>
                  <w:shd w:fill="DCE6F1"/>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产品/服务名称</w:t>
                  </w:r>
                </w:p>
              </w:tc>
              <w:tc>
                <w:tcPr>
                  <w:tcW w:type="dxa" w:w="2696"/>
                  <w:tcBorders>
                    <w:top w:val="single" w:color="000000" w:sz="4"/>
                    <w:left w:val="single" w:color="000000" w:sz="4"/>
                    <w:bottom w:val="single" w:color="000000" w:sz="4"/>
                    <w:right w:val="single" w:color="000000" w:sz="4"/>
                  </w:tcBorders>
                  <w:shd w:fill="DCE6F1"/>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技术参数与性能指标</w:t>
                  </w:r>
                </w:p>
              </w:tc>
              <w:tc>
                <w:tcPr>
                  <w:tcW w:type="dxa" w:w="407"/>
                  <w:tcBorders>
                    <w:top w:val="single" w:color="000000" w:sz="4"/>
                    <w:left w:val="single" w:color="000000" w:sz="4"/>
                    <w:bottom w:val="single" w:color="000000" w:sz="4"/>
                    <w:right w:val="single" w:color="000000" w:sz="4"/>
                  </w:tcBorders>
                  <w:shd w:fill="DCE6F1"/>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440"/>
                  <w:tcBorders>
                    <w:top w:val="single" w:color="000000" w:sz="4"/>
                    <w:left w:val="single" w:color="000000" w:sz="4"/>
                    <w:bottom w:val="single" w:color="000000" w:sz="4"/>
                    <w:right w:val="single" w:color="000000" w:sz="4"/>
                  </w:tcBorders>
                  <w:shd w:fill="DCE6F1"/>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450"/>
                  <w:tcBorders>
                    <w:top w:val="single" w:color="000000" w:sz="4"/>
                    <w:left w:val="single" w:color="000000" w:sz="4"/>
                    <w:bottom w:val="single" w:color="000000" w:sz="4"/>
                    <w:right w:val="single" w:color="000000" w:sz="4"/>
                  </w:tcBorders>
                  <w:shd w:fill="DCE6F1"/>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服务期（月）</w:t>
                  </w:r>
                </w:p>
              </w:tc>
            </w:tr>
            <w:tr>
              <w:tc>
                <w:tcPr>
                  <w:tcW w:type="dxa" w:w="303"/>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804"/>
                  <w:vMerge w:val="restart"/>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移动检务双系统终端设备工具包</w:t>
                  </w: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0"/>
                      <w:color w:val="000000"/>
                    </w:rPr>
                    <w:t>★1.满足接入陕西省人民检察院移动检务平台移动办公应用功能特性：</w:t>
                  </w:r>
                  <w:r>
                    <w:br/>
                  </w:r>
                  <w:r>
                    <w:rPr>
                      <w:rFonts w:ascii="仿宋_GB2312" w:hAnsi="仿宋_GB2312" w:cs="仿宋_GB2312" w:eastAsia="仿宋_GB2312"/>
                      <w:sz w:val="20"/>
                      <w:color w:val="000000"/>
                    </w:rPr>
                    <w:t xml:space="preserve"> （1）双系统隔离：两个操作系统运行在不同的ROM空间独立运行，完全隔离；两个系统的文件系统、网络连接、外围接口、用户数据都不能相互访问；两个系统的通话记录、通讯录、图片、视频以及其他信息不能互相访问；两个操作系统间支持一键快速切换、指纹切换、NFC感应切换;任何一个系统不能删除、创建或控制另外一个系统；一个系统重置不影响另外一个系统；独立设置指纹解锁，支持息屏状态下使用不同指纹直接进入相应系统；支持生活区接入公共APN、工作区接入专属APN，双APN同时在线。</w:t>
                  </w:r>
                  <w:r>
                    <w:br/>
                  </w:r>
                  <w:r>
                    <w:rPr>
                      <w:rFonts w:ascii="仿宋_GB2312" w:hAnsi="仿宋_GB2312" w:cs="仿宋_GB2312" w:eastAsia="仿宋_GB2312"/>
                      <w:sz w:val="20"/>
                      <w:color w:val="000000"/>
                    </w:rPr>
                    <w:t xml:space="preserve"> （2）安全增强：终端预装可信组件，动态度量系统关键字段（代码段、数据段、关键数据结构），异常自动告警；基于根安全存储及熔丝保护，在启动时和运行时进行安全度量，打造完整的可信链；安全启动，内核级防root，防刷机，禁止刷成普通消费者版本；支持系统级全局水印，可显示在所有的界面上，包含锁屏界面，桌面，应用界面，设置界面等等。能够防止通过拍照等方式的数据泄露，同时支持防截屏、防录屏；防止操作系统境外非受控IP访问，清除操作系统原生应用境外非受控IP地址访问，同时提供白名单和黑名单机制控制IP地址访问。</w:t>
                  </w:r>
                  <w:r>
                    <w:br/>
                  </w:r>
                  <w:r>
                    <w:rPr>
                      <w:rFonts w:ascii="仿宋_GB2312" w:hAnsi="仿宋_GB2312" w:cs="仿宋_GB2312" w:eastAsia="仿宋_GB2312"/>
                      <w:sz w:val="20"/>
                      <w:color w:val="000000"/>
                    </w:rPr>
                    <w:t xml:space="preserve"> （3）加密保护：文件加密防止通过拆解手机取得存储芯片, 并将其插到其它手机上获取用户数据。</w:t>
                  </w:r>
                  <w:r>
                    <w:br/>
                  </w:r>
                  <w:r>
                    <w:rPr>
                      <w:rFonts w:ascii="仿宋_GB2312" w:hAnsi="仿宋_GB2312" w:cs="仿宋_GB2312" w:eastAsia="仿宋_GB2312"/>
                      <w:sz w:val="20"/>
                      <w:color w:val="000000"/>
                    </w:rPr>
                    <w:t>（4）</w:t>
                  </w:r>
                  <w:r>
                    <w:rPr>
                      <w:rFonts w:ascii="仿宋_GB2312" w:hAnsi="仿宋_GB2312" w:cs="仿宋_GB2312" w:eastAsia="仿宋_GB2312"/>
                      <w:sz w:val="19"/>
                      <w:color w:val="000000"/>
                    </w:rPr>
                    <w:t>定位增强：支持北斗定位（此项内容以附件—技术参数与性能指标中参数为准）。</w:t>
                  </w:r>
                  <w:r>
                    <w:br/>
                  </w:r>
                  <w:r>
                    <w:rPr>
                      <w:rFonts w:ascii="仿宋_GB2312" w:hAnsi="仿宋_GB2312" w:cs="仿宋_GB2312" w:eastAsia="仿宋_GB2312"/>
                      <w:sz w:val="20"/>
                      <w:color w:val="000000"/>
                    </w:rPr>
                    <w:t xml:space="preserve"> （5）管控定制：支持WiFi/数据网络/蓝牙/USB/通话/短信/麦克风/扬声器/摄像头等功能管控；工作区的USB只能充电，不能传输数据；支持蓝牙由MDM远程控制，不能随意开启，支持按照蓝牙设备Mac地址白名单进行精准管控；支持WiFi只能扫描热点信息，不能传输数据，也可以设置WiFi热点白名单，仅允许接入白名单内的WiFi热点传输数据，实现精准管控。</w:t>
                  </w:r>
                </w:p>
              </w:tc>
              <w:tc>
                <w:tcPr>
                  <w:tcW w:type="dxa" w:w="407"/>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440"/>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450"/>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303"/>
                  <w:vMerge/>
                  <w:tcBorders>
                    <w:top w:val="single" w:color="000000" w:sz="4"/>
                    <w:left w:val="single" w:color="000000" w:sz="4"/>
                    <w:bottom w:val="single" w:color="000000" w:sz="4"/>
                    <w:right w:val="single" w:color="000000" w:sz="4"/>
                  </w:tcBorders>
                </w:tcPr>
                <w:p/>
              </w:tc>
              <w:tc>
                <w:tcPr>
                  <w:tcW w:type="dxa" w:w="804"/>
                  <w:vMerge/>
                  <w:tcBorders>
                    <w:top w:val="single" w:color="000000" w:sz="4"/>
                    <w:left w:val="single" w:color="000000" w:sz="4"/>
                    <w:bottom w:val="none" w:color="000000" w:sz="4"/>
                    <w:right w:val="single" w:color="000000" w:sz="4"/>
                  </w:tcBorders>
                </w:tcP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▲2.操作系统：定制移动端操作系统</w:t>
                  </w:r>
                </w:p>
              </w:tc>
              <w:tc>
                <w:tcPr>
                  <w:tcW w:type="dxa" w:w="407"/>
                  <w:vMerge/>
                  <w:tcBorders>
                    <w:top w:val="singl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450"/>
                  <w:vMerge/>
                  <w:tcBorders>
                    <w:top w:val="single" w:color="000000" w:sz="4"/>
                    <w:left w:val="single" w:color="000000" w:sz="4"/>
                    <w:bottom w:val="single" w:color="000000" w:sz="4"/>
                    <w:right w:val="single" w:color="000000" w:sz="4"/>
                  </w:tcBorders>
                </w:tcPr>
                <w:p/>
              </w:tc>
            </w:tr>
            <w:tr>
              <w:tc>
                <w:tcPr>
                  <w:tcW w:type="dxa" w:w="303"/>
                  <w:vMerge/>
                  <w:tcBorders>
                    <w:top w:val="single" w:color="000000" w:sz="4"/>
                    <w:left w:val="single" w:color="000000" w:sz="4"/>
                    <w:bottom w:val="single" w:color="000000" w:sz="4"/>
                    <w:right w:val="single" w:color="000000" w:sz="4"/>
                  </w:tcBorders>
                </w:tcPr>
                <w:p/>
              </w:tc>
              <w:tc>
                <w:tcPr>
                  <w:tcW w:type="dxa" w:w="804"/>
                  <w:vMerge/>
                  <w:tcBorders>
                    <w:top w:val="single" w:color="000000" w:sz="4"/>
                    <w:left w:val="single" w:color="000000" w:sz="4"/>
                    <w:bottom w:val="none" w:color="000000" w:sz="4"/>
                    <w:right w:val="single" w:color="000000" w:sz="4"/>
                  </w:tcBorders>
                </w:tcP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▲3.屏幕尺寸：&gt;=6.3英寸</w:t>
                  </w:r>
                </w:p>
              </w:tc>
              <w:tc>
                <w:tcPr>
                  <w:tcW w:type="dxa" w:w="407"/>
                  <w:vMerge/>
                  <w:tcBorders>
                    <w:top w:val="singl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450"/>
                  <w:vMerge/>
                  <w:tcBorders>
                    <w:top w:val="single" w:color="000000" w:sz="4"/>
                    <w:left w:val="single" w:color="000000" w:sz="4"/>
                    <w:bottom w:val="single" w:color="000000" w:sz="4"/>
                    <w:right w:val="single" w:color="000000" w:sz="4"/>
                  </w:tcBorders>
                </w:tcPr>
                <w:p/>
              </w:tc>
            </w:tr>
            <w:tr>
              <w:tc>
                <w:tcPr>
                  <w:tcW w:type="dxa" w:w="303"/>
                  <w:vMerge/>
                  <w:tcBorders>
                    <w:top w:val="single" w:color="000000" w:sz="4"/>
                    <w:left w:val="single" w:color="000000" w:sz="4"/>
                    <w:bottom w:val="single" w:color="000000" w:sz="4"/>
                    <w:right w:val="single" w:color="000000" w:sz="4"/>
                  </w:tcBorders>
                </w:tcPr>
                <w:p/>
              </w:tc>
              <w:tc>
                <w:tcPr>
                  <w:tcW w:type="dxa" w:w="804"/>
                  <w:vMerge/>
                  <w:tcBorders>
                    <w:top w:val="single" w:color="000000" w:sz="4"/>
                    <w:left w:val="single" w:color="000000" w:sz="4"/>
                    <w:bottom w:val="none" w:color="000000" w:sz="4"/>
                    <w:right w:val="single" w:color="000000" w:sz="4"/>
                  </w:tcBorders>
                </w:tcP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▲4.屏幕像素密度PPI：&gt;=400PPI</w:t>
                  </w:r>
                </w:p>
              </w:tc>
              <w:tc>
                <w:tcPr>
                  <w:tcW w:type="dxa" w:w="407"/>
                  <w:vMerge/>
                  <w:tcBorders>
                    <w:top w:val="singl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450"/>
                  <w:vMerge/>
                  <w:tcBorders>
                    <w:top w:val="single" w:color="000000" w:sz="4"/>
                    <w:left w:val="single" w:color="000000" w:sz="4"/>
                    <w:bottom w:val="single" w:color="000000" w:sz="4"/>
                    <w:right w:val="single" w:color="000000" w:sz="4"/>
                  </w:tcBorders>
                </w:tcPr>
                <w:p/>
              </w:tc>
            </w:tr>
            <w:tr>
              <w:tc>
                <w:tcPr>
                  <w:tcW w:type="dxa" w:w="303"/>
                  <w:vMerge/>
                  <w:tcBorders>
                    <w:top w:val="single" w:color="000000" w:sz="4"/>
                    <w:left w:val="single" w:color="000000" w:sz="4"/>
                    <w:bottom w:val="single" w:color="000000" w:sz="4"/>
                    <w:right w:val="single" w:color="000000" w:sz="4"/>
                  </w:tcBorders>
                </w:tcPr>
                <w:p/>
              </w:tc>
              <w:tc>
                <w:tcPr>
                  <w:tcW w:type="dxa" w:w="804"/>
                  <w:vMerge/>
                  <w:tcBorders>
                    <w:top w:val="single" w:color="000000" w:sz="4"/>
                    <w:left w:val="single" w:color="000000" w:sz="4"/>
                    <w:bottom w:val="none" w:color="000000" w:sz="4"/>
                    <w:right w:val="single" w:color="000000" w:sz="4"/>
                  </w:tcBorders>
                </w:tcP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▲5.后置摄像头：&gt;=4500万像素超聚光摄像头</w:t>
                  </w:r>
                </w:p>
              </w:tc>
              <w:tc>
                <w:tcPr>
                  <w:tcW w:type="dxa" w:w="407"/>
                  <w:vMerge/>
                  <w:tcBorders>
                    <w:top w:val="singl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450"/>
                  <w:vMerge/>
                  <w:tcBorders>
                    <w:top w:val="single" w:color="000000" w:sz="4"/>
                    <w:left w:val="single" w:color="000000" w:sz="4"/>
                    <w:bottom w:val="single" w:color="000000" w:sz="4"/>
                    <w:right w:val="single" w:color="000000" w:sz="4"/>
                  </w:tcBorders>
                </w:tcPr>
                <w:p/>
              </w:tc>
            </w:tr>
            <w:tr>
              <w:tc>
                <w:tcPr>
                  <w:tcW w:type="dxa" w:w="303"/>
                  <w:vMerge/>
                  <w:tcBorders>
                    <w:top w:val="single" w:color="000000" w:sz="4"/>
                    <w:left w:val="single" w:color="000000" w:sz="4"/>
                    <w:bottom w:val="single" w:color="000000" w:sz="4"/>
                    <w:right w:val="single" w:color="000000" w:sz="4"/>
                  </w:tcBorders>
                </w:tcPr>
                <w:p/>
              </w:tc>
              <w:tc>
                <w:tcPr>
                  <w:tcW w:type="dxa" w:w="804"/>
                  <w:vMerge/>
                  <w:tcBorders>
                    <w:top w:val="single" w:color="000000" w:sz="4"/>
                    <w:left w:val="single" w:color="000000" w:sz="4"/>
                    <w:bottom w:val="none" w:color="000000" w:sz="4"/>
                    <w:right w:val="single" w:color="000000" w:sz="4"/>
                  </w:tcBorders>
                </w:tcP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▲6.前置摄像头：&gt;=1300 万像素超广角摄像头</w:t>
                  </w:r>
                </w:p>
              </w:tc>
              <w:tc>
                <w:tcPr>
                  <w:tcW w:type="dxa" w:w="407"/>
                  <w:vMerge/>
                  <w:tcBorders>
                    <w:top w:val="singl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450"/>
                  <w:vMerge/>
                  <w:tcBorders>
                    <w:top w:val="single" w:color="000000" w:sz="4"/>
                    <w:left w:val="single" w:color="000000" w:sz="4"/>
                    <w:bottom w:val="single" w:color="000000" w:sz="4"/>
                    <w:right w:val="single" w:color="000000" w:sz="4"/>
                  </w:tcBorders>
                </w:tcPr>
                <w:p/>
              </w:tc>
            </w:tr>
            <w:tr>
              <w:tc>
                <w:tcPr>
                  <w:tcW w:type="dxa" w:w="303"/>
                  <w:vMerge/>
                  <w:tcBorders>
                    <w:top w:val="single" w:color="000000" w:sz="4"/>
                    <w:left w:val="single" w:color="000000" w:sz="4"/>
                    <w:bottom w:val="single" w:color="000000" w:sz="4"/>
                    <w:right w:val="single" w:color="000000" w:sz="4"/>
                  </w:tcBorders>
                </w:tcPr>
                <w:p/>
              </w:tc>
              <w:tc>
                <w:tcPr>
                  <w:tcW w:type="dxa" w:w="804"/>
                  <w:vMerge/>
                  <w:tcBorders>
                    <w:top w:val="single" w:color="000000" w:sz="4"/>
                    <w:left w:val="single" w:color="000000" w:sz="4"/>
                    <w:bottom w:val="none" w:color="000000" w:sz="4"/>
                    <w:right w:val="single" w:color="000000" w:sz="4"/>
                  </w:tcBorders>
                </w:tcP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7.数据存储：RAM&gt;=8GB; ROM&gt;=256GB</w:t>
                  </w:r>
                </w:p>
              </w:tc>
              <w:tc>
                <w:tcPr>
                  <w:tcW w:type="dxa" w:w="407"/>
                  <w:vMerge/>
                  <w:tcBorders>
                    <w:top w:val="singl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450"/>
                  <w:vMerge/>
                  <w:tcBorders>
                    <w:top w:val="single" w:color="000000" w:sz="4"/>
                    <w:left w:val="single" w:color="000000" w:sz="4"/>
                    <w:bottom w:val="single" w:color="000000" w:sz="4"/>
                    <w:right w:val="single" w:color="000000" w:sz="4"/>
                  </w:tcBorders>
                </w:tcPr>
                <w:p/>
              </w:tc>
            </w:tr>
            <w:tr>
              <w:tc>
                <w:tcPr>
                  <w:tcW w:type="dxa" w:w="303"/>
                  <w:vMerge/>
                  <w:tcBorders>
                    <w:top w:val="single" w:color="000000" w:sz="4"/>
                    <w:left w:val="single" w:color="000000" w:sz="4"/>
                    <w:bottom w:val="single" w:color="000000" w:sz="4"/>
                    <w:right w:val="single" w:color="000000" w:sz="4"/>
                  </w:tcBorders>
                </w:tcPr>
                <w:p/>
              </w:tc>
              <w:tc>
                <w:tcPr>
                  <w:tcW w:type="dxa" w:w="804"/>
                  <w:vMerge/>
                  <w:tcBorders>
                    <w:top w:val="single" w:color="000000" w:sz="4"/>
                    <w:left w:val="single" w:color="000000" w:sz="4"/>
                    <w:bottom w:val="none" w:color="000000" w:sz="4"/>
                    <w:right w:val="single" w:color="000000" w:sz="4"/>
                  </w:tcBorders>
                </w:tcP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8.GIS定位：支持北斗（B1I+B1C+B2a+B2b四频）</w:t>
                  </w:r>
                </w:p>
              </w:tc>
              <w:tc>
                <w:tcPr>
                  <w:tcW w:type="dxa" w:w="407"/>
                  <w:vMerge/>
                  <w:tcBorders>
                    <w:top w:val="singl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450"/>
                  <w:vMerge/>
                  <w:tcBorders>
                    <w:top w:val="single" w:color="000000" w:sz="4"/>
                    <w:left w:val="single" w:color="000000" w:sz="4"/>
                    <w:bottom w:val="single" w:color="000000" w:sz="4"/>
                    <w:right w:val="single" w:color="000000" w:sz="4"/>
                  </w:tcBorders>
                </w:tcPr>
                <w:p/>
              </w:tc>
            </w:tr>
            <w:tr>
              <w:tc>
                <w:tcPr>
                  <w:tcW w:type="dxa" w:w="303"/>
                  <w:vMerge/>
                  <w:tcBorders>
                    <w:top w:val="single" w:color="000000" w:sz="4"/>
                    <w:left w:val="single" w:color="000000" w:sz="4"/>
                    <w:bottom w:val="single" w:color="000000" w:sz="4"/>
                    <w:right w:val="single" w:color="000000" w:sz="4"/>
                  </w:tcBorders>
                </w:tcPr>
                <w:p/>
              </w:tc>
              <w:tc>
                <w:tcPr>
                  <w:tcW w:type="dxa" w:w="804"/>
                  <w:vMerge/>
                  <w:tcBorders>
                    <w:top w:val="single" w:color="000000" w:sz="4"/>
                    <w:left w:val="single" w:color="000000" w:sz="4"/>
                    <w:bottom w:val="none" w:color="000000" w:sz="4"/>
                    <w:right w:val="single" w:color="000000" w:sz="4"/>
                  </w:tcBorders>
                </w:tcP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9.数据线接口：USB Type-C</w:t>
                  </w:r>
                </w:p>
              </w:tc>
              <w:tc>
                <w:tcPr>
                  <w:tcW w:type="dxa" w:w="407"/>
                  <w:vMerge/>
                  <w:tcBorders>
                    <w:top w:val="singl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450"/>
                  <w:vMerge/>
                  <w:tcBorders>
                    <w:top w:val="single" w:color="000000" w:sz="4"/>
                    <w:left w:val="single" w:color="000000" w:sz="4"/>
                    <w:bottom w:val="single" w:color="000000" w:sz="4"/>
                    <w:right w:val="single" w:color="000000" w:sz="4"/>
                  </w:tcBorders>
                </w:tcPr>
                <w:p/>
              </w:tc>
            </w:tr>
            <w:tr>
              <w:tc>
                <w:tcPr>
                  <w:tcW w:type="dxa" w:w="303"/>
                  <w:vMerge/>
                  <w:tcBorders>
                    <w:top w:val="single" w:color="000000" w:sz="4"/>
                    <w:left w:val="single" w:color="000000" w:sz="4"/>
                    <w:bottom w:val="single" w:color="000000" w:sz="4"/>
                    <w:right w:val="single" w:color="000000" w:sz="4"/>
                  </w:tcBorders>
                </w:tcPr>
                <w:p/>
              </w:tc>
              <w:tc>
                <w:tcPr>
                  <w:tcW w:type="dxa" w:w="804"/>
                  <w:vMerge/>
                  <w:tcBorders>
                    <w:top w:val="single" w:color="000000" w:sz="4"/>
                    <w:left w:val="single" w:color="000000" w:sz="4"/>
                    <w:bottom w:val="none" w:color="000000" w:sz="4"/>
                    <w:right w:val="single" w:color="000000" w:sz="4"/>
                  </w:tcBorders>
                </w:tcP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10.电池容量（典型值）：&gt;=5000mAh（典型值）</w:t>
                  </w:r>
                </w:p>
              </w:tc>
              <w:tc>
                <w:tcPr>
                  <w:tcW w:type="dxa" w:w="407"/>
                  <w:vMerge/>
                  <w:tcBorders>
                    <w:top w:val="singl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450"/>
                  <w:vMerge/>
                  <w:tcBorders>
                    <w:top w:val="single" w:color="000000" w:sz="4"/>
                    <w:left w:val="single" w:color="000000" w:sz="4"/>
                    <w:bottom w:val="single" w:color="000000" w:sz="4"/>
                    <w:right w:val="single" w:color="000000" w:sz="4"/>
                  </w:tcBorders>
                </w:tcPr>
                <w:p/>
              </w:tc>
            </w:tr>
            <w:tr>
              <w:tc>
                <w:tcPr>
                  <w:tcW w:type="dxa" w:w="30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8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省检察院检务平台终端安全管理（MDM）系统授权服务</w:t>
                  </w: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1.终端资产管理、终端管控、消息推送、双系统管理、外部接口等功能；</w:t>
                  </w:r>
                  <w:r>
                    <w:br/>
                  </w:r>
                  <w:r>
                    <w:rPr>
                      <w:rFonts w:ascii="仿宋_GB2312" w:hAnsi="仿宋_GB2312" w:cs="仿宋_GB2312" w:eastAsia="仿宋_GB2312"/>
                      <w:sz w:val="19"/>
                      <w:color w:val="000000"/>
                    </w:rPr>
                    <w:t xml:space="preserve"> 2.支持终端使用者远程管理和远程服务等。</w:t>
                  </w:r>
                </w:p>
              </w:tc>
              <w:tc>
                <w:tcPr>
                  <w:tcW w:type="dxa" w:w="4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户</w:t>
                  </w:r>
                </w:p>
              </w:tc>
              <w:tc>
                <w:tcPr>
                  <w:tcW w:type="dxa" w:w="4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45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30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8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省检察院检务平台数字证书认证及协同签名系统授权服务</w:t>
                  </w: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1.集成CA和LDAP功能，为移动终端和网关群组签发和注销移动检务身份证书；</w:t>
                  </w:r>
                  <w:r>
                    <w:br/>
                  </w:r>
                  <w:r>
                    <w:rPr>
                      <w:rFonts w:ascii="仿宋_GB2312" w:hAnsi="仿宋_GB2312" w:cs="仿宋_GB2312" w:eastAsia="仿宋_GB2312"/>
                      <w:sz w:val="19"/>
                      <w:color w:val="000000"/>
                    </w:rPr>
                    <w:t xml:space="preserve"> 2.支持SSL加密通信，支持http、https等通信协议，能够实现移动终端对证书申请、证书更新、证书下载、证书延期、证书注销等功能自主申请；</w:t>
                  </w:r>
                  <w:r>
                    <w:br/>
                  </w:r>
                  <w:r>
                    <w:rPr>
                      <w:rFonts w:ascii="仿宋_GB2312" w:hAnsi="仿宋_GB2312" w:cs="仿宋_GB2312" w:eastAsia="仿宋_GB2312"/>
                      <w:sz w:val="19"/>
                      <w:color w:val="000000"/>
                    </w:rPr>
                    <w:t xml:space="preserve"> 3.支持web端管理、业务请求转发日志记录、导出为Excel；</w:t>
                  </w:r>
                  <w:r>
                    <w:br/>
                  </w:r>
                  <w:r>
                    <w:rPr>
                      <w:rFonts w:ascii="仿宋_GB2312" w:hAnsi="仿宋_GB2312" w:cs="仿宋_GB2312" w:eastAsia="仿宋_GB2312"/>
                      <w:sz w:val="19"/>
                      <w:color w:val="000000"/>
                    </w:rPr>
                    <w:t xml:space="preserve"> 4.支持异常日志记录、在线查看、下载；</w:t>
                  </w:r>
                  <w:r>
                    <w:br/>
                  </w:r>
                  <w:r>
                    <w:rPr>
                      <w:rFonts w:ascii="仿宋_GB2312" w:hAnsi="仿宋_GB2312" w:cs="仿宋_GB2312" w:eastAsia="仿宋_GB2312"/>
                      <w:sz w:val="19"/>
                      <w:color w:val="000000"/>
                    </w:rPr>
                    <w:t xml:space="preserve"> 5.支持在线系统配置；支持管理员使用数字证书进行登录。</w:t>
                  </w:r>
                </w:p>
              </w:tc>
              <w:tc>
                <w:tcPr>
                  <w:tcW w:type="dxa" w:w="4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户</w:t>
                  </w:r>
                </w:p>
              </w:tc>
              <w:tc>
                <w:tcPr>
                  <w:tcW w:type="dxa" w:w="4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45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30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8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移动办公系统功能服务</w:t>
                  </w: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1.基于南郑区人民检察院组织架构定制化配置，功能模块包括但不限于：</w:t>
                  </w:r>
                  <w:r>
                    <w:br/>
                  </w:r>
                  <w:r>
                    <w:rPr>
                      <w:rFonts w:ascii="仿宋_GB2312" w:hAnsi="仿宋_GB2312" w:cs="仿宋_GB2312" w:eastAsia="仿宋_GB2312"/>
                      <w:sz w:val="19"/>
                      <w:color w:val="000000"/>
                    </w:rPr>
                    <w:t xml:space="preserve"> （1）公文管理（待办、已办、待阅、已阅、督办、发起公文）</w:t>
                  </w:r>
                  <w:r>
                    <w:br/>
                  </w:r>
                  <w:r>
                    <w:rPr>
                      <w:rFonts w:ascii="仿宋_GB2312" w:hAnsi="仿宋_GB2312" w:cs="仿宋_GB2312" w:eastAsia="仿宋_GB2312"/>
                      <w:sz w:val="19"/>
                      <w:color w:val="000000"/>
                    </w:rPr>
                    <w:t xml:space="preserve"> （2）会议管理（我的会议、会议审批、会议室预定、签到、材料、纪要、互动）</w:t>
                  </w:r>
                  <w:r>
                    <w:br/>
                  </w:r>
                  <w:r>
                    <w:rPr>
                      <w:rFonts w:ascii="仿宋_GB2312" w:hAnsi="仿宋_GB2312" w:cs="仿宋_GB2312" w:eastAsia="仿宋_GB2312"/>
                      <w:sz w:val="19"/>
                      <w:color w:val="000000"/>
                    </w:rPr>
                    <w:t xml:space="preserve"> （3）即时消息管理（单聊/群聊、通知公告、安全通信、阅后即焚）</w:t>
                  </w:r>
                  <w:r>
                    <w:br/>
                  </w:r>
                  <w:r>
                    <w:rPr>
                      <w:rFonts w:ascii="仿宋_GB2312" w:hAnsi="仿宋_GB2312" w:cs="仿宋_GB2312" w:eastAsia="仿宋_GB2312"/>
                      <w:sz w:val="19"/>
                      <w:color w:val="000000"/>
                    </w:rPr>
                    <w:t xml:space="preserve"> （4）日程管理（我的日程、领导日程、下属日程、共享日程）</w:t>
                  </w:r>
                  <w:r>
                    <w:br/>
                  </w:r>
                  <w:r>
                    <w:rPr>
                      <w:rFonts w:ascii="仿宋_GB2312" w:hAnsi="仿宋_GB2312" w:cs="仿宋_GB2312" w:eastAsia="仿宋_GB2312"/>
                      <w:sz w:val="19"/>
                      <w:color w:val="000000"/>
                    </w:rPr>
                    <w:t xml:space="preserve"> （5）事务审批管理（待办、待阅、已办、已阅、申请发起）</w:t>
                  </w:r>
                  <w:r>
                    <w:br/>
                  </w:r>
                  <w:r>
                    <w:rPr>
                      <w:rFonts w:ascii="仿宋_GB2312" w:hAnsi="仿宋_GB2312" w:cs="仿宋_GB2312" w:eastAsia="仿宋_GB2312"/>
                      <w:sz w:val="19"/>
                      <w:color w:val="000000"/>
                    </w:rPr>
                    <w:t xml:space="preserve"> （6）信息管理（首页、栏目内容、我的内容、信息审核）</w:t>
                  </w:r>
                  <w:r>
                    <w:br/>
                  </w:r>
                  <w:r>
                    <w:rPr>
                      <w:rFonts w:ascii="仿宋_GB2312" w:hAnsi="仿宋_GB2312" w:cs="仿宋_GB2312" w:eastAsia="仿宋_GB2312"/>
                      <w:sz w:val="19"/>
                      <w:color w:val="000000"/>
                    </w:rPr>
                    <w:t xml:space="preserve"> （7）轻阅读预览（文档在线预览、文件不落地）</w:t>
                  </w:r>
                  <w:r>
                    <w:br/>
                  </w:r>
                  <w:r>
                    <w:rPr>
                      <w:rFonts w:ascii="仿宋_GB2312" w:hAnsi="仿宋_GB2312" w:cs="仿宋_GB2312" w:eastAsia="仿宋_GB2312"/>
                      <w:sz w:val="19"/>
                      <w:color w:val="000000"/>
                    </w:rPr>
                    <w:t xml:space="preserve"> （8）通讯录（组织机构、人员信息、快捷通信）</w:t>
                  </w:r>
                  <w:r>
                    <w:br/>
                  </w:r>
                  <w:r>
                    <w:rPr>
                      <w:rFonts w:ascii="仿宋_GB2312" w:hAnsi="仿宋_GB2312" w:cs="仿宋_GB2312" w:eastAsia="仿宋_GB2312"/>
                      <w:sz w:val="19"/>
                      <w:color w:val="000000"/>
                    </w:rPr>
                    <w:t xml:space="preserve"> （9）消息模块（即时通信、消息状态、通知集成、安全管控）</w:t>
                  </w:r>
                  <w:r>
                    <w:br/>
                  </w:r>
                  <w:r>
                    <w:rPr>
                      <w:rFonts w:ascii="仿宋_GB2312" w:hAnsi="仿宋_GB2312" w:cs="仿宋_GB2312" w:eastAsia="仿宋_GB2312"/>
                      <w:sz w:val="19"/>
                      <w:color w:val="000000"/>
                    </w:rPr>
                    <w:t xml:space="preserve"> （10）设置模块（账号安全、通用设置、通知管理、关于我们）</w:t>
                  </w:r>
                  <w:r>
                    <w:br/>
                  </w:r>
                  <w:r>
                    <w:rPr>
                      <w:rFonts w:ascii="仿宋_GB2312" w:hAnsi="仿宋_GB2312" w:cs="仿宋_GB2312" w:eastAsia="仿宋_GB2312"/>
                      <w:sz w:val="19"/>
                      <w:color w:val="000000"/>
                    </w:rPr>
                    <w:t xml:space="preserve"> （11）工作台（电脑端、移动端双屏幕菜单）</w:t>
                  </w:r>
                </w:p>
              </w:tc>
              <w:tc>
                <w:tcPr>
                  <w:tcW w:type="dxa" w:w="4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4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5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30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8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检务平台接入终端设备数据通信服务</w:t>
                  </w: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1.服务标准：</w:t>
                  </w:r>
                  <w:r>
                    <w:br/>
                  </w:r>
                  <w:r>
                    <w:rPr>
                      <w:rFonts w:ascii="仿宋_GB2312" w:hAnsi="仿宋_GB2312" w:cs="仿宋_GB2312" w:eastAsia="仿宋_GB2312"/>
                      <w:sz w:val="19"/>
                      <w:color w:val="000000"/>
                    </w:rPr>
                    <w:t xml:space="preserve"> （1）数据流量：&gt;=60GB/月国内通用流量，既能访问陕西省人民检察院检务平台，又能访问移动互联网</w:t>
                  </w:r>
                  <w:r>
                    <w:br/>
                  </w:r>
                  <w:r>
                    <w:rPr>
                      <w:rFonts w:ascii="仿宋_GB2312" w:hAnsi="仿宋_GB2312" w:cs="仿宋_GB2312" w:eastAsia="仿宋_GB2312"/>
                      <w:sz w:val="19"/>
                      <w:color w:val="000000"/>
                    </w:rPr>
                    <w:t xml:space="preserve"> （2）工作通话：&gt;=700分钟/月国内主叫通话</w:t>
                  </w:r>
                </w:p>
              </w:tc>
              <w:tc>
                <w:tcPr>
                  <w:tcW w:type="dxa" w:w="4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户</w:t>
                  </w:r>
                </w:p>
              </w:tc>
              <w:tc>
                <w:tcPr>
                  <w:tcW w:type="dxa" w:w="4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45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30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8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维保服务</w:t>
                  </w:r>
                </w:p>
              </w:tc>
              <w:tc>
                <w:tcPr>
                  <w:tcW w:type="dxa" w:w="26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服务期内移动检务双系统终端设备质保；移动办公应用日常故障响应处理与技术支撑服务等</w:t>
                  </w:r>
                </w:p>
              </w:tc>
              <w:tc>
                <w:tcPr>
                  <w:tcW w:type="dxa" w:w="4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4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5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供应商应配备履约所需的团队人员，人员应具备丰富的网络安全、运维等与本项目相关的工作经验和专业知识，人员数量、岗位和专业构成应满足项目工作需要及采购人要求，人员为供应商在职员工。</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供应商应配备履约所需各项设施设备，做好相关工作，保证系统的对接及后续工作顺利开展，满足采购人要求。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服务期内产品故障免费保修，如果同一主要部件出现质量问题经过两次维修后仍无法正常使用，须免费更换同型号、同规格的全新产品。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24个月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满足移动办公办案的需求，终端适配、终端管控纳入“陕西省人民检察院移动检务安全管控平台”统一管理，确保网络、数据绝对安全。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缴纳磋商保证金时请备注项目名称，并将缴纳凭证附在响应文件中，未按时缴纳成功磋商保证金的，将视为无效响应。如提交保函，请在响应文件递交截止时间前将保函正本送至代理机构，如提供电子保函，请将电子保函发送至代理机构指定邮箱1907762018@qq.com。2、因文字受限，第三章3.2.2服务要求中的“技术参数与性能指标”序号 1移动检务双系统终端设备工具包1.（4）“定位增强”相关要求以附件—技术参数与性能指标中参数为准。3、磋商响应文件中凡是需要法定代表人签字盖章之处，非法人单位的负责人均参照执行。4、本项目为服务类项目，未涉及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与磋商，法定代表人直接参加磋商的，须出具法定代表人身份证明，并与营业执照或其他主体资格证明文件上信息一致。法定代表人授权代表参与磋商的，须出具法定代表人授权书和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审委员会认为供应商报价明显低于其他实质性响应的供应商报价，有可能影响产品质量或者不能诚信履约的，评审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评审委员会要求的时间内通过项目电子化交易系统进行提交，否则提交的相关证明材料无效。供应商不能证明其投标报价合理性的，评审委员会应当将其投标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响应文件签字、盖章及响应有效期符合采购文件要求。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磋商报价未超出采购预算金额（采购文件有最高限价的，磋商报价未超过最高限价）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符合采购文件要求；响应产品的技术参数要求（标记“★”参数）为实质性参数，供应商必须响应并满足，还须提供相应佐证资料，佐证资料包括不限于检测报告、官网截图、技术白皮书、产品彩页、说明等。</w:t>
            </w:r>
          </w:p>
        </w:tc>
        <w:tc>
          <w:tcPr>
            <w:tcW w:type="dxa" w:w="1661"/>
          </w:tcPr>
          <w:p>
            <w:pPr>
              <w:pStyle w:val="null3"/>
            </w:pPr>
            <w:r>
              <w:rPr>
                <w:rFonts w:ascii="仿宋_GB2312" w:hAnsi="仿宋_GB2312" w:cs="仿宋_GB2312" w:eastAsia="仿宋_GB2312"/>
              </w:rPr>
              <w:t>服务内容及服务要求应答表 其他资料.docx 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商务应答表 保证金.docx 服务内容及服务要求应答表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供应商应根据“技术参数与性能指标”据实响应，依据响应程度进行评审： 完全响应采购文件要求，全部满足采购要求无负偏离得25.0分；（1）标记“▲”为重要参数，共5项，合计12.5分，每负偏离一项扣2.5分。（2）其他一般参数共25项，满分12.5分，每负偏离一项扣0.5分。 说明:标记“▲”的重要参数须提供相应佐证资料，佐证资料包括不限于检测报告、官网截图、技术白皮书、产品彩页、说明等。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供应商2023年7月1日至今承接过类似项目业绩，每提供一个业绩合同得2分，满分8分。注:未提供不得分，响应文件中附项目合同关键页复印件并加盖供应商公章。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拟投入的项目团队。(1)项目负责人具备中级及以上网络工程师证书的得2分，提供相关证书及社保证明（响应文件递交截止时间前6个月内任意一个月），不提供不得分；（2）项目技术负责人具备信息系统项目管理师的得2分，提供相关证书及社保证明（响应文件递交截止时间前6个月内任意一个月），不提供不得分；（3）项目团队成员（除项目负责人和技术负责人外）具备网络工程师、通信工程师、信息系统项目管理师、系统集成项目管理工程师、信息安全工程师或同等水平相关资格的，每提供一个得1分，满分5分，提供相关证书及社保证明（响应文件递交截止时间前6个月内任意一个月），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特点和需求等内容提供有利于本项目的服务承诺。（例如：增值服务、延长保修期或服务期、专享服务、配套产品或其他便捷措施等承诺）。每提供一项承诺，得1分，满分10分。承诺格式自拟，无承诺不得分。响应在其他资料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所投产品合法来源渠道证明文件，确保供应的产品有品质保证，无假货且无产权纠纷，能提供证明文件得3分，满分3分，未提供不得分。 注：证明文件包括但不限于厂家授权、厂家说明、代理协议、销售协议等。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针对本项目提供完整、合理、详细的服务方案，方案包含：①服务周期和内容；②项目实施计划（含进度安排、设备部署、调试验收、功能维护）；③保障措施；④售后服务（含服务范围、响应时间、响应方式、服务网点）；⑤应急预案（含故障处理及补救措施、人员安排）。 二、评审标准：1、完整性:方案内容全面，对评审内容中的各项内容有详细描述;2、针对性:方案能够完全切合本项目实际情况;3、可实施性:方案流程完善，实施步骤清晰、科学合理，具有可实施性；4、科学性:方案能有效降低使用过程中的潜在风险和事故，能够达到对系统稳定、持续的使用要求。 三、赋分标准(满分20分)：共5项内容，每项内容满分4分，缺一项扣4分。按照“评审标准”，每项内容每完全满足一项评审标准得1分。每有一处内容存在缺陷的扣0.5分，扣完为止。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提供完整、合理、详细的培训方案，保证使用单位能熟练操作维护和正常使用，并进行简单故障排查处理。方案包含：①培训目标；②培训范围及内容（日常使用操作、维护与管理、常见故障的排除、紧急情况处理等）；③培训方式；④培训计划与时间安排；⑤培训保障措施。 二、评审标准：1、完整性:方案内容全面，对评审内容中的各项内容有详细描述;2、针对性:方案能够完全切合本项目实际情况;3、可实施性:方案流程完善，实施步骤清晰、科学合理，具有可实施性。 三、赋分标准(满分15分)：共5项内容，每项内容满分3分，缺一项扣3分。按照“评审标准”，每项内容每完全满足一项评审标准得1分。每有一处内容存在缺陷的扣0.5分，扣完为止。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10。3、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