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版本号：KY2026-1-54220260608001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2026年数字资源建设项目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KY2026-1-542</w:t>
      </w:r>
      <w:r>
        <w:br/>
      </w:r>
      <w:r>
        <w:br/>
      </w:r>
      <w:r>
        <w:br/>
      </w:r>
    </w:p>
    <w:p>
      <w:pPr>
        <w:pStyle w:val="null3"/>
        <w:jc w:val="center"/>
        <w:outlineLvl w:val="5"/>
      </w:pPr>
      <w:r>
        <w:rPr>
          <w:rFonts w:ascii="仿宋_GB2312" w:hAnsi="仿宋_GB2312" w:cs="仿宋_GB2312" w:eastAsia="仿宋_GB2312"/>
          <w:sz w:val="15"/>
          <w:b/>
        </w:rPr>
        <w:t>安康学院</w:t>
      </w:r>
    </w:p>
    <w:p>
      <w:pPr>
        <w:pStyle w:val="null3"/>
        <w:jc w:val="center"/>
        <w:outlineLvl w:val="5"/>
      </w:pPr>
      <w:r>
        <w:rPr>
          <w:rFonts w:ascii="仿宋_GB2312" w:hAnsi="仿宋_GB2312" w:cs="仿宋_GB2312" w:eastAsia="仿宋_GB2312"/>
          <w:sz w:val="15"/>
          <w:b/>
        </w:rPr>
        <w:t>陕西开源招标有限公司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2026年06月08日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安康学院</w:t>
      </w:r>
      <w:r>
        <w:rPr>
          <w:rFonts w:ascii="仿宋_GB2312" w:hAnsi="仿宋_GB2312" w:cs="仿宋_GB2312" w:eastAsia="仿宋_GB2312"/>
        </w:rPr>
        <w:t>委托，拟对</w:t>
      </w:r>
      <w:r>
        <w:rPr>
          <w:rFonts w:ascii="仿宋_GB2312" w:hAnsi="仿宋_GB2312" w:cs="仿宋_GB2312" w:eastAsia="仿宋_GB2312"/>
        </w:rPr>
        <w:t>2026年数字资源建设项目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KY2026-1-542</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2026年数字资源建设项目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安康学院2026年数字资源建设项目，共分为10个采购包，具体内容详见第三章。</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经审计的财务报告（包括“四表一注”，即资产负债表、利润表、现金流量表、所有者权益变动表及其附注，成立时间至提交响应文件截止时间不足一年的可提供成立后任意时段的资产负债表），或其谈判前六个月内银行出具的资信证明。（以上两种形式的资料提供任何一种即可）</w:t>
      </w:r>
    </w:p>
    <w:p>
      <w:pPr>
        <w:pStyle w:val="null3"/>
      </w:pPr>
      <w:r>
        <w:rPr>
          <w:rFonts w:ascii="仿宋_GB2312" w:hAnsi="仿宋_GB2312" w:cs="仿宋_GB2312" w:eastAsia="仿宋_GB2312"/>
        </w:rPr>
        <w:t>3、税收缴纳证明：提供2025年5月至今已缴纳至少一个月的依法缴纳税款的相关凭据（时间以税款所属日期为准），凭据应有税务机关或代收机关的公章或业务专用章。依法免税或无须缴纳税款的供应商，应提供相关证明文件。</w:t>
      </w:r>
    </w:p>
    <w:p>
      <w:pPr>
        <w:pStyle w:val="null3"/>
      </w:pPr>
      <w:r>
        <w:rPr>
          <w:rFonts w:ascii="仿宋_GB2312" w:hAnsi="仿宋_GB2312" w:cs="仿宋_GB2312" w:eastAsia="仿宋_GB2312"/>
        </w:rPr>
        <w:t>4、社会保障资金缴纳证明：提供2025年5月至今已缴存的至少一个月的社会保障资金缴存单据或社保机构开具的社会保险参保缴费情况证明，依法不需要缴纳社会保障资金的单位应提供相关证明材料。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7、法定代表人授权书：法定代表人授权书及被授权人身份证明。（法定代表人直接谈判只须提交其身份证明）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经审计的财务报告（包括“四表一注”，即资产负债表、利润表、现金流量表、所有者权益变动表及其附注，成立时间至提交响应文件截止时间不足一年的可提供成立后任意时段的资产负债表），或其谈判前六个月内银行出具的资信证明。（以上两种形式的资料提供任何一种即可）</w:t>
      </w:r>
    </w:p>
    <w:p>
      <w:pPr>
        <w:pStyle w:val="null3"/>
      </w:pPr>
      <w:r>
        <w:rPr>
          <w:rFonts w:ascii="仿宋_GB2312" w:hAnsi="仿宋_GB2312" w:cs="仿宋_GB2312" w:eastAsia="仿宋_GB2312"/>
        </w:rPr>
        <w:t>3、税收缴纳证明：提供2025年5月至今已缴纳至少一个月的依法缴纳税款的相关凭据（时间以税款所属日期为准），凭据应有税务机关或代收机关的公章或业务专用章。依法免税或无须缴纳税款的供应商，应提供相关证明文件。</w:t>
      </w:r>
    </w:p>
    <w:p>
      <w:pPr>
        <w:pStyle w:val="null3"/>
      </w:pPr>
      <w:r>
        <w:rPr>
          <w:rFonts w:ascii="仿宋_GB2312" w:hAnsi="仿宋_GB2312" w:cs="仿宋_GB2312" w:eastAsia="仿宋_GB2312"/>
        </w:rPr>
        <w:t>4、社会保障资金缴纳证明：提供2025年5月至今已缴存的至少一个月的社会保障资金缴存单据或社保机构开具的社会保险参保缴费情况证明，依法不需要缴纳社会保障资金的单位应提供相关证明材料。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7、法定代表人授权书：法定代表人授权书及被授权人身份证明。（法定代表人直接谈判只须提交其身份证明）</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经审计的财务报告（包括“四表一注”，即资产负债表、利润表、现金流量表、所有者权益变动表及其附注，成立时间至提交响应文件截止时间不足一年的可提供成立后任意时段的资产负债表），或其谈判前六个月内银行出具的资信证明。（以上两种形式的资料提供任何一种即可）</w:t>
      </w:r>
    </w:p>
    <w:p>
      <w:pPr>
        <w:pStyle w:val="null3"/>
      </w:pPr>
      <w:r>
        <w:rPr>
          <w:rFonts w:ascii="仿宋_GB2312" w:hAnsi="仿宋_GB2312" w:cs="仿宋_GB2312" w:eastAsia="仿宋_GB2312"/>
        </w:rPr>
        <w:t>3、税收缴纳证明：提供2025年5月至今已缴纳至少一个月的依法缴纳税款的相关凭据（时间以税款所属日期为准），凭据应有税务机关或代收机关的公章或业务专用章。依法免税或无须缴纳税款的供应商，应提供相关证明文件。</w:t>
      </w:r>
    </w:p>
    <w:p>
      <w:pPr>
        <w:pStyle w:val="null3"/>
      </w:pPr>
      <w:r>
        <w:rPr>
          <w:rFonts w:ascii="仿宋_GB2312" w:hAnsi="仿宋_GB2312" w:cs="仿宋_GB2312" w:eastAsia="仿宋_GB2312"/>
        </w:rPr>
        <w:t>4、社会保障资金缴纳证明：提供2025年5月至今已缴存的至少一个月的社会保障资金缴存单据或社保机构开具的社会保险参保缴费情况证明，依法不需要缴纳社会保障资金的单位应提供相关证明材料。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7、法定代表人授权书：法定代表人授权书及被授权人身份证明。（法定代表人直接谈判只须提交其身份证明）</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经审计的财务报告（包括“四表一注”，即资产负债表、利润表、现金流量表、所有者权益变动表及其附注，成立时间至提交响应文件截止时间不足一年的可提供成立后任意时段的资产负债表），或其谈判前六个月内银行出具的资信证明。（以上两种形式的资料提供任何一种即可）</w:t>
      </w:r>
    </w:p>
    <w:p>
      <w:pPr>
        <w:pStyle w:val="null3"/>
      </w:pPr>
      <w:r>
        <w:rPr>
          <w:rFonts w:ascii="仿宋_GB2312" w:hAnsi="仿宋_GB2312" w:cs="仿宋_GB2312" w:eastAsia="仿宋_GB2312"/>
        </w:rPr>
        <w:t>3、税收缴纳证明：提供2025年5月至今已缴纳至少一个月的依法缴纳税款的相关凭据（时间以税款所属日期为准），凭据应有税务机关或代收机关的公章或业务专用章。依法免税或无须缴纳税款的供应商，应提供相关证明文件。</w:t>
      </w:r>
    </w:p>
    <w:p>
      <w:pPr>
        <w:pStyle w:val="null3"/>
      </w:pPr>
      <w:r>
        <w:rPr>
          <w:rFonts w:ascii="仿宋_GB2312" w:hAnsi="仿宋_GB2312" w:cs="仿宋_GB2312" w:eastAsia="仿宋_GB2312"/>
        </w:rPr>
        <w:t>4、社会保障资金缴纳证明：提供2025年5月至今已缴存的至少一个月的社会保障资金缴存单据或社保机构开具的社会保险参保缴费情况证明，依法不需要缴纳社会保障资金的单位应提供相关证明材料。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7、法定代表人授权书：法定代表人授权书及被授权人身份证明。（法定代表人直接谈判只须提交其身份证明）</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经审计的财务报告（包括“四表一注”，即资产负债表、利润表、现金流量表、所有者权益变动表及其附注，成立时间至提交响应文件截止时间不足一年的可提供成立后任意时段的资产负债表），或其谈判前六个月内银行出具的资信证明。（以上两种形式的资料提供任何一种即可）</w:t>
      </w:r>
    </w:p>
    <w:p>
      <w:pPr>
        <w:pStyle w:val="null3"/>
      </w:pPr>
      <w:r>
        <w:rPr>
          <w:rFonts w:ascii="仿宋_GB2312" w:hAnsi="仿宋_GB2312" w:cs="仿宋_GB2312" w:eastAsia="仿宋_GB2312"/>
        </w:rPr>
        <w:t>3、税收缴纳证明：提供2025年5月至今已缴纳至少一个月的依法缴纳税款的相关凭据（时间以税款所属日期为准），凭据应有税务机关或代收机关的公章或业务专用章。依法免税或无须缴纳税款的供应商，应提供相关证明文件。</w:t>
      </w:r>
    </w:p>
    <w:p>
      <w:pPr>
        <w:pStyle w:val="null3"/>
      </w:pPr>
      <w:r>
        <w:rPr>
          <w:rFonts w:ascii="仿宋_GB2312" w:hAnsi="仿宋_GB2312" w:cs="仿宋_GB2312" w:eastAsia="仿宋_GB2312"/>
        </w:rPr>
        <w:t>4、社会保障资金缴纳证明：提供2025年5月至今已缴存的至少一个月的社会保障资金缴存单据或社保机构开具的社会保险参保缴费情况证明，依法不需要缴纳社会保障资金的单位应提供相关证明材料。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7、法定代表人授权书：法定代表人授权书及被授权人身份证明。（法定代表人直接谈判只须提交其身份证明）</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经审计的财务报告（包括“四表一注”，即资产负债表、利润表、现金流量表、所有者权益变动表及其附注，成立时间至提交响应文件截止时间不足一年的可提供成立后任意时段的资产负债表），或其谈判前六个月内银行出具的资信证明。（以上两种形式的资料提供任何一种即可）</w:t>
      </w:r>
    </w:p>
    <w:p>
      <w:pPr>
        <w:pStyle w:val="null3"/>
      </w:pPr>
      <w:r>
        <w:rPr>
          <w:rFonts w:ascii="仿宋_GB2312" w:hAnsi="仿宋_GB2312" w:cs="仿宋_GB2312" w:eastAsia="仿宋_GB2312"/>
        </w:rPr>
        <w:t>3、税收缴纳证明：提供2025年5月至今已缴纳至少一个月的依法缴纳税款的相关凭据（时间以税款所属日期为准），凭据应有税务机关或代收机关的公章或业务专用章。依法免税或无须缴纳税款的供应商，应提供相关证明文件。</w:t>
      </w:r>
    </w:p>
    <w:p>
      <w:pPr>
        <w:pStyle w:val="null3"/>
      </w:pPr>
      <w:r>
        <w:rPr>
          <w:rFonts w:ascii="仿宋_GB2312" w:hAnsi="仿宋_GB2312" w:cs="仿宋_GB2312" w:eastAsia="仿宋_GB2312"/>
        </w:rPr>
        <w:t>4、社会保障资金缴纳证明：提供2025年5月至今已缴存的至少一个月的社会保障资金缴存单据或社保机构开具的社会保险参保缴费情况证明，依法不需要缴纳社会保障资金的单位应提供相关证明材料。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7、法定代表人授权书：法定代表人授权书及被授权人身份证明。（法定代表人直接谈判只须提交其身份证明）</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经审计的财务报告（包括“四表一注”，即资产负债表、利润表、现金流量表、所有者权益变动表及其附注，成立时间至提交响应文件截止时间不足一年的可提供成立后任意时段的资产负债表），或其谈判前六个月内银行出具的资信证明。（以上两种形式的资料提供任何一种即可）</w:t>
      </w:r>
    </w:p>
    <w:p>
      <w:pPr>
        <w:pStyle w:val="null3"/>
      </w:pPr>
      <w:r>
        <w:rPr>
          <w:rFonts w:ascii="仿宋_GB2312" w:hAnsi="仿宋_GB2312" w:cs="仿宋_GB2312" w:eastAsia="仿宋_GB2312"/>
        </w:rPr>
        <w:t>3、税收缴纳证明：提供2025年5月至今已缴纳至少一个月的依法缴纳税款的相关凭据（时间以税款所属日期为准），凭据应有税务机关或代收机关的公章或业务专用章。依法免税或无须缴纳税款的供应商，应提供相关证明文件。</w:t>
      </w:r>
    </w:p>
    <w:p>
      <w:pPr>
        <w:pStyle w:val="null3"/>
      </w:pPr>
      <w:r>
        <w:rPr>
          <w:rFonts w:ascii="仿宋_GB2312" w:hAnsi="仿宋_GB2312" w:cs="仿宋_GB2312" w:eastAsia="仿宋_GB2312"/>
        </w:rPr>
        <w:t>4、社会保障资金缴纳证明：提供2025年5月至今已缴存的至少一个月的社会保障资金缴存单据或社保机构开具的社会保险参保缴费情况证明，依法不需要缴纳社会保障资金的单位应提供相关证明材料。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7、法定代表人授权书：法定代表人授权书及被授权人身份证明。（法定代表人直接谈判只须提交其身份证明）</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经审计的财务报告（包括“四表一注”，即资产负债表、利润表、现金流量表、所有者权益变动表及其附注，成立时间至提交响应文件截止时间不足一年的可提供成立后任意时段的资产负债表），或其谈判前六个月内银行出具的资信证明。（以上两种形式的资料提供任何一种即可）</w:t>
      </w:r>
    </w:p>
    <w:p>
      <w:pPr>
        <w:pStyle w:val="null3"/>
      </w:pPr>
      <w:r>
        <w:rPr>
          <w:rFonts w:ascii="仿宋_GB2312" w:hAnsi="仿宋_GB2312" w:cs="仿宋_GB2312" w:eastAsia="仿宋_GB2312"/>
        </w:rPr>
        <w:t>3、税收缴纳证明：提供2025年5月至今已缴纳至少一个月的依法缴纳税款的相关凭据（时间以税款所属日期为准），凭据应有税务机关或代收机关的公章或业务专用章。依法免税或无须缴纳税款的供应商，应提供相关证明文件。</w:t>
      </w:r>
    </w:p>
    <w:p>
      <w:pPr>
        <w:pStyle w:val="null3"/>
      </w:pPr>
      <w:r>
        <w:rPr>
          <w:rFonts w:ascii="仿宋_GB2312" w:hAnsi="仿宋_GB2312" w:cs="仿宋_GB2312" w:eastAsia="仿宋_GB2312"/>
        </w:rPr>
        <w:t>4、社会保障资金缴纳证明：提供2025年5月至今已缴存的至少一个月的社会保障资金缴存单据或社保机构开具的社会保险参保缴费情况证明，依法不需要缴纳社会保障资金的单位应提供相关证明材料。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7、法定代表人授权书：法定代表人授权书及被授权人身份证明。（法定代表人直接谈判只须提交其身份证明）</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经审计的财务报告（包括“四表一注”，即资产负债表、利润表、现金流量表、所有者权益变动表及其附注，成立时间至提交响应文件截止时间不足一年的可提供成立后任意时段的资产负债表），或其谈判前六个月内银行出具的资信证明。（以上两种形式的资料提供任何一种即可）</w:t>
      </w:r>
    </w:p>
    <w:p>
      <w:pPr>
        <w:pStyle w:val="null3"/>
      </w:pPr>
      <w:r>
        <w:rPr>
          <w:rFonts w:ascii="仿宋_GB2312" w:hAnsi="仿宋_GB2312" w:cs="仿宋_GB2312" w:eastAsia="仿宋_GB2312"/>
        </w:rPr>
        <w:t>3、税收缴纳证明：提供2025年5月至今已缴纳至少一个月的依法缴纳税款的相关凭据（时间以税款所属日期为准），凭据应有税务机关或代收机关的公章或业务专用章。依法免税或无须缴纳税款的供应商，应提供相关证明文件。</w:t>
      </w:r>
    </w:p>
    <w:p>
      <w:pPr>
        <w:pStyle w:val="null3"/>
      </w:pPr>
      <w:r>
        <w:rPr>
          <w:rFonts w:ascii="仿宋_GB2312" w:hAnsi="仿宋_GB2312" w:cs="仿宋_GB2312" w:eastAsia="仿宋_GB2312"/>
        </w:rPr>
        <w:t>4、社会保障资金缴纳证明：提供2025年5月至今已缴存的至少一个月的社会保障资金缴存单据或社保机构开具的社会保险参保缴费情况证明，依法不需要缴纳社会保障资金的单位应提供相关证明材料。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7、法定代表人授权书：法定代表人授权书及被授权人身份证明。（法定代表人直接谈判只须提交其身份证明）</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经审计的财务报告（包括“四表一注”，即资产负债表、利润表、现金流量表、所有者权益变动表及其附注，成立时间至提交响应文件截止时间不足一年的可提供成立后任意时段的资产负债表），或其谈判前六个月内银行出具的资信证明。（以上两种形式的资料提供任何一种即可）</w:t>
      </w:r>
    </w:p>
    <w:p>
      <w:pPr>
        <w:pStyle w:val="null3"/>
      </w:pPr>
      <w:r>
        <w:rPr>
          <w:rFonts w:ascii="仿宋_GB2312" w:hAnsi="仿宋_GB2312" w:cs="仿宋_GB2312" w:eastAsia="仿宋_GB2312"/>
        </w:rPr>
        <w:t>3、税收缴纳证明：提供2025年5月至今已缴纳至少一个月的依法缴纳税款的相关凭据（时间以税款所属日期为准），凭据应有税务机关或代收机关的公章或业务专用章。依法免税或无须缴纳税款的供应商，应提供相关证明文件。</w:t>
      </w:r>
    </w:p>
    <w:p>
      <w:pPr>
        <w:pStyle w:val="null3"/>
      </w:pPr>
      <w:r>
        <w:rPr>
          <w:rFonts w:ascii="仿宋_GB2312" w:hAnsi="仿宋_GB2312" w:cs="仿宋_GB2312" w:eastAsia="仿宋_GB2312"/>
        </w:rPr>
        <w:t>4、社会保障资金缴纳证明：提供2025年5月至今已缴存的至少一个月的社会保障资金缴存单据或社保机构开具的社会保险参保缴费情况证明，依法不需要缴纳社会保障资金的单位应提供相关证明材料。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7、法定代表人授权书：法定代表人授权书及被授权人身份证明。（法定代表人直接谈判只须提交其身份证明）</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安康学院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陕西省安康市育才路92号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725000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包老师、赵老师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0915-3267910 0915-3288097</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温虎、韩婷、刘金柯、卢韶华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029-81206622-820</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采购包1：380,000.00元</w:t>
            </w:r>
          </w:p>
          <w:p>
            <w:pPr>
              <w:pStyle w:val="null3"/>
            </w:pPr>
            <w:r>
              <w:rPr>
                <w:rFonts w:ascii="仿宋_GB2312" w:hAnsi="仿宋_GB2312" w:cs="仿宋_GB2312" w:eastAsia="仿宋_GB2312"/>
              </w:rPr>
              <w:t>采购包2：237,000.00元</w:t>
            </w:r>
          </w:p>
          <w:p>
            <w:pPr>
              <w:pStyle w:val="null3"/>
            </w:pPr>
            <w:r>
              <w:rPr>
                <w:rFonts w:ascii="仿宋_GB2312" w:hAnsi="仿宋_GB2312" w:cs="仿宋_GB2312" w:eastAsia="仿宋_GB2312"/>
              </w:rPr>
              <w:t>采购包3：50,000.00元</w:t>
            </w:r>
          </w:p>
          <w:p>
            <w:pPr>
              <w:pStyle w:val="null3"/>
            </w:pPr>
            <w:r>
              <w:rPr>
                <w:rFonts w:ascii="仿宋_GB2312" w:hAnsi="仿宋_GB2312" w:cs="仿宋_GB2312" w:eastAsia="仿宋_GB2312"/>
              </w:rPr>
              <w:t>采购包4：51,000.00元</w:t>
            </w:r>
          </w:p>
          <w:p>
            <w:pPr>
              <w:pStyle w:val="null3"/>
            </w:pPr>
            <w:r>
              <w:rPr>
                <w:rFonts w:ascii="仿宋_GB2312" w:hAnsi="仿宋_GB2312" w:cs="仿宋_GB2312" w:eastAsia="仿宋_GB2312"/>
              </w:rPr>
              <w:t>采购包5：41,000.00元</w:t>
            </w:r>
          </w:p>
          <w:p>
            <w:pPr>
              <w:pStyle w:val="null3"/>
            </w:pPr>
            <w:r>
              <w:rPr>
                <w:rFonts w:ascii="仿宋_GB2312" w:hAnsi="仿宋_GB2312" w:cs="仿宋_GB2312" w:eastAsia="仿宋_GB2312"/>
              </w:rPr>
              <w:t>采购包6：30,000.00元</w:t>
            </w:r>
          </w:p>
          <w:p>
            <w:pPr>
              <w:pStyle w:val="null3"/>
            </w:pPr>
            <w:r>
              <w:rPr>
                <w:rFonts w:ascii="仿宋_GB2312" w:hAnsi="仿宋_GB2312" w:cs="仿宋_GB2312" w:eastAsia="仿宋_GB2312"/>
              </w:rPr>
              <w:t>采购包7：46,000.00元</w:t>
            </w:r>
          </w:p>
          <w:p>
            <w:pPr>
              <w:pStyle w:val="null3"/>
            </w:pPr>
            <w:r>
              <w:rPr>
                <w:rFonts w:ascii="仿宋_GB2312" w:hAnsi="仿宋_GB2312" w:cs="仿宋_GB2312" w:eastAsia="仿宋_GB2312"/>
              </w:rPr>
              <w:t>采购包8：70,000.00元</w:t>
            </w:r>
          </w:p>
          <w:p>
            <w:pPr>
              <w:pStyle w:val="null3"/>
            </w:pPr>
            <w:r>
              <w:rPr>
                <w:rFonts w:ascii="仿宋_GB2312" w:hAnsi="仿宋_GB2312" w:cs="仿宋_GB2312" w:eastAsia="仿宋_GB2312"/>
              </w:rPr>
              <w:t>采购包9：45,000.00元</w:t>
            </w:r>
          </w:p>
          <w:p>
            <w:pPr>
              <w:pStyle w:val="null3"/>
            </w:pPr>
            <w:r>
              <w:rPr>
                <w:rFonts w:ascii="仿宋_GB2312" w:hAnsi="仿宋_GB2312" w:cs="仿宋_GB2312" w:eastAsia="仿宋_GB2312"/>
              </w:rPr>
              <w:t>采购包10：40,000.00元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采购包1：380,000.00元</w:t>
            </w:r>
          </w:p>
          <w:p>
            <w:pPr>
              <w:pStyle w:val="null3"/>
            </w:pPr>
            <w:r>
              <w:rPr>
                <w:rFonts w:ascii="仿宋_GB2312" w:hAnsi="仿宋_GB2312" w:cs="仿宋_GB2312" w:eastAsia="仿宋_GB2312"/>
              </w:rPr>
              <w:t>采购包2：237,000.00元</w:t>
            </w:r>
          </w:p>
          <w:p>
            <w:pPr>
              <w:pStyle w:val="null3"/>
            </w:pPr>
            <w:r>
              <w:rPr>
                <w:rFonts w:ascii="仿宋_GB2312" w:hAnsi="仿宋_GB2312" w:cs="仿宋_GB2312" w:eastAsia="仿宋_GB2312"/>
              </w:rPr>
              <w:t>采购包3：50,000.00元</w:t>
            </w:r>
          </w:p>
          <w:p>
            <w:pPr>
              <w:pStyle w:val="null3"/>
            </w:pPr>
            <w:r>
              <w:rPr>
                <w:rFonts w:ascii="仿宋_GB2312" w:hAnsi="仿宋_GB2312" w:cs="仿宋_GB2312" w:eastAsia="仿宋_GB2312"/>
              </w:rPr>
              <w:t>采购包4：51,000.00元</w:t>
            </w:r>
          </w:p>
          <w:p>
            <w:pPr>
              <w:pStyle w:val="null3"/>
            </w:pPr>
            <w:r>
              <w:rPr>
                <w:rFonts w:ascii="仿宋_GB2312" w:hAnsi="仿宋_GB2312" w:cs="仿宋_GB2312" w:eastAsia="仿宋_GB2312"/>
              </w:rPr>
              <w:t>采购包5：41,000.00元</w:t>
            </w:r>
          </w:p>
          <w:p>
            <w:pPr>
              <w:pStyle w:val="null3"/>
            </w:pPr>
            <w:r>
              <w:rPr>
                <w:rFonts w:ascii="仿宋_GB2312" w:hAnsi="仿宋_GB2312" w:cs="仿宋_GB2312" w:eastAsia="仿宋_GB2312"/>
              </w:rPr>
              <w:t>采购包6：30,000.00元</w:t>
            </w:r>
          </w:p>
          <w:p>
            <w:pPr>
              <w:pStyle w:val="null3"/>
            </w:pPr>
            <w:r>
              <w:rPr>
                <w:rFonts w:ascii="仿宋_GB2312" w:hAnsi="仿宋_GB2312" w:cs="仿宋_GB2312" w:eastAsia="仿宋_GB2312"/>
              </w:rPr>
              <w:t>采购包7：46,000.00元</w:t>
            </w:r>
          </w:p>
          <w:p>
            <w:pPr>
              <w:pStyle w:val="null3"/>
            </w:pPr>
            <w:r>
              <w:rPr>
                <w:rFonts w:ascii="仿宋_GB2312" w:hAnsi="仿宋_GB2312" w:cs="仿宋_GB2312" w:eastAsia="仿宋_GB2312"/>
              </w:rPr>
              <w:t>采购包8：70,000.00元</w:t>
            </w:r>
          </w:p>
          <w:p>
            <w:pPr>
              <w:pStyle w:val="null3"/>
            </w:pPr>
            <w:r>
              <w:rPr>
                <w:rFonts w:ascii="仿宋_GB2312" w:hAnsi="仿宋_GB2312" w:cs="仿宋_GB2312" w:eastAsia="仿宋_GB2312"/>
              </w:rPr>
              <w:t>采购包9：45,000.00元</w:t>
            </w:r>
          </w:p>
          <w:p>
            <w:pPr>
              <w:pStyle w:val="null3"/>
            </w:pPr>
            <w:r>
              <w:rPr>
                <w:rFonts w:ascii="仿宋_GB2312" w:hAnsi="仿宋_GB2312" w:cs="仿宋_GB2312" w:eastAsia="仿宋_GB2312"/>
              </w:rPr>
              <w:t>采购包10：40,000.00元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p>
          <w:p>
            <w:pPr>
              <w:pStyle w:val="null3"/>
            </w:pPr>
            <w:r>
              <w:rPr>
                <w:rFonts w:ascii="仿宋_GB2312" w:hAnsi="仿宋_GB2312" w:cs="仿宋_GB2312" w:eastAsia="仿宋_GB2312"/>
              </w:rPr>
              <w:t>采购包7：不接受</w:t>
            </w:r>
          </w:p>
          <w:p>
            <w:pPr>
              <w:pStyle w:val="null3"/>
            </w:pPr>
            <w:r>
              <w:rPr>
                <w:rFonts w:ascii="仿宋_GB2312" w:hAnsi="仿宋_GB2312" w:cs="仿宋_GB2312" w:eastAsia="仿宋_GB2312"/>
              </w:rPr>
              <w:t>采购包8：不接受</w:t>
            </w:r>
          </w:p>
          <w:p>
            <w:pPr>
              <w:pStyle w:val="null3"/>
            </w:pPr>
            <w:r>
              <w:rPr>
                <w:rFonts w:ascii="仿宋_GB2312" w:hAnsi="仿宋_GB2312" w:cs="仿宋_GB2312" w:eastAsia="仿宋_GB2312"/>
              </w:rPr>
              <w:t>采购包9：不接受</w:t>
            </w:r>
          </w:p>
          <w:p>
            <w:pPr>
              <w:pStyle w:val="null3"/>
            </w:pPr>
            <w:r>
              <w:rPr>
                <w:rFonts w:ascii="仿宋_GB2312" w:hAnsi="仿宋_GB2312" w:cs="仿宋_GB2312" w:eastAsia="仿宋_GB2312"/>
              </w:rPr>
              <w:t>采购包10：不接受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p>
            <w:pPr>
              <w:pStyle w:val="null3"/>
            </w:pPr>
            <w:r>
              <w:rPr>
                <w:rFonts w:ascii="仿宋_GB2312" w:hAnsi="仿宋_GB2312" w:cs="仿宋_GB2312" w:eastAsia="仿宋_GB2312"/>
              </w:rPr>
              <w:t>采购包6：不缴纳</w:t>
            </w:r>
          </w:p>
          <w:p>
            <w:pPr>
              <w:pStyle w:val="null3"/>
            </w:pPr>
            <w:r>
              <w:rPr>
                <w:rFonts w:ascii="仿宋_GB2312" w:hAnsi="仿宋_GB2312" w:cs="仿宋_GB2312" w:eastAsia="仿宋_GB2312"/>
              </w:rPr>
              <w:t>采购包7：不缴纳</w:t>
            </w:r>
          </w:p>
          <w:p>
            <w:pPr>
              <w:pStyle w:val="null3"/>
            </w:pPr>
            <w:r>
              <w:rPr>
                <w:rFonts w:ascii="仿宋_GB2312" w:hAnsi="仿宋_GB2312" w:cs="仿宋_GB2312" w:eastAsia="仿宋_GB2312"/>
              </w:rPr>
              <w:t>采购包8：不缴纳</w:t>
            </w:r>
          </w:p>
          <w:p>
            <w:pPr>
              <w:pStyle w:val="null3"/>
            </w:pPr>
            <w:r>
              <w:rPr>
                <w:rFonts w:ascii="仿宋_GB2312" w:hAnsi="仿宋_GB2312" w:cs="仿宋_GB2312" w:eastAsia="仿宋_GB2312"/>
              </w:rPr>
              <w:t>采购包9：不缴纳</w:t>
            </w:r>
          </w:p>
          <w:p>
            <w:pPr>
              <w:pStyle w:val="null3"/>
            </w:pPr>
            <w:r>
              <w:rPr>
                <w:rFonts w:ascii="仿宋_GB2312" w:hAnsi="仿宋_GB2312" w:cs="仿宋_GB2312" w:eastAsia="仿宋_GB2312"/>
              </w:rPr>
              <w:t>采购包10：不缴纳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应依据成交金额向采购代理机构交纳成交服务费，交费金额参照国家计委颁布的《招标代理服务收费管理暂行办法》（计价格[2002]1980号）及发改办价格[2003]857号文件的规定标准下浮50%收取。 本项目成交服务费按服务计取。</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p>
            <w:pPr>
              <w:pStyle w:val="null3"/>
            </w:pPr>
            <w:r>
              <w:rPr>
                <w:rFonts w:ascii="仿宋_GB2312" w:hAnsi="仿宋_GB2312" w:cs="仿宋_GB2312" w:eastAsia="仿宋_GB2312"/>
              </w:rPr>
              <w:t>采购包7：组织现场踏勘：否</w:t>
            </w:r>
          </w:p>
          <w:p>
            <w:pPr>
              <w:pStyle w:val="null3"/>
            </w:pPr>
            <w:r>
              <w:rPr>
                <w:rFonts w:ascii="仿宋_GB2312" w:hAnsi="仿宋_GB2312" w:cs="仿宋_GB2312" w:eastAsia="仿宋_GB2312"/>
              </w:rPr>
              <w:t>采购包8：组织现场踏勘：否</w:t>
            </w:r>
          </w:p>
          <w:p>
            <w:pPr>
              <w:pStyle w:val="null3"/>
            </w:pPr>
            <w:r>
              <w:rPr>
                <w:rFonts w:ascii="仿宋_GB2312" w:hAnsi="仿宋_GB2312" w:cs="仿宋_GB2312" w:eastAsia="仿宋_GB2312"/>
              </w:rPr>
              <w:t>采购包9：组织现场踏勘：否</w:t>
            </w:r>
          </w:p>
          <w:p>
            <w:pPr>
              <w:pStyle w:val="null3"/>
            </w:pPr>
            <w:r>
              <w:rPr>
                <w:rFonts w:ascii="仿宋_GB2312" w:hAnsi="仿宋_GB2312" w:cs="仿宋_GB2312" w:eastAsia="仿宋_GB2312"/>
              </w:rPr>
              <w:t>采购包10：组织现场踏勘：否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安康学院</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安康学院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pPr>
      <w:r>
        <w:rPr>
          <w:rFonts w:ascii="仿宋_GB2312" w:hAnsi="仿宋_GB2312" w:cs="仿宋_GB2312" w:eastAsia="仿宋_GB2312"/>
        </w:rPr>
        <w:t>采购包7：不允许合同分包。</w:t>
      </w:r>
    </w:p>
    <w:p>
      <w:pPr>
        <w:pStyle w:val="null3"/>
      </w:pPr>
      <w:r>
        <w:rPr>
          <w:rFonts w:ascii="仿宋_GB2312" w:hAnsi="仿宋_GB2312" w:cs="仿宋_GB2312" w:eastAsia="仿宋_GB2312"/>
        </w:rPr>
        <w:t>采购包8：不允许合同分包。</w:t>
      </w:r>
    </w:p>
    <w:p>
      <w:pPr>
        <w:pStyle w:val="null3"/>
      </w:pPr>
      <w:r>
        <w:rPr>
          <w:rFonts w:ascii="仿宋_GB2312" w:hAnsi="仿宋_GB2312" w:cs="仿宋_GB2312" w:eastAsia="仿宋_GB2312"/>
        </w:rPr>
        <w:t>采购包9：不允许合同分包。</w:t>
      </w:r>
    </w:p>
    <w:p>
      <w:pPr>
        <w:pStyle w:val="null3"/>
      </w:pPr>
      <w:r>
        <w:rPr>
          <w:rFonts w:ascii="仿宋_GB2312" w:hAnsi="仿宋_GB2312" w:cs="仿宋_GB2312" w:eastAsia="仿宋_GB2312"/>
        </w:rPr>
        <w:t>采购包10：不允许合同分包。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严格按照采购文件、响应文件及正式合同相关约定内容进行验收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严格按照采购文件、响应文件及正式合同相关约定内容进行验收。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严格按照采购文件、响应文件及正式合同相关约定内容进行验收。</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严格按照采购文件、响应文件及正式合同相关约定内容进行验收。</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严格按照采购文件、响应文件及正式合同相关约定内容进行验收。</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严格按照采购文件、响应文件及正式合同相关约定内容进行验收。</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严格按照采购文件、响应文件及正式合同相关约定内容进行验收。</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严格按照采购文件、响应文件及正式合同相关约定内容进行验收。</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严格按照采购文件、响应文件及正式合同相关约定内容进行验收。</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严格按照采购文件、响应文件及正式合同相关约定内容进行验收。</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安康学院2026年数字资源建设项目，共分为10个采购包，具体内容详见采购需求。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380,000.00</w:t>
      </w:r>
    </w:p>
    <w:p>
      <w:pPr>
        <w:pStyle w:val="null3"/>
      </w:pPr>
      <w:r>
        <w:rPr>
          <w:rFonts w:ascii="仿宋_GB2312" w:hAnsi="仿宋_GB2312" w:cs="仿宋_GB2312" w:eastAsia="仿宋_GB2312"/>
        </w:rPr>
        <w:t>采购包最高限价（元）: 380,000.00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中国知网数据库</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380,000.00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237,000.00</w:t>
      </w:r>
    </w:p>
    <w:p>
      <w:pPr>
        <w:pStyle w:val="null3"/>
      </w:pPr>
      <w:r>
        <w:rPr>
          <w:rFonts w:ascii="仿宋_GB2312" w:hAnsi="仿宋_GB2312" w:cs="仿宋_GB2312" w:eastAsia="仿宋_GB2312"/>
        </w:rPr>
        <w:t>采购包最高限价（元）: 237,000.00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超星学习通 读秀知识库 汇雅电子图书 超星名师讲坛</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237,000.00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50,000.00</w:t>
      </w:r>
    </w:p>
    <w:p>
      <w:pPr>
        <w:pStyle w:val="null3"/>
      </w:pPr>
      <w:r>
        <w:rPr>
          <w:rFonts w:ascii="仿宋_GB2312" w:hAnsi="仿宋_GB2312" w:cs="仿宋_GB2312" w:eastAsia="仿宋_GB2312"/>
        </w:rPr>
        <w:t>采购包最高限价（元）: 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中国学位论文全文数据库 中国学术会议文献数据库</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51,000.00</w:t>
      </w:r>
    </w:p>
    <w:p>
      <w:pPr>
        <w:pStyle w:val="null3"/>
      </w:pPr>
      <w:r>
        <w:rPr>
          <w:rFonts w:ascii="仿宋_GB2312" w:hAnsi="仿宋_GB2312" w:cs="仿宋_GB2312" w:eastAsia="仿宋_GB2312"/>
        </w:rPr>
        <w:t>采购包最高限价（元）: 51,000.00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人大复印报刊资料全文数据库</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51,000.00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41,000.00</w:t>
      </w:r>
    </w:p>
    <w:p>
      <w:pPr>
        <w:pStyle w:val="null3"/>
      </w:pPr>
      <w:r>
        <w:rPr>
          <w:rFonts w:ascii="仿宋_GB2312" w:hAnsi="仿宋_GB2312" w:cs="仿宋_GB2312" w:eastAsia="仿宋_GB2312"/>
        </w:rPr>
        <w:t>采购包最高限价（元）: 41,000.00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SpecialSciDBS数据库</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41,000.00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30,000.00</w:t>
      </w:r>
    </w:p>
    <w:p>
      <w:pPr>
        <w:pStyle w:val="null3"/>
      </w:pPr>
      <w:r>
        <w:rPr>
          <w:rFonts w:ascii="仿宋_GB2312" w:hAnsi="仿宋_GB2312" w:cs="仿宋_GB2312" w:eastAsia="仿宋_GB2312"/>
        </w:rPr>
        <w:t>采购包最高限价（元）: 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博学易知学习平台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采购包预算金额（元）: 46,000.00</w:t>
      </w:r>
    </w:p>
    <w:p>
      <w:pPr>
        <w:pStyle w:val="null3"/>
      </w:pPr>
      <w:r>
        <w:rPr>
          <w:rFonts w:ascii="仿宋_GB2312" w:hAnsi="仿宋_GB2312" w:cs="仿宋_GB2312" w:eastAsia="仿宋_GB2312"/>
        </w:rPr>
        <w:t>采购包最高限价（元）: 46,000.00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Spischolar学术资源在线</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46,000.00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采购包预算金额（元）: 70,000.00</w:t>
      </w:r>
    </w:p>
    <w:p>
      <w:pPr>
        <w:pStyle w:val="null3"/>
      </w:pPr>
      <w:r>
        <w:rPr>
          <w:rFonts w:ascii="仿宋_GB2312" w:hAnsi="仿宋_GB2312" w:cs="仿宋_GB2312" w:eastAsia="仿宋_GB2312"/>
        </w:rPr>
        <w:t>采购包最高限价（元）: 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worldlib sci精品学术论文平台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采购包预算金额（元）: 45,000.00</w:t>
      </w:r>
    </w:p>
    <w:p>
      <w:pPr>
        <w:pStyle w:val="null3"/>
      </w:pPr>
      <w:r>
        <w:rPr>
          <w:rFonts w:ascii="仿宋_GB2312" w:hAnsi="仿宋_GB2312" w:cs="仿宋_GB2312" w:eastAsia="仿宋_GB2312"/>
        </w:rPr>
        <w:t>采购包最高限价（元）: 45,000.00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掌阅精选数字阅读平台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45,000.00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采购包预算金额（元）: 40,000.00</w:t>
      </w:r>
    </w:p>
    <w:p>
      <w:pPr>
        <w:pStyle w:val="null3"/>
      </w:pPr>
      <w:r>
        <w:rPr>
          <w:rFonts w:ascii="仿宋_GB2312" w:hAnsi="仿宋_GB2312" w:cs="仿宋_GB2312" w:eastAsia="仿宋_GB2312"/>
        </w:rPr>
        <w:t>采购包最高限价（元）: 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上岸考研网</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标的名称：中国知网数据库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color w:val="000000"/>
              </w:rPr>
              <w:t>一、</w:t>
            </w:r>
            <w:r>
              <w:rPr>
                <w:rFonts w:ascii="仿宋_GB2312" w:hAnsi="仿宋_GB2312" w:cs="仿宋_GB2312" w:eastAsia="仿宋_GB2312"/>
                <w:sz w:val="24"/>
                <w:b/>
                <w:color w:val="000000"/>
              </w:rPr>
              <w:t>具体采购内容：</w:t>
            </w:r>
          </w:p>
          <w:tbl>
            <w:tblPr>
              <w:tblInd w:type="dxa" w:w="135"/>
              <w:tblBorders>
                <w:top w:val="none" w:color="000000" w:sz="4"/>
                <w:left w:val="none" w:color="000000" w:sz="4"/>
                <w:bottom w:val="none" w:color="000000" w:sz="4"/>
                <w:right w:val="none" w:color="000000" w:sz="4"/>
                <w:insideH w:val="none"/>
                <w:insideV w:val="none"/>
              </w:tblBorders>
            </w:tblPr>
            <w:tblGrid>
              <w:gridCol w:w="1177"/>
              <w:gridCol w:w="280"/>
              <w:gridCol w:w="1085"/>
            </w:tblGrid>
            <w:tr>
              <w:tc>
                <w:tcPr>
                  <w:tcW w:type="dxa" w:w="11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333333"/>
                      <w:shd w:fill="FFFFFF" w:val="clear"/>
                    </w:rPr>
                    <w:t>产品类型</w:t>
                  </w:r>
                </w:p>
              </w:tc>
              <w:tc>
                <w:tcPr>
                  <w:tcW w:type="dxa" w:w="2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333333"/>
                      <w:shd w:fill="FFFFFF" w:val="clear"/>
                    </w:rPr>
                    <w:t>年度</w:t>
                  </w:r>
                </w:p>
              </w:tc>
              <w:tc>
                <w:tcPr>
                  <w:tcW w:type="dxa" w:w="10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333333"/>
                      <w:shd w:fill="FFFFFF" w:val="clear"/>
                    </w:rPr>
                    <w:t>专辑</w:t>
                  </w:r>
                  <w:r>
                    <w:rPr>
                      <w:rFonts w:ascii="仿宋_GB2312" w:hAnsi="仿宋_GB2312" w:cs="仿宋_GB2312" w:eastAsia="仿宋_GB2312"/>
                      <w:sz w:val="24"/>
                      <w:color w:val="333333"/>
                      <w:shd w:fill="FFFFFF" w:val="clear"/>
                    </w:rPr>
                    <w:t>/产品名称</w:t>
                  </w:r>
                </w:p>
              </w:tc>
            </w:tr>
            <w:tr>
              <w:tc>
                <w:tcPr>
                  <w:tcW w:type="dxa" w:w="11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333333"/>
                      <w:shd w:fill="FFFFFF" w:val="clear"/>
                    </w:rPr>
                    <w:t>中国学术期刊网络版</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333333"/>
                      <w:shd w:fill="FFFFFF" w:val="clear"/>
                    </w:rPr>
                    <w:t>2026</w:t>
                  </w:r>
                </w:p>
              </w:tc>
              <w:tc>
                <w:tcPr>
                  <w:tcW w:type="dxa" w:w="10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333333"/>
                      <w:shd w:fill="FFFFFF" w:val="clear"/>
                    </w:rPr>
                    <w:t>A,B,C,D,E,F,G,H,I,J（全库）</w:t>
                  </w:r>
                </w:p>
              </w:tc>
            </w:tr>
            <w:tr>
              <w:tc>
                <w:tcPr>
                  <w:tcW w:type="dxa" w:w="1177"/>
                  <w:vMerge/>
                  <w:tcBorders>
                    <w:top w:val="none" w:color="000000" w:sz="4"/>
                    <w:left w:val="single" w:color="000000" w:sz="4"/>
                    <w:bottom w:val="single" w:color="000000" w:sz="4"/>
                    <w:right w:val="single" w:color="000000" w:sz="4"/>
                  </w:tcBorders>
                </w:tcPr>
                <w:p/>
              </w:tc>
              <w:tc>
                <w:tcPr>
                  <w:tcW w:type="dxa" w:w="280"/>
                  <w:vMerge/>
                  <w:tcBorders>
                    <w:top w:val="none" w:color="000000" w:sz="4"/>
                    <w:left w:val="none" w:color="000000" w:sz="4"/>
                    <w:bottom w:val="single" w:color="000000" w:sz="4"/>
                    <w:right w:val="single" w:color="000000" w:sz="4"/>
                  </w:tcBorders>
                </w:tcPr>
                <w:p/>
              </w:tc>
              <w:tc>
                <w:tcPr>
                  <w:tcW w:type="dxa" w:w="1085"/>
                  <w:vMerge/>
                  <w:tcBorders>
                    <w:top w:val="none" w:color="000000" w:sz="4"/>
                    <w:left w:val="none" w:color="000000" w:sz="4"/>
                    <w:bottom w:val="single" w:color="000000" w:sz="4"/>
                    <w:right w:val="single" w:color="000000" w:sz="4"/>
                  </w:tcBorders>
                </w:tcPr>
                <w:p/>
              </w:tc>
            </w:tr>
            <w:tr>
              <w:tc>
                <w:tcPr>
                  <w:tcW w:type="dxa" w:w="11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333333"/>
                      <w:shd w:fill="FFFFFF" w:val="clear"/>
                    </w:rPr>
                    <w:t>中国精品文艺作品期刊文献库</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333333"/>
                      <w:shd w:fill="FFFFFF" w:val="clear"/>
                    </w:rPr>
                    <w:t>2026</w:t>
                  </w:r>
                </w:p>
              </w:tc>
              <w:tc>
                <w:tcPr>
                  <w:tcW w:type="dxa" w:w="10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333333"/>
                      <w:shd w:fill="FFFFFF" w:val="clear"/>
                    </w:rPr>
                    <w:t>全库</w:t>
                  </w:r>
                </w:p>
              </w:tc>
            </w:tr>
            <w:tr>
              <w:tc>
                <w:tcPr>
                  <w:tcW w:type="dxa" w:w="1177"/>
                  <w:vMerge/>
                  <w:tcBorders>
                    <w:top w:val="none" w:color="000000" w:sz="4"/>
                    <w:left w:val="single" w:color="000000" w:sz="4"/>
                    <w:bottom w:val="single" w:color="000000" w:sz="4"/>
                    <w:right w:val="single" w:color="000000" w:sz="4"/>
                  </w:tcBorders>
                </w:tcPr>
                <w:p/>
              </w:tc>
              <w:tc>
                <w:tcPr>
                  <w:tcW w:type="dxa" w:w="280"/>
                  <w:vMerge/>
                  <w:tcBorders>
                    <w:top w:val="none" w:color="000000" w:sz="4"/>
                    <w:left w:val="none" w:color="000000" w:sz="4"/>
                    <w:bottom w:val="single" w:color="000000" w:sz="4"/>
                    <w:right w:val="single" w:color="000000" w:sz="4"/>
                  </w:tcBorders>
                </w:tcPr>
                <w:p/>
              </w:tc>
              <w:tc>
                <w:tcPr>
                  <w:tcW w:type="dxa" w:w="1085"/>
                  <w:vMerge/>
                  <w:tcBorders>
                    <w:top w:val="none" w:color="000000" w:sz="4"/>
                    <w:left w:val="none" w:color="000000" w:sz="4"/>
                    <w:bottom w:val="single" w:color="000000" w:sz="4"/>
                    <w:right w:val="single" w:color="000000" w:sz="4"/>
                  </w:tcBorders>
                </w:tcPr>
                <w:p/>
              </w:tc>
            </w:tr>
            <w:tr>
              <w:tc>
                <w:tcPr>
                  <w:tcW w:type="dxa" w:w="11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333333"/>
                      <w:shd w:fill="FFFFFF" w:val="clear"/>
                    </w:rPr>
                    <w:t>中国精品文化作品期刊文献库</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333333"/>
                      <w:shd w:fill="FFFFFF" w:val="clear"/>
                    </w:rPr>
                    <w:t>2026</w:t>
                  </w:r>
                </w:p>
              </w:tc>
              <w:tc>
                <w:tcPr>
                  <w:tcW w:type="dxa" w:w="10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shd w:fill="FFFFFF" w:val="clear"/>
                    </w:rPr>
                    <w:t>全库</w:t>
                  </w:r>
                </w:p>
              </w:tc>
            </w:tr>
            <w:tr>
              <w:tc>
                <w:tcPr>
                  <w:tcW w:type="dxa" w:w="1177"/>
                  <w:vMerge/>
                  <w:tcBorders>
                    <w:top w:val="none" w:color="000000" w:sz="4"/>
                    <w:left w:val="single" w:color="000000" w:sz="4"/>
                    <w:bottom w:val="single" w:color="000000" w:sz="4"/>
                    <w:right w:val="single" w:color="000000" w:sz="4"/>
                  </w:tcBorders>
                </w:tcPr>
                <w:p/>
              </w:tc>
              <w:tc>
                <w:tcPr>
                  <w:tcW w:type="dxa" w:w="280"/>
                  <w:vMerge/>
                  <w:tcBorders>
                    <w:top w:val="none" w:color="000000" w:sz="4"/>
                    <w:left w:val="none" w:color="000000" w:sz="4"/>
                    <w:bottom w:val="single" w:color="000000" w:sz="4"/>
                    <w:right w:val="single" w:color="000000" w:sz="4"/>
                  </w:tcBorders>
                </w:tcPr>
                <w:p/>
              </w:tc>
              <w:tc>
                <w:tcPr>
                  <w:tcW w:type="dxa" w:w="1085"/>
                  <w:vMerge/>
                  <w:tcBorders>
                    <w:top w:val="none" w:color="000000" w:sz="4"/>
                    <w:left w:val="none" w:color="000000" w:sz="4"/>
                    <w:bottom w:val="single" w:color="000000" w:sz="4"/>
                    <w:right w:val="single" w:color="000000" w:sz="4"/>
                  </w:tcBorders>
                </w:tcPr>
                <w:p/>
              </w:tc>
            </w:tr>
            <w:tr>
              <w:tc>
                <w:tcPr>
                  <w:tcW w:type="dxa" w:w="1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333333"/>
                      <w:shd w:fill="FFFFFF" w:val="clear"/>
                    </w:rPr>
                    <w:t>中国精品科普期刊文献库</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333333"/>
                      <w:shd w:fill="FFFFFF" w:val="clear"/>
                    </w:rPr>
                    <w:t>2026</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333333"/>
                      <w:shd w:fill="FFFFFF" w:val="clear"/>
                    </w:rPr>
                    <w:t>全库</w:t>
                  </w:r>
                </w:p>
              </w:tc>
            </w:tr>
            <w:tr>
              <w:tc>
                <w:tcPr>
                  <w:tcW w:type="dxa" w:w="1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333333"/>
                      <w:shd w:fill="FFFFFF" w:val="clear"/>
                    </w:rPr>
                    <w:t>中国博士学位论文全文数据库</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333333"/>
                      <w:shd w:fill="FFFFFF" w:val="clear"/>
                    </w:rPr>
                    <w:t>2026</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333333"/>
                      <w:shd w:fill="FFFFFF" w:val="clear"/>
                    </w:rPr>
                    <w:t>A,B,D,E,F,G,H,I,J</w:t>
                  </w:r>
                </w:p>
              </w:tc>
            </w:tr>
            <w:tr>
              <w:tc>
                <w:tcPr>
                  <w:tcW w:type="dxa" w:w="1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333333"/>
                      <w:shd w:fill="FFFFFF" w:val="clear"/>
                    </w:rPr>
                    <w:t>中国优秀硕士学位论文全文数据库</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333333"/>
                      <w:shd w:fill="FFFFFF" w:val="clear"/>
                    </w:rPr>
                    <w:t>2026</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333333"/>
                      <w:shd w:fill="FFFFFF" w:val="clear"/>
                    </w:rPr>
                    <w:t>A,B,D,E,F,G,H,I,J</w:t>
                  </w:r>
                </w:p>
              </w:tc>
            </w:tr>
            <w:tr>
              <w:tc>
                <w:tcPr>
                  <w:tcW w:type="dxa" w:w="1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333333"/>
                      <w:shd w:fill="FFFFFF" w:val="clear"/>
                    </w:rPr>
                    <w:t>中国重要报纸全文数据库</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333333"/>
                      <w:shd w:fill="FFFFFF" w:val="clear"/>
                    </w:rPr>
                    <w:t>2026</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333333"/>
                      <w:shd w:fill="FFFFFF" w:val="clear"/>
                    </w:rPr>
                    <w:t>A,B,C,D,E,F,G,H,I,J（全库）</w:t>
                  </w:r>
                </w:p>
              </w:tc>
            </w:tr>
            <w:tr>
              <w:tc>
                <w:tcPr>
                  <w:tcW w:type="dxa" w:w="1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333333"/>
                      <w:shd w:fill="FFFFFF" w:val="clear"/>
                    </w:rPr>
                    <w:t>中国重要会议论文全文数据库</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333333"/>
                      <w:shd w:fill="FFFFFF" w:val="clear"/>
                    </w:rPr>
                    <w:t>2026</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333333"/>
                      <w:shd w:fill="FFFFFF" w:val="clear"/>
                    </w:rPr>
                    <w:t>H,I</w:t>
                  </w:r>
                </w:p>
              </w:tc>
            </w:tr>
          </w:tbl>
          <w:p>
            <w:pPr>
              <w:pStyle w:val="null3"/>
              <w:jc w:val="both"/>
            </w:pPr>
            <w:r>
              <w:rPr>
                <w:rFonts w:ascii="仿宋_GB2312" w:hAnsi="仿宋_GB2312" w:cs="仿宋_GB2312" w:eastAsia="仿宋_GB2312"/>
                <w:sz w:val="24"/>
                <w:b/>
                <w:color w:val="000000"/>
              </w:rPr>
              <w:t>二、产品总体要求：</w:t>
            </w:r>
          </w:p>
          <w:p>
            <w:pPr>
              <w:pStyle w:val="null3"/>
              <w:ind w:firstLine="480"/>
              <w:jc w:val="both"/>
            </w:pPr>
            <w:r>
              <w:rPr>
                <w:rFonts w:ascii="仿宋_GB2312" w:hAnsi="仿宋_GB2312" w:cs="仿宋_GB2312" w:eastAsia="仿宋_GB2312"/>
                <w:sz w:val="24"/>
                <w:color w:val="000000"/>
              </w:rPr>
              <w:t>1、所列的全文数据库内容能够在统一的平台上进行检索，相互之间可以实现知网节链接，并且可以和以往年度订购的CNKI系列数据库资源内容统一使用。</w:t>
            </w:r>
          </w:p>
          <w:p>
            <w:pPr>
              <w:pStyle w:val="null3"/>
              <w:ind w:firstLine="480"/>
              <w:jc w:val="both"/>
            </w:pPr>
            <w:r>
              <w:rPr>
                <w:rFonts w:ascii="仿宋_GB2312" w:hAnsi="仿宋_GB2312" w:cs="仿宋_GB2312" w:eastAsia="仿宋_GB2312"/>
                <w:sz w:val="24"/>
                <w:color w:val="000000"/>
              </w:rPr>
              <w:t>2、更新：网上日更新。网络出版时滞不超过纸质出版2个月。</w:t>
            </w:r>
          </w:p>
          <w:p>
            <w:pPr>
              <w:pStyle w:val="null3"/>
              <w:ind w:firstLine="480"/>
              <w:jc w:val="both"/>
            </w:pPr>
            <w:r>
              <w:rPr>
                <w:rFonts w:ascii="仿宋_GB2312" w:hAnsi="仿宋_GB2312" w:cs="仿宋_GB2312" w:eastAsia="仿宋_GB2312"/>
                <w:sz w:val="24"/>
                <w:color w:val="000000"/>
              </w:rPr>
              <w:t>3、数据库能提供完善的用户访问统计和控制功能,并由用户自己随时在后台进行。</w:t>
            </w:r>
          </w:p>
          <w:p>
            <w:pPr>
              <w:pStyle w:val="null3"/>
              <w:ind w:firstLine="480"/>
              <w:jc w:val="both"/>
            </w:pPr>
            <w:r>
              <w:rPr>
                <w:rFonts w:ascii="仿宋_GB2312" w:hAnsi="仿宋_GB2312" w:cs="仿宋_GB2312" w:eastAsia="仿宋_GB2312"/>
                <w:sz w:val="24"/>
                <w:color w:val="000000"/>
              </w:rPr>
              <w:t>4、数据库能提供完善的访问量（日志）统计功能，能按访问总数，检索、浏览、下载分别进行统计，能够按学科专辑专题进行分类统计，能够按时间进行统计。</w:t>
            </w:r>
          </w:p>
          <w:p>
            <w:pPr>
              <w:pStyle w:val="null3"/>
              <w:ind w:firstLine="480"/>
              <w:jc w:val="both"/>
            </w:pPr>
            <w:r>
              <w:rPr>
                <w:rFonts w:ascii="仿宋_GB2312" w:hAnsi="仿宋_GB2312" w:cs="仿宋_GB2312" w:eastAsia="仿宋_GB2312"/>
                <w:sz w:val="24"/>
                <w:color w:val="000000"/>
              </w:rPr>
              <w:t>5、要求系统平台具有完善的可升级与扩展功能，升级方式方便（如可通过网络自动检测升级）。</w:t>
            </w:r>
          </w:p>
          <w:p>
            <w:pPr>
              <w:pStyle w:val="null3"/>
              <w:ind w:firstLine="480"/>
              <w:jc w:val="both"/>
            </w:pPr>
            <w:r>
              <w:rPr>
                <w:rFonts w:ascii="仿宋_GB2312" w:hAnsi="仿宋_GB2312" w:cs="仿宋_GB2312" w:eastAsia="仿宋_GB2312"/>
                <w:sz w:val="24"/>
                <w:color w:val="000000"/>
              </w:rPr>
              <w:t>6、要求能够提供移动端APP，并能免费在移动端使用已订购的学术期刊、博硕论文、会议报纸内容。</w:t>
            </w:r>
          </w:p>
          <w:p>
            <w:pPr>
              <w:pStyle w:val="null3"/>
              <w:ind w:firstLine="480"/>
              <w:jc w:val="both"/>
            </w:pPr>
            <w:r>
              <w:rPr>
                <w:rFonts w:ascii="仿宋_GB2312" w:hAnsi="仿宋_GB2312" w:cs="仿宋_GB2312" w:eastAsia="仿宋_GB2312"/>
                <w:sz w:val="24"/>
                <w:color w:val="000000"/>
              </w:rPr>
              <w:t>7、系统能提供完备的检索功能，且对检索结果可以按照需要进行聚类和排序。</w:t>
            </w:r>
          </w:p>
          <w:p>
            <w:pPr>
              <w:pStyle w:val="null3"/>
              <w:ind w:firstLine="480"/>
              <w:jc w:val="both"/>
            </w:pPr>
            <w:r>
              <w:rPr>
                <w:rFonts w:ascii="仿宋_GB2312" w:hAnsi="仿宋_GB2312" w:cs="仿宋_GB2312" w:eastAsia="仿宋_GB2312"/>
                <w:sz w:val="24"/>
                <w:color w:val="000000"/>
              </w:rPr>
              <w:t>8、能够综合运用多种文献内容关联方法建立文献间关联体系，提供单篇文献详细信息和扩展信息，形成完善的知识网络，提供链接检索。链接检索应当包括以下功能：文献详细信息、参考文献链接、引证文献链接、共引文献链接、二级参考文献链接、二级引证文献链接、相似文献链接、读者推荐文献链接、相关文献作者链接、相关文献机构链接。</w:t>
            </w:r>
          </w:p>
          <w:p>
            <w:pPr>
              <w:pStyle w:val="null3"/>
              <w:ind w:firstLine="480"/>
              <w:jc w:val="both"/>
            </w:pPr>
            <w:r>
              <w:rPr>
                <w:rFonts w:ascii="仿宋_GB2312" w:hAnsi="仿宋_GB2312" w:cs="仿宋_GB2312" w:eastAsia="仿宋_GB2312"/>
                <w:sz w:val="24"/>
                <w:color w:val="000000"/>
              </w:rPr>
              <w:t>9、提供多级目录导航，能够快速定位到页。</w:t>
            </w:r>
          </w:p>
          <w:p>
            <w:pPr>
              <w:pStyle w:val="null3"/>
              <w:ind w:firstLine="480"/>
              <w:jc w:val="both"/>
            </w:pPr>
            <w:r>
              <w:rPr>
                <w:rFonts w:ascii="仿宋_GB2312" w:hAnsi="仿宋_GB2312" w:cs="仿宋_GB2312" w:eastAsia="仿宋_GB2312"/>
                <w:sz w:val="24"/>
                <w:color w:val="000000"/>
              </w:rPr>
              <w:t>10、全文信息完全的数字化，免费提供具有自主知识产权的阅读软件，能够实现期刊论文原始版面结构与样式不失真的显示与打印。</w:t>
            </w:r>
          </w:p>
          <w:p>
            <w:pPr>
              <w:pStyle w:val="null3"/>
              <w:ind w:firstLine="480"/>
              <w:jc w:val="both"/>
            </w:pPr>
            <w:r>
              <w:rPr>
                <w:rFonts w:ascii="仿宋_GB2312" w:hAnsi="仿宋_GB2312" w:cs="仿宋_GB2312" w:eastAsia="仿宋_GB2312"/>
                <w:sz w:val="24"/>
                <w:color w:val="000000"/>
              </w:rPr>
              <w:t>11、数据格式：自定义CAJ加密格式同时支持PDF格式。对于图像格式能实现OCR识别转文本。</w:t>
            </w:r>
          </w:p>
          <w:p>
            <w:pPr>
              <w:pStyle w:val="null3"/>
              <w:jc w:val="both"/>
            </w:pPr>
            <w:r>
              <w:rPr>
                <w:rFonts w:ascii="仿宋_GB2312" w:hAnsi="仿宋_GB2312" w:cs="仿宋_GB2312" w:eastAsia="仿宋_GB2312"/>
                <w:sz w:val="24"/>
                <w:b/>
                <w:color w:val="000000"/>
              </w:rPr>
              <w:t>三、产品资源量情况：</w:t>
            </w:r>
          </w:p>
          <w:p>
            <w:pPr>
              <w:pStyle w:val="null3"/>
              <w:ind w:firstLine="480"/>
              <w:jc w:val="both"/>
            </w:pPr>
            <w:r>
              <w:rPr>
                <w:rFonts w:ascii="仿宋_GB2312" w:hAnsi="仿宋_GB2312" w:cs="仿宋_GB2312" w:eastAsia="仿宋_GB2312"/>
                <w:sz w:val="24"/>
                <w:color w:val="000000"/>
              </w:rPr>
              <w:t>1、中国学术期刊网络版：十大专辑截至2026年1月，累计收录8620余种期刊，中文全文文献总量达6490余万篇。其中，收录核心期刊1970余种。2026年十大专辑计划出版期刊6901种，预计出版总文献量157万余篇。</w:t>
            </w:r>
          </w:p>
          <w:p>
            <w:pPr>
              <w:pStyle w:val="null3"/>
              <w:ind w:firstLine="480"/>
              <w:jc w:val="both"/>
            </w:pPr>
            <w:r>
              <w:rPr>
                <w:rFonts w:ascii="仿宋_GB2312" w:hAnsi="仿宋_GB2312" w:cs="仿宋_GB2312" w:eastAsia="仿宋_GB2312"/>
                <w:sz w:val="24"/>
                <w:color w:val="000000"/>
              </w:rPr>
              <w:t>2、中国博士学位论文全文数据库：十大专辑截止2025年12月，收录博士学位论文66.1万余篇。2026年十大专辑计划出版4.8万篇</w:t>
            </w:r>
          </w:p>
          <w:p>
            <w:pPr>
              <w:pStyle w:val="null3"/>
              <w:ind w:firstLine="480"/>
              <w:jc w:val="both"/>
            </w:pPr>
            <w:r>
              <w:rPr>
                <w:rFonts w:ascii="仿宋_GB2312" w:hAnsi="仿宋_GB2312" w:cs="仿宋_GB2312" w:eastAsia="仿宋_GB2312"/>
                <w:sz w:val="24"/>
                <w:color w:val="000000"/>
              </w:rPr>
              <w:t>3、中国优秀硕士学位论文全文数据库： 十大专辑截止2025年12月，收录硕士学位论文693万余篇。十大专辑2026年计划出版52万篇。</w:t>
            </w:r>
          </w:p>
          <w:p>
            <w:pPr>
              <w:pStyle w:val="null3"/>
              <w:ind w:firstLine="480"/>
              <w:jc w:val="both"/>
            </w:pPr>
            <w:r>
              <w:rPr>
                <w:rFonts w:ascii="仿宋_GB2312" w:hAnsi="仿宋_GB2312" w:cs="仿宋_GB2312" w:eastAsia="仿宋_GB2312"/>
                <w:sz w:val="24"/>
                <w:color w:val="000000"/>
              </w:rPr>
              <w:t>4、中国重要会议论文全文数据库：收录了由国内外近3500余家授权单位推荐的3万余次国内重要学术会议的论文。 十大专辑截至2026年1月收录论文298万余篇。2026年十大专辑计划出版：80000篇。</w:t>
            </w:r>
          </w:p>
          <w:p>
            <w:pPr>
              <w:pStyle w:val="null3"/>
              <w:ind w:firstLine="480"/>
              <w:jc w:val="both"/>
            </w:pPr>
            <w:r>
              <w:rPr>
                <w:rFonts w:ascii="仿宋_GB2312" w:hAnsi="仿宋_GB2312" w:cs="仿宋_GB2312" w:eastAsia="仿宋_GB2312"/>
                <w:sz w:val="24"/>
                <w:color w:val="000000"/>
              </w:rPr>
              <w:t>5、中国重要报纸全文数据库：十大专辑截至2025年12月底，共收录各级党报及特色行业报等重要报纸约700种，出版文献总量达1785万余篇。2026年十大专辑计划出版：106.1万篇。</w:t>
            </w:r>
          </w:p>
          <w:p>
            <w:pPr>
              <w:pStyle w:val="null3"/>
              <w:jc w:val="both"/>
            </w:pPr>
            <w:r>
              <w:rPr>
                <w:rFonts w:ascii="仿宋_GB2312" w:hAnsi="仿宋_GB2312" w:cs="仿宋_GB2312" w:eastAsia="仿宋_GB2312"/>
                <w:sz w:val="24"/>
                <w:b/>
                <w:color w:val="000000"/>
              </w:rPr>
              <w:t>四、资质及版权要求：</w:t>
            </w:r>
          </w:p>
          <w:p>
            <w:pPr>
              <w:pStyle w:val="null3"/>
              <w:ind w:firstLine="480"/>
              <w:jc w:val="both"/>
            </w:pPr>
            <w:r>
              <w:rPr>
                <w:rFonts w:ascii="仿宋_GB2312" w:hAnsi="仿宋_GB2312" w:cs="仿宋_GB2312" w:eastAsia="仿宋_GB2312"/>
                <w:sz w:val="24"/>
                <w:color w:val="000000"/>
              </w:rPr>
              <w:t>1、供应商提供的所有资源必须为正版且彻底解决版权，数据来源合理合法，所有内容均为自有产品或者有销售该产品的合法授权。所提供数据不得是通过破解，盗窃他人数据等非法手段而来。保证院方今后电子资源的使用不受侵权问题的干扰。</w:t>
            </w:r>
          </w:p>
          <w:p>
            <w:pPr>
              <w:pStyle w:val="null3"/>
              <w:ind w:firstLine="480"/>
              <w:jc w:val="both"/>
            </w:pPr>
            <w:r>
              <w:rPr>
                <w:rFonts w:ascii="仿宋_GB2312" w:hAnsi="仿宋_GB2312" w:cs="仿宋_GB2312" w:eastAsia="仿宋_GB2312"/>
                <w:sz w:val="24"/>
                <w:color w:val="000000"/>
              </w:rPr>
              <w:t>2、供应商应提供的期刊、博士、硕士、会议、报纸资源须具备正式出版物标准刊号。</w:t>
            </w:r>
          </w:p>
          <w:p>
            <w:pPr>
              <w:pStyle w:val="null3"/>
              <w:ind w:firstLine="480"/>
              <w:jc w:val="both"/>
            </w:pPr>
            <w:r>
              <w:rPr>
                <w:rFonts w:ascii="仿宋_GB2312" w:hAnsi="仿宋_GB2312" w:cs="仿宋_GB2312" w:eastAsia="仿宋_GB2312"/>
                <w:sz w:val="24"/>
                <w:color w:val="000000"/>
              </w:rPr>
              <w:t>3、供应商能够保证学院对所购买的所有内容可以进行下载、打印、复制等操作。</w:t>
            </w:r>
          </w:p>
          <w:p>
            <w:pPr>
              <w:pStyle w:val="null3"/>
              <w:jc w:val="both"/>
            </w:pPr>
            <w:r>
              <w:rPr>
                <w:rFonts w:ascii="仿宋_GB2312" w:hAnsi="仿宋_GB2312" w:cs="仿宋_GB2312" w:eastAsia="仿宋_GB2312"/>
                <w:sz w:val="24"/>
                <w:b/>
                <w:color w:val="000000"/>
              </w:rPr>
              <w:t>五、服务要求：</w:t>
            </w:r>
          </w:p>
          <w:p>
            <w:pPr>
              <w:pStyle w:val="null3"/>
              <w:ind w:firstLine="480"/>
              <w:jc w:val="both"/>
            </w:pPr>
            <w:r>
              <w:rPr>
                <w:rFonts w:ascii="仿宋_GB2312" w:hAnsi="仿宋_GB2312" w:cs="仿宋_GB2312" w:eastAsia="仿宋_GB2312"/>
                <w:sz w:val="24"/>
                <w:color w:val="000000"/>
              </w:rPr>
              <w:t>1、供应商在陕西当地有售后服务机构或办事处，服务期限内能够提供免费的售后服务，包含但不限于数据安装、应用培训等售后服务。</w:t>
            </w:r>
          </w:p>
          <w:p>
            <w:pPr>
              <w:pStyle w:val="null3"/>
              <w:ind w:firstLine="480"/>
              <w:jc w:val="both"/>
            </w:pPr>
            <w:r>
              <w:rPr>
                <w:rFonts w:ascii="仿宋_GB2312" w:hAnsi="仿宋_GB2312" w:cs="仿宋_GB2312" w:eastAsia="仿宋_GB2312"/>
                <w:sz w:val="24"/>
                <w:color w:val="000000"/>
              </w:rPr>
              <w:t>2、对于学院原因造成的产品使用故障，能够提供通过电话支持、网络服务等方式，协助用户排查解决，特殊情况下可派技术人员上门协助解决。对于产品本身原因造成的使用故障由公司负责免费排除。</w:t>
            </w:r>
          </w:p>
          <w:p>
            <w:pPr>
              <w:pStyle w:val="null3"/>
              <w:ind w:firstLine="480"/>
              <w:jc w:val="both"/>
            </w:pPr>
            <w:r>
              <w:rPr>
                <w:rFonts w:ascii="仿宋_GB2312" w:hAnsi="仿宋_GB2312" w:cs="仿宋_GB2312" w:eastAsia="仿宋_GB2312"/>
                <w:sz w:val="24"/>
                <w:color w:val="000000"/>
              </w:rPr>
              <w:t>3、使用出现故障时，工作时间内，网络服务、电话服务的响应时间小于2小时，需要上门解决时，能够在24小时内到达现场进行协调解决。</w:t>
            </w:r>
          </w:p>
          <w:p>
            <w:pPr>
              <w:pStyle w:val="null3"/>
              <w:ind w:firstLine="480"/>
              <w:jc w:val="both"/>
            </w:pPr>
            <w:r>
              <w:rPr>
                <w:rFonts w:ascii="仿宋_GB2312" w:hAnsi="仿宋_GB2312" w:cs="仿宋_GB2312" w:eastAsia="仿宋_GB2312"/>
                <w:sz w:val="24"/>
                <w:color w:val="000000"/>
              </w:rPr>
              <w:t>4、镜像数据丢失后，供应商能够免费提供数据丢失后的恢复服务</w:t>
            </w:r>
          </w:p>
          <w:tbl>
            <w:tblPr>
              <w:tblBorders>
                <w:top w:val="none" w:color="000000" w:sz="4"/>
                <w:left w:val="none" w:color="000000" w:sz="4"/>
                <w:bottom w:val="none" w:color="000000" w:sz="4"/>
                <w:right w:val="none" w:color="000000" w:sz="4"/>
                <w:insideH w:val="none"/>
                <w:insideV w:val="none"/>
              </w:tblBorders>
            </w:tblPr>
            <w:tblGrid>
              <w:gridCol w:w="189"/>
              <w:gridCol w:w="135"/>
              <w:gridCol w:w="116"/>
              <w:gridCol w:w="116"/>
              <w:gridCol w:w="116"/>
              <w:gridCol w:w="116"/>
              <w:gridCol w:w="902"/>
              <w:gridCol w:w="852"/>
            </w:tblGrid>
            <w:tr>
              <w:tc>
                <w:tcPr>
                  <w:tcW w:type="dxa" w:w="1690"/>
                  <w:gridSpan w:val="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333333"/>
                      <w:shd w:fill="FFFFFF" w:val="clear"/>
                    </w:rPr>
                    <w:t>项目</w:t>
                  </w:r>
                </w:p>
              </w:tc>
              <w:tc>
                <w:tcPr>
                  <w:tcW w:type="dxa" w:w="8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333333"/>
                      <w:shd w:fill="FFFFFF" w:val="clear"/>
                    </w:rPr>
                    <w:t>指标</w:t>
                  </w:r>
                </w:p>
              </w:tc>
            </w:tr>
            <w:tr>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shd w:fill="FFFFFF" w:val="clear"/>
                    </w:rPr>
                    <w:t>资源加工</w:t>
                  </w:r>
                </w:p>
              </w:tc>
              <w:tc>
                <w:tcPr>
                  <w:tcW w:type="dxa" w:w="1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shd w:fill="FFFFFF" w:val="clear"/>
                    </w:rPr>
                    <w:t>著录</w:t>
                  </w:r>
                </w:p>
              </w:tc>
              <w:tc>
                <w:tcPr>
                  <w:tcW w:type="dxa" w:w="1366"/>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shd w:fill="FFFFFF" w:val="clear"/>
                    </w:rPr>
                    <w:t>串域、漏标、多标等错误</w:t>
                  </w:r>
                </w:p>
              </w:tc>
              <w:tc>
                <w:tcPr>
                  <w:tcW w:type="dxa" w:w="8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shd w:fill="FFFFFF" w:val="clear"/>
                    </w:rPr>
                    <w:t>小于</w:t>
                  </w:r>
                  <w:r>
                    <w:rPr>
                      <w:rFonts w:ascii="仿宋_GB2312" w:hAnsi="仿宋_GB2312" w:cs="仿宋_GB2312" w:eastAsia="仿宋_GB2312"/>
                      <w:sz w:val="24"/>
                      <w:color w:val="333333"/>
                      <w:shd w:fill="FFFFFF" w:val="clear"/>
                    </w:rPr>
                    <w:t>0.5‰</w:t>
                  </w:r>
                </w:p>
              </w:tc>
            </w:tr>
            <w:tr>
              <w:tc>
                <w:tcPr>
                  <w:tcW w:type="dxa" w:w="189"/>
                  <w:vMerge/>
                  <w:tcBorders>
                    <w:top w:val="none" w:color="000000" w:sz="4"/>
                    <w:left w:val="single" w:color="000000" w:sz="4"/>
                    <w:bottom w:val="single" w:color="000000" w:sz="4"/>
                    <w:right w:val="single" w:color="000000" w:sz="4"/>
                  </w:tcBorders>
                </w:tcPr>
                <w:p/>
              </w:tc>
              <w:tc>
                <w:tcPr>
                  <w:tcW w:type="dxa" w:w="135"/>
                  <w:vMerge/>
                  <w:tcBorders>
                    <w:top w:val="none" w:color="000000" w:sz="4"/>
                    <w:left w:val="single" w:color="000000" w:sz="4"/>
                    <w:bottom w:val="single" w:color="000000" w:sz="4"/>
                    <w:right w:val="single" w:color="000000" w:sz="4"/>
                  </w:tcBorders>
                </w:tcPr>
                <w:p/>
              </w:tc>
              <w:tc>
                <w:tcPr>
                  <w:tcW w:type="dxa" w:w="136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shd w:fill="FFFFFF" w:val="clear"/>
                    </w:rPr>
                    <w:t>中文题名著录文字错误率</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shd w:fill="FFFFFF" w:val="clear"/>
                    </w:rPr>
                    <w:t>小于</w:t>
                  </w:r>
                  <w:r>
                    <w:rPr>
                      <w:rFonts w:ascii="仿宋_GB2312" w:hAnsi="仿宋_GB2312" w:cs="仿宋_GB2312" w:eastAsia="仿宋_GB2312"/>
                      <w:sz w:val="24"/>
                      <w:color w:val="333333"/>
                      <w:shd w:fill="FFFFFF" w:val="clear"/>
                    </w:rPr>
                    <w:t>0.5‰</w:t>
                  </w:r>
                </w:p>
              </w:tc>
            </w:tr>
            <w:tr>
              <w:tc>
                <w:tcPr>
                  <w:tcW w:type="dxa" w:w="189"/>
                  <w:vMerge/>
                  <w:tcBorders>
                    <w:top w:val="none" w:color="000000" w:sz="4"/>
                    <w:left w:val="single" w:color="000000" w:sz="4"/>
                    <w:bottom w:val="single" w:color="000000" w:sz="4"/>
                    <w:right w:val="single" w:color="000000" w:sz="4"/>
                  </w:tcBorders>
                </w:tcPr>
                <w:p/>
              </w:tc>
              <w:tc>
                <w:tcPr>
                  <w:tcW w:type="dxa" w:w="135"/>
                  <w:vMerge/>
                  <w:tcBorders>
                    <w:top w:val="none" w:color="000000" w:sz="4"/>
                    <w:left w:val="single" w:color="000000" w:sz="4"/>
                    <w:bottom w:val="single" w:color="000000" w:sz="4"/>
                    <w:right w:val="single" w:color="000000" w:sz="4"/>
                  </w:tcBorders>
                </w:tcPr>
                <w:p/>
              </w:tc>
              <w:tc>
                <w:tcPr>
                  <w:tcW w:type="dxa" w:w="136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shd w:fill="FFFFFF" w:val="clear"/>
                    </w:rPr>
                    <w:t>其他语种题名著录文字错误率</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shd w:fill="FFFFFF" w:val="clear"/>
                    </w:rPr>
                    <w:t>小于</w:t>
                  </w:r>
                  <w:r>
                    <w:rPr>
                      <w:rFonts w:ascii="仿宋_GB2312" w:hAnsi="仿宋_GB2312" w:cs="仿宋_GB2312" w:eastAsia="仿宋_GB2312"/>
                      <w:sz w:val="24"/>
                      <w:color w:val="333333"/>
                      <w:shd w:fill="FFFFFF" w:val="clear"/>
                    </w:rPr>
                    <w:t>0.8‰</w:t>
                  </w:r>
                </w:p>
              </w:tc>
            </w:tr>
            <w:tr>
              <w:tc>
                <w:tcPr>
                  <w:tcW w:type="dxa" w:w="189"/>
                  <w:vMerge/>
                  <w:tcBorders>
                    <w:top w:val="none" w:color="000000" w:sz="4"/>
                    <w:left w:val="single" w:color="000000" w:sz="4"/>
                    <w:bottom w:val="single" w:color="000000" w:sz="4"/>
                    <w:right w:val="single" w:color="000000" w:sz="4"/>
                  </w:tcBorders>
                </w:tcPr>
                <w:p/>
              </w:tc>
              <w:tc>
                <w:tcPr>
                  <w:tcW w:type="dxa" w:w="135"/>
                  <w:vMerge/>
                  <w:tcBorders>
                    <w:top w:val="none" w:color="000000" w:sz="4"/>
                    <w:left w:val="single" w:color="000000" w:sz="4"/>
                    <w:bottom w:val="single" w:color="000000" w:sz="4"/>
                    <w:right w:val="single" w:color="000000" w:sz="4"/>
                  </w:tcBorders>
                </w:tcPr>
                <w:p/>
              </w:tc>
              <w:tc>
                <w:tcPr>
                  <w:tcW w:type="dxa" w:w="136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shd w:fill="FFFFFF" w:val="clear"/>
                    </w:rPr>
                    <w:t>中文摘要、英文摘要著录文字错误率</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shd w:fill="FFFFFF" w:val="clear"/>
                    </w:rPr>
                    <w:t>小于</w:t>
                  </w:r>
                  <w:r>
                    <w:rPr>
                      <w:rFonts w:ascii="仿宋_GB2312" w:hAnsi="仿宋_GB2312" w:cs="仿宋_GB2312" w:eastAsia="仿宋_GB2312"/>
                      <w:sz w:val="24"/>
                      <w:color w:val="333333"/>
                      <w:shd w:fill="FFFFFF" w:val="clear"/>
                    </w:rPr>
                    <w:t>0.5‰</w:t>
                  </w:r>
                </w:p>
              </w:tc>
            </w:tr>
            <w:tr>
              <w:tc>
                <w:tcPr>
                  <w:tcW w:type="dxa" w:w="189"/>
                  <w:vMerge/>
                  <w:tcBorders>
                    <w:top w:val="none" w:color="000000" w:sz="4"/>
                    <w:left w:val="single" w:color="000000" w:sz="4"/>
                    <w:bottom w:val="single" w:color="000000" w:sz="4"/>
                    <w:right w:val="single" w:color="000000" w:sz="4"/>
                  </w:tcBorders>
                </w:tcPr>
                <w:p/>
              </w:tc>
              <w:tc>
                <w:tcPr>
                  <w:tcW w:type="dxa" w:w="135"/>
                  <w:vMerge/>
                  <w:tcBorders>
                    <w:top w:val="none" w:color="000000" w:sz="4"/>
                    <w:left w:val="single" w:color="000000" w:sz="4"/>
                    <w:bottom w:val="single" w:color="000000" w:sz="4"/>
                    <w:right w:val="single" w:color="000000" w:sz="4"/>
                  </w:tcBorders>
                </w:tcPr>
                <w:p/>
              </w:tc>
              <w:tc>
                <w:tcPr>
                  <w:tcW w:type="dxa" w:w="136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shd w:fill="FFFFFF" w:val="clear"/>
                    </w:rPr>
                    <w:t>基金著录文字错误率</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shd w:fill="FFFFFF" w:val="clear"/>
                    </w:rPr>
                    <w:t>小于</w:t>
                  </w:r>
                  <w:r>
                    <w:rPr>
                      <w:rFonts w:ascii="仿宋_GB2312" w:hAnsi="仿宋_GB2312" w:cs="仿宋_GB2312" w:eastAsia="仿宋_GB2312"/>
                      <w:sz w:val="24"/>
                      <w:color w:val="333333"/>
                      <w:shd w:fill="FFFFFF" w:val="clear"/>
                    </w:rPr>
                    <w:t>0.5‰</w:t>
                  </w:r>
                </w:p>
              </w:tc>
            </w:tr>
            <w:tr>
              <w:tc>
                <w:tcPr>
                  <w:tcW w:type="dxa" w:w="189"/>
                  <w:vMerge/>
                  <w:tcBorders>
                    <w:top w:val="none" w:color="000000" w:sz="4"/>
                    <w:left w:val="single" w:color="000000" w:sz="4"/>
                    <w:bottom w:val="single" w:color="000000" w:sz="4"/>
                    <w:right w:val="single" w:color="000000" w:sz="4"/>
                  </w:tcBorders>
                </w:tcPr>
                <w:p/>
              </w:tc>
              <w:tc>
                <w:tcPr>
                  <w:tcW w:type="dxa" w:w="135"/>
                  <w:vMerge/>
                  <w:tcBorders>
                    <w:top w:val="none" w:color="000000" w:sz="4"/>
                    <w:left w:val="single" w:color="000000" w:sz="4"/>
                    <w:bottom w:val="single" w:color="000000" w:sz="4"/>
                    <w:right w:val="single" w:color="000000" w:sz="4"/>
                  </w:tcBorders>
                </w:tcPr>
                <w:p/>
              </w:tc>
              <w:tc>
                <w:tcPr>
                  <w:tcW w:type="dxa" w:w="232"/>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shd w:fill="FFFFFF" w:val="clear"/>
                    </w:rPr>
                    <w:t>扫描版数据</w:t>
                  </w:r>
                </w:p>
              </w:tc>
              <w:tc>
                <w:tcPr>
                  <w:tcW w:type="dxa" w:w="113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shd w:fill="FFFFFF" w:val="clear"/>
                    </w:rPr>
                    <w:t>篇名、作者文字错误率</w:t>
                  </w:r>
                </w:p>
              </w:tc>
              <w:tc>
                <w:tcPr>
                  <w:tcW w:type="dxa" w:w="8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shd w:fill="FFFFFF" w:val="clear"/>
                    </w:rPr>
                    <w:t>小于</w:t>
                  </w:r>
                  <w:r>
                    <w:rPr>
                      <w:rFonts w:ascii="仿宋_GB2312" w:hAnsi="仿宋_GB2312" w:cs="仿宋_GB2312" w:eastAsia="仿宋_GB2312"/>
                      <w:sz w:val="24"/>
                      <w:color w:val="333333"/>
                      <w:shd w:fill="FFFFFF" w:val="clear"/>
                    </w:rPr>
                    <w:t>0.5‰</w:t>
                  </w:r>
                </w:p>
              </w:tc>
            </w:tr>
            <w:tr>
              <w:tc>
                <w:tcPr>
                  <w:tcW w:type="dxa" w:w="189"/>
                  <w:vMerge/>
                  <w:tcBorders>
                    <w:top w:val="none" w:color="000000" w:sz="4"/>
                    <w:left w:val="single" w:color="000000" w:sz="4"/>
                    <w:bottom w:val="single" w:color="000000" w:sz="4"/>
                    <w:right w:val="single" w:color="000000" w:sz="4"/>
                  </w:tcBorders>
                </w:tcPr>
                <w:p/>
              </w:tc>
              <w:tc>
                <w:tcPr>
                  <w:tcW w:type="dxa" w:w="135"/>
                  <w:vMerge/>
                  <w:tcBorders>
                    <w:top w:val="none" w:color="000000" w:sz="4"/>
                    <w:left w:val="single" w:color="000000" w:sz="4"/>
                    <w:bottom w:val="single" w:color="000000" w:sz="4"/>
                    <w:right w:val="single" w:color="000000" w:sz="4"/>
                  </w:tcBorders>
                </w:tcPr>
                <w:p/>
              </w:tc>
              <w:tc>
                <w:tcPr>
                  <w:tcW w:type="dxa" w:w="232"/>
                  <w:gridSpan w:val="2"/>
                  <w:vMerge/>
                  <w:tcBorders>
                    <w:top w:val="none" w:color="000000" w:sz="4"/>
                    <w:left w:val="single" w:color="000000" w:sz="4"/>
                    <w:bottom w:val="single" w:color="000000" w:sz="4"/>
                    <w:right w:val="single" w:color="000000" w:sz="4"/>
                  </w:tcBorders>
                </w:tcPr>
                <w:p/>
              </w:tc>
              <w:tc>
                <w:tcPr>
                  <w:tcW w:type="dxa" w:w="113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shd w:fill="FFFFFF" w:val="clear"/>
                    </w:rPr>
                    <w:t>参考文献文字错误率</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shd w:fill="FFFFFF" w:val="clear"/>
                    </w:rPr>
                    <w:t>小于</w:t>
                  </w:r>
                  <w:r>
                    <w:rPr>
                      <w:rFonts w:ascii="仿宋_GB2312" w:hAnsi="仿宋_GB2312" w:cs="仿宋_GB2312" w:eastAsia="仿宋_GB2312"/>
                      <w:sz w:val="24"/>
                      <w:color w:val="333333"/>
                      <w:shd w:fill="FFFFFF" w:val="clear"/>
                    </w:rPr>
                    <w:t>0.1%</w:t>
                  </w:r>
                </w:p>
              </w:tc>
            </w:tr>
            <w:tr>
              <w:tc>
                <w:tcPr>
                  <w:tcW w:type="dxa" w:w="189"/>
                  <w:vMerge/>
                  <w:tcBorders>
                    <w:top w:val="none" w:color="000000" w:sz="4"/>
                    <w:left w:val="single" w:color="000000" w:sz="4"/>
                    <w:bottom w:val="single" w:color="000000" w:sz="4"/>
                    <w:right w:val="single" w:color="000000" w:sz="4"/>
                  </w:tcBorders>
                </w:tcPr>
                <w:p/>
              </w:tc>
              <w:tc>
                <w:tcPr>
                  <w:tcW w:type="dxa" w:w="135"/>
                  <w:vMerge/>
                  <w:tcBorders>
                    <w:top w:val="none" w:color="000000" w:sz="4"/>
                    <w:left w:val="single" w:color="000000" w:sz="4"/>
                    <w:bottom w:val="single" w:color="000000" w:sz="4"/>
                    <w:right w:val="single" w:color="000000" w:sz="4"/>
                  </w:tcBorders>
                </w:tcPr>
                <w:p/>
              </w:tc>
              <w:tc>
                <w:tcPr>
                  <w:tcW w:type="dxa" w:w="232"/>
                  <w:gridSpan w:val="2"/>
                  <w:vMerge/>
                  <w:tcBorders>
                    <w:top w:val="none" w:color="000000" w:sz="4"/>
                    <w:left w:val="single" w:color="000000" w:sz="4"/>
                    <w:bottom w:val="single" w:color="000000" w:sz="4"/>
                    <w:right w:val="single" w:color="000000" w:sz="4"/>
                  </w:tcBorders>
                </w:tcPr>
                <w:p/>
              </w:tc>
              <w:tc>
                <w:tcPr>
                  <w:tcW w:type="dxa" w:w="113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shd w:fill="FFFFFF" w:val="clear"/>
                    </w:rPr>
                    <w:t>其他著录项文字错误率</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shd w:fill="FFFFFF" w:val="clear"/>
                    </w:rPr>
                    <w:t>小于</w:t>
                  </w:r>
                  <w:r>
                    <w:rPr>
                      <w:rFonts w:ascii="仿宋_GB2312" w:hAnsi="仿宋_GB2312" w:cs="仿宋_GB2312" w:eastAsia="仿宋_GB2312"/>
                      <w:sz w:val="24"/>
                      <w:color w:val="333333"/>
                      <w:shd w:fill="FFFFFF" w:val="clear"/>
                    </w:rPr>
                    <w:t>0.5‰</w:t>
                  </w:r>
                </w:p>
              </w:tc>
            </w:tr>
            <w:tr>
              <w:tc>
                <w:tcPr>
                  <w:tcW w:type="dxa" w:w="189"/>
                  <w:vMerge/>
                  <w:tcBorders>
                    <w:top w:val="none" w:color="000000" w:sz="4"/>
                    <w:left w:val="single" w:color="000000" w:sz="4"/>
                    <w:bottom w:val="single" w:color="000000" w:sz="4"/>
                    <w:right w:val="single" w:color="000000" w:sz="4"/>
                  </w:tcBorders>
                </w:tcPr>
                <w:p/>
              </w:tc>
              <w:tc>
                <w:tcPr>
                  <w:tcW w:type="dxa" w:w="1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shd w:fill="FFFFFF" w:val="clear"/>
                    </w:rPr>
                    <w:t>标引</w:t>
                  </w:r>
                </w:p>
              </w:tc>
              <w:tc>
                <w:tcPr>
                  <w:tcW w:type="dxa" w:w="348"/>
                  <w:gridSpan w:val="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shd w:fill="FFFFFF" w:val="clear"/>
                    </w:rPr>
                    <w:t>主题词标引</w:t>
                  </w:r>
                </w:p>
              </w:tc>
              <w:tc>
                <w:tcPr>
                  <w:tcW w:type="dxa" w:w="101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shd w:fill="FFFFFF" w:val="clear"/>
                    </w:rPr>
                    <w:t>正确率</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shd w:fill="FFFFFF" w:val="clear"/>
                    </w:rPr>
                    <w:t>≥90%</w:t>
                  </w:r>
                </w:p>
              </w:tc>
            </w:tr>
            <w:tr>
              <w:tc>
                <w:tcPr>
                  <w:tcW w:type="dxa" w:w="189"/>
                  <w:vMerge/>
                  <w:tcBorders>
                    <w:top w:val="none" w:color="000000" w:sz="4"/>
                    <w:left w:val="single" w:color="000000" w:sz="4"/>
                    <w:bottom w:val="single" w:color="000000" w:sz="4"/>
                    <w:right w:val="single" w:color="000000" w:sz="4"/>
                  </w:tcBorders>
                </w:tcPr>
                <w:p/>
              </w:tc>
              <w:tc>
                <w:tcPr>
                  <w:tcW w:type="dxa" w:w="135"/>
                  <w:vMerge/>
                  <w:tcBorders>
                    <w:top w:val="none" w:color="000000" w:sz="4"/>
                    <w:left w:val="single" w:color="000000" w:sz="4"/>
                    <w:bottom w:val="single" w:color="000000" w:sz="4"/>
                    <w:right w:val="single" w:color="000000" w:sz="4"/>
                  </w:tcBorders>
                </w:tcPr>
                <w:p/>
              </w:tc>
              <w:tc>
                <w:tcPr>
                  <w:tcW w:type="dxa" w:w="348"/>
                  <w:gridSpan w:val="3"/>
                  <w:vMerge/>
                  <w:tcBorders>
                    <w:top w:val="none" w:color="000000" w:sz="4"/>
                    <w:left w:val="single" w:color="000000" w:sz="4"/>
                    <w:bottom w:val="single" w:color="000000" w:sz="4"/>
                    <w:right w:val="single" w:color="000000" w:sz="4"/>
                  </w:tcBorders>
                </w:tcPr>
                <w:p/>
              </w:tc>
              <w:tc>
                <w:tcPr>
                  <w:tcW w:type="dxa" w:w="101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shd w:fill="FFFFFF" w:val="clear"/>
                    </w:rPr>
                    <w:t>一致度</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shd w:fill="FFFFFF" w:val="clear"/>
                    </w:rPr>
                    <w:t>≥90%</w:t>
                  </w:r>
                </w:p>
              </w:tc>
            </w:tr>
            <w:tr>
              <w:tc>
                <w:tcPr>
                  <w:tcW w:type="dxa" w:w="189"/>
                  <w:vMerge/>
                  <w:tcBorders>
                    <w:top w:val="none" w:color="000000" w:sz="4"/>
                    <w:left w:val="single" w:color="000000" w:sz="4"/>
                    <w:bottom w:val="single" w:color="000000" w:sz="4"/>
                    <w:right w:val="single" w:color="000000" w:sz="4"/>
                  </w:tcBorders>
                </w:tcPr>
                <w:p/>
              </w:tc>
              <w:tc>
                <w:tcPr>
                  <w:tcW w:type="dxa" w:w="135"/>
                  <w:vMerge/>
                  <w:tcBorders>
                    <w:top w:val="none" w:color="000000" w:sz="4"/>
                    <w:left w:val="single" w:color="000000" w:sz="4"/>
                    <w:bottom w:val="single" w:color="000000" w:sz="4"/>
                    <w:right w:val="single" w:color="000000" w:sz="4"/>
                  </w:tcBorders>
                </w:tcPr>
                <w:p/>
              </w:tc>
              <w:tc>
                <w:tcPr>
                  <w:tcW w:type="dxa" w:w="348"/>
                  <w:gridSpan w:val="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shd w:fill="FFFFFF" w:val="clear"/>
                    </w:rPr>
                    <w:t>关键词标引</w:t>
                  </w:r>
                </w:p>
              </w:tc>
              <w:tc>
                <w:tcPr>
                  <w:tcW w:type="dxa" w:w="101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shd w:fill="FFFFFF" w:val="clear"/>
                    </w:rPr>
                    <w:t>正确率</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shd w:fill="FFFFFF" w:val="clear"/>
                    </w:rPr>
                    <w:t>≥90%</w:t>
                  </w:r>
                </w:p>
              </w:tc>
            </w:tr>
            <w:tr>
              <w:tc>
                <w:tcPr>
                  <w:tcW w:type="dxa" w:w="189"/>
                  <w:vMerge/>
                  <w:tcBorders>
                    <w:top w:val="none" w:color="000000" w:sz="4"/>
                    <w:left w:val="single" w:color="000000" w:sz="4"/>
                    <w:bottom w:val="single" w:color="000000" w:sz="4"/>
                    <w:right w:val="single" w:color="000000" w:sz="4"/>
                  </w:tcBorders>
                </w:tcPr>
                <w:p/>
              </w:tc>
              <w:tc>
                <w:tcPr>
                  <w:tcW w:type="dxa" w:w="135"/>
                  <w:vMerge/>
                  <w:tcBorders>
                    <w:top w:val="none" w:color="000000" w:sz="4"/>
                    <w:left w:val="single" w:color="000000" w:sz="4"/>
                    <w:bottom w:val="single" w:color="000000" w:sz="4"/>
                    <w:right w:val="single" w:color="000000" w:sz="4"/>
                  </w:tcBorders>
                </w:tcPr>
                <w:p/>
              </w:tc>
              <w:tc>
                <w:tcPr>
                  <w:tcW w:type="dxa" w:w="348"/>
                  <w:gridSpan w:val="3"/>
                  <w:vMerge/>
                  <w:tcBorders>
                    <w:top w:val="none" w:color="000000" w:sz="4"/>
                    <w:left w:val="single" w:color="000000" w:sz="4"/>
                    <w:bottom w:val="single" w:color="000000" w:sz="4"/>
                    <w:right w:val="single" w:color="000000" w:sz="4"/>
                  </w:tcBorders>
                </w:tcPr>
                <w:p/>
              </w:tc>
              <w:tc>
                <w:tcPr>
                  <w:tcW w:type="dxa" w:w="101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shd w:fill="FFFFFF" w:val="clear"/>
                    </w:rPr>
                    <w:t>一致度</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shd w:fill="FFFFFF" w:val="clear"/>
                    </w:rPr>
                    <w:t>≥90%</w:t>
                  </w:r>
                </w:p>
              </w:tc>
            </w:tr>
            <w:tr>
              <w:tc>
                <w:tcPr>
                  <w:tcW w:type="dxa" w:w="189"/>
                  <w:vMerge/>
                  <w:tcBorders>
                    <w:top w:val="none" w:color="000000" w:sz="4"/>
                    <w:left w:val="single" w:color="000000" w:sz="4"/>
                    <w:bottom w:val="single" w:color="000000" w:sz="4"/>
                    <w:right w:val="single" w:color="000000" w:sz="4"/>
                  </w:tcBorders>
                </w:tcPr>
                <w:p/>
              </w:tc>
              <w:tc>
                <w:tcPr>
                  <w:tcW w:type="dxa" w:w="135"/>
                  <w:vMerge/>
                  <w:tcBorders>
                    <w:top w:val="none" w:color="000000" w:sz="4"/>
                    <w:left w:val="single" w:color="000000" w:sz="4"/>
                    <w:bottom w:val="single" w:color="000000" w:sz="4"/>
                    <w:right w:val="single" w:color="000000" w:sz="4"/>
                  </w:tcBorders>
                </w:tcPr>
                <w:p/>
              </w:tc>
              <w:tc>
                <w:tcPr>
                  <w:tcW w:type="dxa" w:w="348"/>
                  <w:gridSpan w:val="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shd w:fill="FFFFFF" w:val="clear"/>
                    </w:rPr>
                    <w:t>中国图书馆分类法分类号</w:t>
                  </w:r>
                </w:p>
              </w:tc>
              <w:tc>
                <w:tcPr>
                  <w:tcW w:type="dxa" w:w="101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shd w:fill="FFFFFF" w:val="clear"/>
                    </w:rPr>
                    <w:t>标引正确率</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shd w:fill="FFFFFF" w:val="clear"/>
                    </w:rPr>
                    <w:t>≥90%</w:t>
                  </w:r>
                </w:p>
              </w:tc>
            </w:tr>
            <w:tr>
              <w:tc>
                <w:tcPr>
                  <w:tcW w:type="dxa" w:w="189"/>
                  <w:vMerge/>
                  <w:tcBorders>
                    <w:top w:val="none" w:color="000000" w:sz="4"/>
                    <w:left w:val="single" w:color="000000" w:sz="4"/>
                    <w:bottom w:val="single" w:color="000000" w:sz="4"/>
                    <w:right w:val="single" w:color="000000" w:sz="4"/>
                  </w:tcBorders>
                </w:tcPr>
                <w:p/>
              </w:tc>
              <w:tc>
                <w:tcPr>
                  <w:tcW w:type="dxa" w:w="135"/>
                  <w:vMerge/>
                  <w:tcBorders>
                    <w:top w:val="none" w:color="000000" w:sz="4"/>
                    <w:left w:val="single" w:color="000000" w:sz="4"/>
                    <w:bottom w:val="single" w:color="000000" w:sz="4"/>
                    <w:right w:val="single" w:color="000000" w:sz="4"/>
                  </w:tcBorders>
                </w:tcPr>
                <w:p/>
              </w:tc>
              <w:tc>
                <w:tcPr>
                  <w:tcW w:type="dxa" w:w="348"/>
                  <w:gridSpan w:val="3"/>
                  <w:vMerge/>
                  <w:tcBorders>
                    <w:top w:val="none" w:color="000000" w:sz="4"/>
                    <w:left w:val="single" w:color="000000" w:sz="4"/>
                    <w:bottom w:val="single" w:color="000000" w:sz="4"/>
                    <w:right w:val="single" w:color="000000" w:sz="4"/>
                  </w:tcBorders>
                </w:tcPr>
                <w:p/>
              </w:tc>
              <w:tc>
                <w:tcPr>
                  <w:tcW w:type="dxa" w:w="101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shd w:fill="FFFFFF" w:val="clear"/>
                    </w:rPr>
                    <w:t>标引一致度</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shd w:fill="FFFFFF" w:val="clear"/>
                    </w:rPr>
                    <w:t>≥90%</w:t>
                  </w:r>
                </w:p>
              </w:tc>
            </w:tr>
            <w:tr>
              <w:tc>
                <w:tcPr>
                  <w:tcW w:type="dxa" w:w="189"/>
                  <w:vMerge/>
                  <w:tcBorders>
                    <w:top w:val="none" w:color="000000" w:sz="4"/>
                    <w:left w:val="single" w:color="000000" w:sz="4"/>
                    <w:bottom w:val="single" w:color="000000" w:sz="4"/>
                    <w:right w:val="single" w:color="000000" w:sz="4"/>
                  </w:tcBorders>
                </w:tcPr>
                <w:p/>
              </w:tc>
              <w:tc>
                <w:tcPr>
                  <w:tcW w:type="dxa" w:w="251"/>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shd w:fill="FFFFFF" w:val="clear"/>
                    </w:rPr>
                    <w:t>印</w:t>
                  </w:r>
                </w:p>
                <w:p>
                  <w:pPr>
                    <w:pStyle w:val="null3"/>
                    <w:jc w:val="both"/>
                  </w:pPr>
                  <w:r>
                    <w:rPr>
                      <w:rFonts w:ascii="仿宋_GB2312" w:hAnsi="仿宋_GB2312" w:cs="仿宋_GB2312" w:eastAsia="仿宋_GB2312"/>
                      <w:sz w:val="24"/>
                      <w:color w:val="333333"/>
                      <w:shd w:fill="FFFFFF" w:val="clear"/>
                    </w:rPr>
                    <w:t>刷</w:t>
                  </w:r>
                </w:p>
                <w:p>
                  <w:pPr>
                    <w:pStyle w:val="null3"/>
                    <w:jc w:val="both"/>
                  </w:pPr>
                  <w:r>
                    <w:rPr>
                      <w:rFonts w:ascii="仿宋_GB2312" w:hAnsi="仿宋_GB2312" w:cs="仿宋_GB2312" w:eastAsia="仿宋_GB2312"/>
                      <w:sz w:val="24"/>
                      <w:color w:val="333333"/>
                      <w:shd w:fill="FFFFFF" w:val="clear"/>
                    </w:rPr>
                    <w:t>版</w:t>
                  </w:r>
                </w:p>
                <w:p>
                  <w:pPr>
                    <w:pStyle w:val="null3"/>
                    <w:jc w:val="both"/>
                  </w:pPr>
                  <w:r>
                    <w:rPr>
                      <w:rFonts w:ascii="仿宋_GB2312" w:hAnsi="仿宋_GB2312" w:cs="仿宋_GB2312" w:eastAsia="仿宋_GB2312"/>
                      <w:sz w:val="24"/>
                      <w:color w:val="333333"/>
                      <w:shd w:fill="FFFFFF" w:val="clear"/>
                    </w:rPr>
                    <w:t>全</w:t>
                  </w:r>
                </w:p>
                <w:p>
                  <w:pPr>
                    <w:pStyle w:val="null3"/>
                    <w:jc w:val="both"/>
                  </w:pPr>
                  <w:r>
                    <w:rPr>
                      <w:rFonts w:ascii="仿宋_GB2312" w:hAnsi="仿宋_GB2312" w:cs="仿宋_GB2312" w:eastAsia="仿宋_GB2312"/>
                      <w:sz w:val="24"/>
                      <w:color w:val="333333"/>
                      <w:shd w:fill="FFFFFF" w:val="clear"/>
                    </w:rPr>
                    <w:t>文</w:t>
                  </w:r>
                </w:p>
              </w:tc>
              <w:tc>
                <w:tcPr>
                  <w:tcW w:type="dxa" w:w="125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shd w:fill="FFFFFF" w:val="clear"/>
                    </w:rPr>
                    <w:t>文字与灰度图像扫描分辨率</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shd w:fill="FFFFFF" w:val="clear"/>
                    </w:rPr>
                    <w:t>不小于</w:t>
                  </w:r>
                  <w:r>
                    <w:rPr>
                      <w:rFonts w:ascii="仿宋_GB2312" w:hAnsi="仿宋_GB2312" w:cs="仿宋_GB2312" w:eastAsia="仿宋_GB2312"/>
                      <w:sz w:val="24"/>
                      <w:color w:val="333333"/>
                      <w:shd w:fill="FFFFFF" w:val="clear"/>
                    </w:rPr>
                    <w:t>300dpi</w:t>
                  </w:r>
                </w:p>
              </w:tc>
            </w:tr>
            <w:tr>
              <w:tc>
                <w:tcPr>
                  <w:tcW w:type="dxa" w:w="189"/>
                  <w:vMerge/>
                  <w:tcBorders>
                    <w:top w:val="none" w:color="000000" w:sz="4"/>
                    <w:left w:val="single" w:color="000000" w:sz="4"/>
                    <w:bottom w:val="single" w:color="000000" w:sz="4"/>
                    <w:right w:val="single" w:color="000000" w:sz="4"/>
                  </w:tcBorders>
                </w:tcPr>
                <w:p/>
              </w:tc>
              <w:tc>
                <w:tcPr>
                  <w:tcW w:type="dxa" w:w="251"/>
                  <w:gridSpan w:val="2"/>
                  <w:vMerge/>
                  <w:tcBorders>
                    <w:top w:val="none" w:color="000000" w:sz="4"/>
                    <w:left w:val="single" w:color="000000" w:sz="4"/>
                    <w:bottom w:val="single" w:color="000000" w:sz="4"/>
                    <w:right w:val="single" w:color="000000" w:sz="4"/>
                  </w:tcBorders>
                </w:tcPr>
                <w:p/>
              </w:tc>
              <w:tc>
                <w:tcPr>
                  <w:tcW w:type="dxa" w:w="125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shd w:fill="FFFFFF" w:val="clear"/>
                    </w:rPr>
                    <w:t>彩色图像扫描分辨率</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shd w:fill="FFFFFF" w:val="clear"/>
                    </w:rPr>
                    <w:t>不小于</w:t>
                  </w:r>
                  <w:r>
                    <w:rPr>
                      <w:rFonts w:ascii="仿宋_GB2312" w:hAnsi="仿宋_GB2312" w:cs="仿宋_GB2312" w:eastAsia="仿宋_GB2312"/>
                      <w:sz w:val="24"/>
                      <w:color w:val="333333"/>
                      <w:shd w:fill="FFFFFF" w:val="clear"/>
                    </w:rPr>
                    <w:t>200dpi</w:t>
                  </w:r>
                </w:p>
              </w:tc>
            </w:tr>
            <w:tr>
              <w:tc>
                <w:tcPr>
                  <w:tcW w:type="dxa" w:w="189"/>
                  <w:vMerge/>
                  <w:tcBorders>
                    <w:top w:val="none" w:color="000000" w:sz="4"/>
                    <w:left w:val="single" w:color="000000" w:sz="4"/>
                    <w:bottom w:val="single" w:color="000000" w:sz="4"/>
                    <w:right w:val="single" w:color="000000" w:sz="4"/>
                  </w:tcBorders>
                </w:tcPr>
                <w:p/>
              </w:tc>
              <w:tc>
                <w:tcPr>
                  <w:tcW w:type="dxa" w:w="251"/>
                  <w:gridSpan w:val="2"/>
                  <w:vMerge/>
                  <w:tcBorders>
                    <w:top w:val="none" w:color="000000" w:sz="4"/>
                    <w:left w:val="single" w:color="000000" w:sz="4"/>
                    <w:bottom w:val="single" w:color="000000" w:sz="4"/>
                    <w:right w:val="single" w:color="000000" w:sz="4"/>
                  </w:tcBorders>
                </w:tcPr>
                <w:p/>
              </w:tc>
              <w:tc>
                <w:tcPr>
                  <w:tcW w:type="dxa" w:w="348"/>
                  <w:gridSpan w:val="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shd w:fill="FFFFFF" w:val="clear"/>
                    </w:rPr>
                    <w:t>图像打印</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shd w:fill="FFFFFF" w:val="clear"/>
                    </w:rPr>
                    <w:t>文字和灰度图像</w:t>
                  </w:r>
                </w:p>
              </w:tc>
              <w:tc>
                <w:tcPr>
                  <w:tcW w:type="dxa" w:w="8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shd w:fill="FFFFFF" w:val="clear"/>
                    </w:rPr>
                    <w:t>支持</w:t>
                  </w:r>
                  <w:r>
                    <w:rPr>
                      <w:rFonts w:ascii="仿宋_GB2312" w:hAnsi="仿宋_GB2312" w:cs="仿宋_GB2312" w:eastAsia="仿宋_GB2312"/>
                      <w:sz w:val="24"/>
                      <w:color w:val="333333"/>
                      <w:shd w:fill="FFFFFF" w:val="clear"/>
                    </w:rPr>
                    <w:t>300dpi的保真打印</w:t>
                  </w:r>
                </w:p>
              </w:tc>
            </w:tr>
            <w:tr>
              <w:tc>
                <w:tcPr>
                  <w:tcW w:type="dxa" w:w="189"/>
                  <w:vMerge/>
                  <w:tcBorders>
                    <w:top w:val="none" w:color="000000" w:sz="4"/>
                    <w:left w:val="single" w:color="000000" w:sz="4"/>
                    <w:bottom w:val="single" w:color="000000" w:sz="4"/>
                    <w:right w:val="single" w:color="000000" w:sz="4"/>
                  </w:tcBorders>
                </w:tcPr>
                <w:p/>
              </w:tc>
              <w:tc>
                <w:tcPr>
                  <w:tcW w:type="dxa" w:w="251"/>
                  <w:gridSpan w:val="2"/>
                  <w:vMerge/>
                  <w:tcBorders>
                    <w:top w:val="none" w:color="000000" w:sz="4"/>
                    <w:left w:val="single" w:color="000000" w:sz="4"/>
                    <w:bottom w:val="single" w:color="000000" w:sz="4"/>
                    <w:right w:val="single" w:color="000000" w:sz="4"/>
                  </w:tcBorders>
                </w:tcPr>
                <w:p/>
              </w:tc>
              <w:tc>
                <w:tcPr>
                  <w:tcW w:type="dxa" w:w="348"/>
                  <w:gridSpan w:val="3"/>
                  <w:vMerge/>
                  <w:tcBorders>
                    <w:top w:val="none" w:color="000000" w:sz="4"/>
                    <w:left w:val="single" w:color="000000" w:sz="4"/>
                    <w:bottom w:val="single" w:color="000000" w:sz="4"/>
                    <w:right w:val="single" w:color="000000" w:sz="4"/>
                  </w:tcBorders>
                </w:tcP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shd w:fill="FFFFFF" w:val="clear"/>
                    </w:rPr>
                    <w:t>彩色图片</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shd w:fill="FFFFFF" w:val="clear"/>
                    </w:rPr>
                    <w:t>支持</w:t>
                  </w:r>
                  <w:r>
                    <w:rPr>
                      <w:rFonts w:ascii="仿宋_GB2312" w:hAnsi="仿宋_GB2312" w:cs="仿宋_GB2312" w:eastAsia="仿宋_GB2312"/>
                      <w:sz w:val="24"/>
                      <w:color w:val="333333"/>
                      <w:shd w:fill="FFFFFF" w:val="clear"/>
                    </w:rPr>
                    <w:t>200dpi的保真打印</w:t>
                  </w:r>
                </w:p>
              </w:tc>
            </w:tr>
            <w:tr>
              <w:tc>
                <w:tcPr>
                  <w:tcW w:type="dxa" w:w="189"/>
                  <w:vMerge/>
                  <w:tcBorders>
                    <w:top w:val="none" w:color="000000" w:sz="4"/>
                    <w:left w:val="single" w:color="000000" w:sz="4"/>
                    <w:bottom w:val="single" w:color="000000" w:sz="4"/>
                    <w:right w:val="single" w:color="000000" w:sz="4"/>
                  </w:tcBorders>
                </w:tcPr>
                <w:p/>
              </w:tc>
              <w:tc>
                <w:tcPr>
                  <w:tcW w:type="dxa" w:w="251"/>
                  <w:gridSpan w:val="2"/>
                  <w:vMerge/>
                  <w:tcBorders>
                    <w:top w:val="none" w:color="000000" w:sz="4"/>
                    <w:left w:val="single" w:color="000000" w:sz="4"/>
                    <w:bottom w:val="single" w:color="000000" w:sz="4"/>
                    <w:right w:val="single" w:color="000000" w:sz="4"/>
                  </w:tcBorders>
                </w:tcPr>
                <w:p/>
              </w:tc>
              <w:tc>
                <w:tcPr>
                  <w:tcW w:type="dxa" w:w="125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shd w:fill="FFFFFF" w:val="clear"/>
                    </w:rPr>
                    <w:t>页面错误率</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3333"/>
                      <w:shd w:fill="FFFFFF" w:val="clear"/>
                    </w:rPr>
                    <w:t>小于</w:t>
                  </w:r>
                  <w:r>
                    <w:rPr>
                      <w:rFonts w:ascii="仿宋_GB2312" w:hAnsi="仿宋_GB2312" w:cs="仿宋_GB2312" w:eastAsia="仿宋_GB2312"/>
                      <w:sz w:val="24"/>
                      <w:color w:val="333333"/>
                      <w:shd w:fill="FFFFFF" w:val="clear"/>
                    </w:rPr>
                    <w:t>0.5‰</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标的名称：超星学习通 读秀知识库 汇雅电子图书 超星名师讲坛</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32"/>
                <w:b/>
              </w:rPr>
              <w:t>学习通采购技术参数及要求</w:t>
            </w:r>
          </w:p>
          <w:p>
            <w:pPr>
              <w:pStyle w:val="null3"/>
              <w:ind w:firstLine="480"/>
              <w:jc w:val="both"/>
            </w:pPr>
            <w:r>
              <w:rPr>
                <w:rFonts w:ascii="仿宋_GB2312" w:hAnsi="仿宋_GB2312" w:cs="仿宋_GB2312" w:eastAsia="仿宋_GB2312"/>
                <w:sz w:val="24"/>
              </w:rPr>
              <w:t>1、用户可以根据自己的喜好建立本单位的移动端首页，将资源、服务、活动以模块的形式呈现再首页。</w:t>
            </w:r>
          </w:p>
          <w:p>
            <w:pPr>
              <w:pStyle w:val="null3"/>
              <w:ind w:firstLine="480"/>
              <w:jc w:val="both"/>
            </w:pPr>
            <w:r>
              <w:rPr>
                <w:rFonts w:ascii="仿宋_GB2312" w:hAnsi="仿宋_GB2312" w:cs="仿宋_GB2312" w:eastAsia="仿宋_GB2312"/>
                <w:sz w:val="24"/>
              </w:rPr>
              <w:t>2、提供资源的移动阅读，并可根据自己的阅读兴趣将资源进行重组，建立自己感兴趣的专题、资源域。</w:t>
            </w:r>
          </w:p>
          <w:p>
            <w:pPr>
              <w:pStyle w:val="null3"/>
              <w:ind w:firstLine="480"/>
              <w:jc w:val="both"/>
            </w:pPr>
            <w:r>
              <w:rPr>
                <w:rFonts w:ascii="仿宋_GB2312" w:hAnsi="仿宋_GB2312" w:cs="仿宋_GB2312" w:eastAsia="仿宋_GB2312"/>
                <w:sz w:val="24"/>
              </w:rPr>
              <w:t>3、提供表单引擎、预约引擎、审批引擎和活动引擎服务；用户可以根据自己的需求建立表单采集、预约服务、审批流程及线上阅读活动的建立。</w:t>
            </w:r>
          </w:p>
          <w:p>
            <w:pPr>
              <w:pStyle w:val="null3"/>
              <w:ind w:firstLine="480"/>
              <w:jc w:val="both"/>
            </w:pPr>
            <w:r>
              <w:rPr>
                <w:rFonts w:ascii="仿宋_GB2312" w:hAnsi="仿宋_GB2312" w:cs="仿宋_GB2312" w:eastAsia="仿宋_GB2312"/>
                <w:sz w:val="24"/>
              </w:rPr>
              <w:t>4、为读者提供自己的网络云盘，读者可以将自己感兴趣的资料、阅读感受、记录创新思想等收集至云盘中，为读者永久保留个人空间。</w:t>
            </w:r>
          </w:p>
          <w:p>
            <w:pPr>
              <w:pStyle w:val="null3"/>
              <w:ind w:firstLine="480"/>
              <w:jc w:val="both"/>
            </w:pPr>
            <w:r>
              <w:rPr>
                <w:rFonts w:ascii="仿宋_GB2312" w:hAnsi="仿宋_GB2312" w:cs="仿宋_GB2312" w:eastAsia="仿宋_GB2312"/>
                <w:sz w:val="24"/>
              </w:rPr>
              <w:t>5、建立阅读兴趣小组，让读者的阅读学习不再是一个人的行为。</w:t>
            </w:r>
          </w:p>
          <w:p>
            <w:pPr>
              <w:pStyle w:val="null3"/>
              <w:ind w:firstLine="480"/>
              <w:jc w:val="both"/>
            </w:pPr>
            <w:r>
              <w:rPr>
                <w:rFonts w:ascii="仿宋_GB2312" w:hAnsi="仿宋_GB2312" w:cs="仿宋_GB2312" w:eastAsia="仿宋_GB2312"/>
                <w:sz w:val="24"/>
              </w:rPr>
              <w:t>6、有良好的售后服务。能及时解决数据库使用过程中发生的故障，故障响应时间不超过4小时，故障处理时间不超过24小时，能及时反馈用户在数据库使用过程中提出的问题。</w:t>
            </w:r>
          </w:p>
          <w:p>
            <w:pPr>
              <w:pStyle w:val="null3"/>
              <w:ind w:firstLine="480"/>
              <w:jc w:val="both"/>
            </w:pPr>
            <w:r>
              <w:rPr>
                <w:rFonts w:ascii="仿宋_GB2312" w:hAnsi="仿宋_GB2312" w:cs="仿宋_GB2312" w:eastAsia="仿宋_GB2312"/>
                <w:sz w:val="24"/>
              </w:rPr>
              <w:t>7、能提供上门读者培训服务。</w:t>
            </w:r>
          </w:p>
          <w:p>
            <w:pPr>
              <w:pStyle w:val="null3"/>
              <w:jc w:val="center"/>
            </w:pPr>
            <w:r>
              <w:rPr>
                <w:rFonts w:ascii="仿宋_GB2312" w:hAnsi="仿宋_GB2312" w:cs="仿宋_GB2312" w:eastAsia="仿宋_GB2312"/>
                <w:sz w:val="32"/>
                <w:b/>
              </w:rPr>
              <w:t>读秀知识库采购技术参数及要求</w:t>
            </w:r>
          </w:p>
          <w:p>
            <w:pPr>
              <w:pStyle w:val="null3"/>
              <w:ind w:firstLine="480"/>
              <w:jc w:val="both"/>
            </w:pPr>
            <w:r>
              <w:rPr>
                <w:rFonts w:ascii="仿宋_GB2312" w:hAnsi="仿宋_GB2312" w:cs="仿宋_GB2312" w:eastAsia="仿宋_GB2312"/>
                <w:sz w:val="24"/>
              </w:rPr>
              <w:t>1、保证产品的正版版权，确保产品安全、可靠和先进、及时性。</w:t>
            </w:r>
          </w:p>
          <w:p>
            <w:pPr>
              <w:pStyle w:val="null3"/>
              <w:ind w:firstLine="480"/>
              <w:jc w:val="both"/>
            </w:pPr>
            <w:r>
              <w:rPr>
                <w:rFonts w:ascii="仿宋_GB2312" w:hAnsi="仿宋_GB2312" w:cs="仿宋_GB2312" w:eastAsia="仿宋_GB2312"/>
                <w:sz w:val="24"/>
              </w:rPr>
              <w:t>2、确保搜索平台资源内容丰富，能满足安康学院广大师生的服务需求。</w:t>
            </w:r>
          </w:p>
          <w:p>
            <w:pPr>
              <w:pStyle w:val="null3"/>
              <w:ind w:firstLine="480"/>
              <w:jc w:val="both"/>
            </w:pPr>
            <w:r>
              <w:rPr>
                <w:rFonts w:ascii="仿宋_GB2312" w:hAnsi="仿宋_GB2312" w:cs="仿宋_GB2312" w:eastAsia="仿宋_GB2312"/>
                <w:sz w:val="24"/>
              </w:rPr>
              <w:t>3、保证产品的完整使用权，不得随意限制、更改用户的使用权限。</w:t>
            </w:r>
          </w:p>
          <w:p>
            <w:pPr>
              <w:pStyle w:val="null3"/>
              <w:ind w:firstLine="480"/>
              <w:jc w:val="both"/>
            </w:pPr>
            <w:r>
              <w:rPr>
                <w:rFonts w:ascii="仿宋_GB2312" w:hAnsi="仿宋_GB2312" w:cs="仿宋_GB2312" w:eastAsia="仿宋_GB2312"/>
                <w:sz w:val="24"/>
              </w:rPr>
              <w:t>4、搜索平台功能完善，用户可以检索、浏览、下载资源。</w:t>
            </w:r>
          </w:p>
          <w:p>
            <w:pPr>
              <w:pStyle w:val="null3"/>
              <w:ind w:firstLine="480"/>
              <w:jc w:val="both"/>
            </w:pPr>
            <w:r>
              <w:rPr>
                <w:rFonts w:ascii="仿宋_GB2312" w:hAnsi="仿宋_GB2312" w:cs="仿宋_GB2312" w:eastAsia="仿宋_GB2312"/>
                <w:sz w:val="24"/>
              </w:rPr>
              <w:t>5、能及时更新维护，保证搜索平台的高效、及时性。</w:t>
            </w:r>
          </w:p>
          <w:p>
            <w:pPr>
              <w:pStyle w:val="null3"/>
              <w:ind w:firstLine="480"/>
              <w:jc w:val="both"/>
            </w:pPr>
            <w:r>
              <w:rPr>
                <w:rFonts w:ascii="仿宋_GB2312" w:hAnsi="仿宋_GB2312" w:cs="仿宋_GB2312" w:eastAsia="仿宋_GB2312"/>
                <w:sz w:val="24"/>
              </w:rPr>
              <w:t>6、及时更新本馆馆藏数据，不超过三个工作日。</w:t>
            </w:r>
          </w:p>
          <w:p>
            <w:pPr>
              <w:pStyle w:val="null3"/>
              <w:ind w:firstLine="480"/>
              <w:jc w:val="both"/>
            </w:pPr>
            <w:r>
              <w:rPr>
                <w:rFonts w:ascii="仿宋_GB2312" w:hAnsi="仿宋_GB2312" w:cs="仿宋_GB2312" w:eastAsia="仿宋_GB2312"/>
                <w:sz w:val="24"/>
              </w:rPr>
              <w:t>7、文献传递时，如检索到结果，保证文献传递时间不超过48小时。</w:t>
            </w:r>
          </w:p>
          <w:p>
            <w:pPr>
              <w:pStyle w:val="null3"/>
              <w:ind w:firstLine="480"/>
              <w:jc w:val="both"/>
            </w:pPr>
            <w:r>
              <w:rPr>
                <w:rFonts w:ascii="仿宋_GB2312" w:hAnsi="仿宋_GB2312" w:cs="仿宋_GB2312" w:eastAsia="仿宋_GB2312"/>
                <w:sz w:val="24"/>
              </w:rPr>
              <w:t>8、访问方式：远程访问。</w:t>
            </w:r>
          </w:p>
          <w:p>
            <w:pPr>
              <w:pStyle w:val="null3"/>
              <w:ind w:firstLine="480"/>
              <w:jc w:val="both"/>
            </w:pPr>
            <w:r>
              <w:rPr>
                <w:rFonts w:ascii="仿宋_GB2312" w:hAnsi="仿宋_GB2312" w:cs="仿宋_GB2312" w:eastAsia="仿宋_GB2312"/>
                <w:sz w:val="24"/>
              </w:rPr>
              <w:t>9、能提供优良的软件售后服务，及时维护搜索平台使用过程中发生的故障，保证用户使用不受影响。故障响应时间不超过4小时，故障处理时间不超过24小时。</w:t>
            </w:r>
          </w:p>
          <w:p>
            <w:pPr>
              <w:pStyle w:val="null3"/>
              <w:jc w:val="center"/>
            </w:pPr>
            <w:r>
              <w:rPr>
                <w:rFonts w:ascii="仿宋_GB2312" w:hAnsi="仿宋_GB2312" w:cs="仿宋_GB2312" w:eastAsia="仿宋_GB2312"/>
                <w:sz w:val="32"/>
                <w:b/>
              </w:rPr>
              <w:t>汇雅电子图书采购技术参数及要求</w:t>
            </w:r>
          </w:p>
          <w:p>
            <w:pPr>
              <w:pStyle w:val="null3"/>
              <w:ind w:firstLine="480"/>
              <w:jc w:val="both"/>
            </w:pPr>
            <w:r>
              <w:rPr>
                <w:rFonts w:ascii="仿宋_GB2312" w:hAnsi="仿宋_GB2312" w:cs="仿宋_GB2312" w:eastAsia="仿宋_GB2312"/>
                <w:sz w:val="24"/>
              </w:rPr>
              <w:t>1、提供的图书不少于100万种，并且覆盖中图分类法22个大类。</w:t>
            </w:r>
          </w:p>
          <w:p>
            <w:pPr>
              <w:pStyle w:val="null3"/>
              <w:ind w:firstLine="480"/>
              <w:jc w:val="both"/>
            </w:pPr>
            <w:r>
              <w:rPr>
                <w:rFonts w:ascii="仿宋_GB2312" w:hAnsi="仿宋_GB2312" w:cs="仿宋_GB2312" w:eastAsia="仿宋_GB2312"/>
                <w:sz w:val="24"/>
              </w:rPr>
              <w:t>2、提供平台内图书的搜索服务（含目次检索及全文检索），高清晰全文在线阅读，具备下载借阅功能。</w:t>
            </w:r>
          </w:p>
          <w:p>
            <w:pPr>
              <w:pStyle w:val="null3"/>
              <w:ind w:firstLine="480"/>
              <w:jc w:val="both"/>
            </w:pPr>
            <w:r>
              <w:rPr>
                <w:rFonts w:ascii="仿宋_GB2312" w:hAnsi="仿宋_GB2312" w:cs="仿宋_GB2312" w:eastAsia="仿宋_GB2312"/>
                <w:sz w:val="24"/>
              </w:rPr>
              <w:t>3、平台提供IP和用户名两种身份认证和权限管理方式，具有强大的查询检索，图书推荐功能。每月提供不少于15种的新书在线阅读，可支持部分页面和功能的定制。提供图书排行、访问量统计等数据导出。</w:t>
            </w:r>
          </w:p>
          <w:p>
            <w:pPr>
              <w:pStyle w:val="null3"/>
              <w:ind w:firstLine="480"/>
              <w:jc w:val="both"/>
            </w:pPr>
            <w:r>
              <w:rPr>
                <w:rFonts w:ascii="仿宋_GB2312" w:hAnsi="仿宋_GB2312" w:cs="仿宋_GB2312" w:eastAsia="仿宋_GB2312"/>
                <w:sz w:val="24"/>
              </w:rPr>
              <w:t>4、平台提供多种在线阅读方式，图像、文本多种阅读方式供用户选择。部分新书支持移动端扫码阅读。</w:t>
            </w:r>
          </w:p>
          <w:p>
            <w:pPr>
              <w:pStyle w:val="null3"/>
              <w:ind w:firstLine="480"/>
              <w:jc w:val="both"/>
            </w:pPr>
            <w:r>
              <w:rPr>
                <w:rFonts w:ascii="仿宋_GB2312" w:hAnsi="仿宋_GB2312" w:cs="仿宋_GB2312" w:eastAsia="仿宋_GB2312"/>
                <w:sz w:val="24"/>
              </w:rPr>
              <w:t>5、平台免费支持与学习通、读秀、图书馆馆藏系统等平台无缝对接。</w:t>
            </w:r>
          </w:p>
          <w:p>
            <w:pPr>
              <w:pStyle w:val="null3"/>
              <w:ind w:firstLine="480"/>
              <w:jc w:val="both"/>
            </w:pPr>
            <w:r>
              <w:rPr>
                <w:rFonts w:ascii="仿宋_GB2312" w:hAnsi="仿宋_GB2312" w:cs="仿宋_GB2312" w:eastAsia="仿宋_GB2312"/>
                <w:sz w:val="24"/>
              </w:rPr>
              <w:t>6、平台中的部分精品图书可有偿支持微信公众号、第三方app对接。</w:t>
            </w:r>
          </w:p>
          <w:p>
            <w:pPr>
              <w:pStyle w:val="null3"/>
              <w:ind w:firstLine="480"/>
              <w:jc w:val="both"/>
            </w:pPr>
            <w:r>
              <w:rPr>
                <w:rFonts w:ascii="仿宋_GB2312" w:hAnsi="仿宋_GB2312" w:cs="仿宋_GB2312" w:eastAsia="仿宋_GB2312"/>
                <w:sz w:val="24"/>
              </w:rPr>
              <w:t>7、可提供馆外访问及第三方认证对接。</w:t>
            </w:r>
          </w:p>
          <w:p>
            <w:pPr>
              <w:pStyle w:val="null3"/>
              <w:ind w:firstLine="480"/>
              <w:jc w:val="both"/>
            </w:pPr>
            <w:r>
              <w:rPr>
                <w:rFonts w:ascii="仿宋_GB2312" w:hAnsi="仿宋_GB2312" w:cs="仿宋_GB2312" w:eastAsia="仿宋_GB2312"/>
                <w:sz w:val="24"/>
              </w:rPr>
              <w:t>8、每个省备有办事处，出现问题随时解决。我们承诺7*42小时无间断服务，提供邮件、电话、在线客服等多种途径的问题答疑。</w:t>
            </w:r>
          </w:p>
          <w:p>
            <w:pPr>
              <w:pStyle w:val="null3"/>
              <w:ind w:firstLine="480"/>
              <w:jc w:val="both"/>
            </w:pPr>
            <w:r>
              <w:rPr>
                <w:rFonts w:ascii="仿宋_GB2312" w:hAnsi="仿宋_GB2312" w:cs="仿宋_GB2312" w:eastAsia="仿宋_GB2312"/>
                <w:sz w:val="24"/>
              </w:rPr>
              <w:t>9、免费提供针对管理员和用户的培训活动。</w:t>
            </w:r>
          </w:p>
          <w:p>
            <w:pPr>
              <w:pStyle w:val="null3"/>
              <w:ind w:firstLine="480"/>
              <w:jc w:val="both"/>
            </w:pPr>
            <w:r>
              <w:rPr>
                <w:rFonts w:ascii="仿宋_GB2312" w:hAnsi="仿宋_GB2312" w:cs="仿宋_GB2312" w:eastAsia="仿宋_GB2312"/>
                <w:sz w:val="24"/>
              </w:rPr>
              <w:t>10、电子图书图像遵循图书的原版原貌，文字差错率不高于万分之一。</w:t>
            </w:r>
          </w:p>
          <w:p>
            <w:pPr>
              <w:pStyle w:val="null3"/>
              <w:ind w:firstLine="480"/>
              <w:jc w:val="both"/>
            </w:pPr>
            <w:r>
              <w:rPr>
                <w:rFonts w:ascii="仿宋_GB2312" w:hAnsi="仿宋_GB2312" w:cs="仿宋_GB2312" w:eastAsia="仿宋_GB2312"/>
                <w:sz w:val="24"/>
              </w:rPr>
              <w:t>11、平台电子图书馆藏量每年保持5-10万的更新。</w:t>
            </w:r>
          </w:p>
          <w:p>
            <w:pPr>
              <w:pStyle w:val="null3"/>
              <w:jc w:val="center"/>
            </w:pPr>
            <w:r>
              <w:rPr>
                <w:rFonts w:ascii="仿宋_GB2312" w:hAnsi="仿宋_GB2312" w:cs="仿宋_GB2312" w:eastAsia="仿宋_GB2312"/>
                <w:sz w:val="32"/>
                <w:b/>
              </w:rPr>
              <w:t>超星名师讲坛采购技术参数及要求</w:t>
            </w:r>
          </w:p>
          <w:p>
            <w:pPr>
              <w:pStyle w:val="null3"/>
              <w:ind w:firstLine="480"/>
              <w:jc w:val="both"/>
            </w:pPr>
            <w:r>
              <w:rPr>
                <w:rFonts w:ascii="仿宋_GB2312" w:hAnsi="仿宋_GB2312" w:cs="仿宋_GB2312" w:eastAsia="仿宋_GB2312"/>
                <w:sz w:val="24"/>
              </w:rPr>
              <w:t>1、超星名师讲坛经10余年的积累，累计视频资源15万余集，产品自主知识产权，来源可靠。</w:t>
            </w:r>
          </w:p>
          <w:p>
            <w:pPr>
              <w:pStyle w:val="null3"/>
              <w:ind w:firstLine="480"/>
              <w:jc w:val="both"/>
            </w:pPr>
            <w:r>
              <w:rPr>
                <w:rFonts w:ascii="仿宋_GB2312" w:hAnsi="仿宋_GB2312" w:cs="仿宋_GB2312" w:eastAsia="仿宋_GB2312"/>
                <w:sz w:val="24"/>
              </w:rPr>
              <w:t>2、学科分类参照国家标准全日制大学体系。</w:t>
            </w:r>
          </w:p>
          <w:p>
            <w:pPr>
              <w:pStyle w:val="null3"/>
              <w:jc w:val="both"/>
            </w:pPr>
            <w:r>
              <w:rPr>
                <w:rFonts w:ascii="仿宋_GB2312" w:hAnsi="仿宋_GB2312" w:cs="仿宋_GB2312" w:eastAsia="仿宋_GB2312"/>
                <w:sz w:val="24"/>
              </w:rPr>
              <w:t>哲学、经济学、法学、教育学、文学、历史学、理学、工学、农学、医学、管理学和艺术学等，向二级学科以及各专业延伸。</w:t>
            </w:r>
          </w:p>
          <w:p>
            <w:pPr>
              <w:pStyle w:val="null3"/>
              <w:ind w:firstLine="480"/>
              <w:jc w:val="both"/>
            </w:pPr>
            <w:r>
              <w:rPr>
                <w:rFonts w:ascii="仿宋_GB2312" w:hAnsi="仿宋_GB2312" w:cs="仿宋_GB2312" w:eastAsia="仿宋_GB2312"/>
                <w:sz w:val="24"/>
              </w:rPr>
              <w:t>3、来源优质，主讲人含院士或长江学者或国家级教学名师不低于500人。</w:t>
            </w:r>
          </w:p>
          <w:p>
            <w:pPr>
              <w:pStyle w:val="null3"/>
              <w:ind w:firstLine="480"/>
              <w:jc w:val="both"/>
            </w:pPr>
            <w:r>
              <w:rPr>
                <w:rFonts w:ascii="仿宋_GB2312" w:hAnsi="仿宋_GB2312" w:cs="仿宋_GB2312" w:eastAsia="仿宋_GB2312"/>
                <w:sz w:val="24"/>
              </w:rPr>
              <w:t>4、主要收录985、211高校、科研机构、行业组织的学术权威和国内外名师名人的课程和讲座。</w:t>
            </w:r>
          </w:p>
          <w:p>
            <w:pPr>
              <w:pStyle w:val="null3"/>
              <w:ind w:firstLine="480"/>
              <w:jc w:val="both"/>
            </w:pPr>
            <w:r>
              <w:rPr>
                <w:rFonts w:ascii="仿宋_GB2312" w:hAnsi="仿宋_GB2312" w:cs="仿宋_GB2312" w:eastAsia="仿宋_GB2312"/>
                <w:sz w:val="24"/>
              </w:rPr>
              <w:t>5、陆续拍摄300余位院士、500余位长江学者、5000余位博士生导师等众多专家学者的珍贵影像。</w:t>
            </w:r>
          </w:p>
          <w:p>
            <w:pPr>
              <w:pStyle w:val="null3"/>
              <w:ind w:firstLine="480"/>
              <w:jc w:val="both"/>
            </w:pPr>
            <w:r>
              <w:rPr>
                <w:rFonts w:ascii="仿宋_GB2312" w:hAnsi="仿宋_GB2312" w:cs="仿宋_GB2312" w:eastAsia="仿宋_GB2312"/>
                <w:sz w:val="24"/>
              </w:rPr>
              <w:t>6、对定义、观点、精彩片段制作微视频，实现对视频内容的精准定位检索。</w:t>
            </w:r>
          </w:p>
          <w:p>
            <w:pPr>
              <w:pStyle w:val="null3"/>
              <w:ind w:firstLine="480"/>
              <w:jc w:val="both"/>
            </w:pPr>
            <w:r>
              <w:rPr>
                <w:rFonts w:ascii="仿宋_GB2312" w:hAnsi="仿宋_GB2312" w:cs="仿宋_GB2312" w:eastAsia="仿宋_GB2312"/>
                <w:sz w:val="24"/>
              </w:rPr>
              <w:t>7、版权清晰，著作权人直接授权。</w:t>
            </w:r>
          </w:p>
          <w:p>
            <w:pPr>
              <w:pStyle w:val="null3"/>
              <w:ind w:firstLine="480"/>
              <w:jc w:val="both"/>
            </w:pPr>
            <w:r>
              <w:rPr>
                <w:rFonts w:ascii="仿宋_GB2312" w:hAnsi="仿宋_GB2312" w:cs="仿宋_GB2312" w:eastAsia="仿宋_GB2312"/>
                <w:sz w:val="24"/>
              </w:rPr>
              <w:t>8、视频由主讲人直接授权拍摄。</w:t>
            </w:r>
          </w:p>
          <w:p>
            <w:pPr>
              <w:pStyle w:val="null3"/>
              <w:ind w:firstLine="480"/>
              <w:jc w:val="both"/>
            </w:pPr>
            <w:r>
              <w:rPr>
                <w:rFonts w:ascii="仿宋_GB2312" w:hAnsi="仿宋_GB2312" w:cs="仿宋_GB2312" w:eastAsia="仿宋_GB2312"/>
                <w:sz w:val="24"/>
              </w:rPr>
              <w:t>9、根据讲座举办具体情况，采用主办单位、主讲人分别授权或单独授权。</w:t>
            </w:r>
          </w:p>
          <w:p>
            <w:pPr>
              <w:pStyle w:val="null3"/>
              <w:ind w:firstLine="480"/>
              <w:jc w:val="both"/>
            </w:pPr>
            <w:r>
              <w:rPr>
                <w:rFonts w:ascii="仿宋_GB2312" w:hAnsi="仿宋_GB2312" w:cs="仿宋_GB2312" w:eastAsia="仿宋_GB2312"/>
                <w:sz w:val="24"/>
              </w:rPr>
              <w:t>10、访问方式：远程访问。</w:t>
            </w:r>
          </w:p>
          <w:p>
            <w:pPr>
              <w:pStyle w:val="null3"/>
              <w:ind w:firstLine="480"/>
              <w:jc w:val="both"/>
            </w:pPr>
            <w:r>
              <w:rPr>
                <w:rFonts w:ascii="仿宋_GB2312" w:hAnsi="仿宋_GB2312" w:cs="仿宋_GB2312" w:eastAsia="仿宋_GB2312"/>
                <w:sz w:val="24"/>
              </w:rPr>
              <w:t>11、能提供优良的软件售后服务，及时维护搜索平台使用过程中发生的故障，保证用户使用不受影响。故障响应时间不超过4小时，故障处理时间不超过24小时。</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标的名称：中国学位论文全文数据库 中国学术会议文献数据库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总体资源量要求不少于</w:t>
            </w:r>
            <w:r>
              <w:rPr>
                <w:rFonts w:ascii="仿宋_GB2312" w:hAnsi="仿宋_GB2312" w:cs="仿宋_GB2312" w:eastAsia="仿宋_GB2312"/>
                <w:sz w:val="24"/>
              </w:rPr>
              <w:t>15TB，全文数据以PDF格式提供服务，所购数据为数据库网络包年方式；资源支撑的平台为万方数据知识服务智慧云平台V1.0，可实现统一检索，7×24小时技术服务响应；根据实际情况需要，可48小时内故障上门服务。</w:t>
            </w:r>
          </w:p>
          <w:p>
            <w:pPr>
              <w:pStyle w:val="null3"/>
              <w:jc w:val="center"/>
            </w:pPr>
            <w:r>
              <w:rPr>
                <w:rFonts w:ascii="仿宋_GB2312" w:hAnsi="仿宋_GB2312" w:cs="仿宋_GB2312" w:eastAsia="仿宋_GB2312"/>
                <w:sz w:val="32"/>
                <w:b/>
              </w:rPr>
              <w:t>中国学位论文全文数据库技术指标及要求</w:t>
            </w:r>
          </w:p>
          <w:p>
            <w:pPr>
              <w:pStyle w:val="null3"/>
              <w:ind w:firstLine="480"/>
              <w:jc w:val="both"/>
            </w:pPr>
            <w:r>
              <w:rPr>
                <w:rFonts w:ascii="仿宋_GB2312" w:hAnsi="仿宋_GB2312" w:cs="仿宋_GB2312" w:eastAsia="仿宋_GB2312"/>
                <w:sz w:val="24"/>
              </w:rPr>
              <w:t>订购内容：中国学位论文全文数据库中</w:t>
            </w:r>
            <w:r>
              <w:rPr>
                <w:rFonts w:ascii="仿宋_GB2312" w:hAnsi="仿宋_GB2312" w:cs="仿宋_GB2312" w:eastAsia="仿宋_GB2312"/>
                <w:sz w:val="24"/>
              </w:rPr>
              <w:t>21个学科分类的455余万篇学位论文，具体包括：数理科学与化学、生物科学、农学（农艺学）、农作物、园艺、临床医学、药学、电信技术、计算机技术、化学工业、轻工业、建筑科学、环境与安全科学、管理科学、政治、法律、经济、文化、教育、体育、语言艺术。</w:t>
            </w:r>
          </w:p>
          <w:p>
            <w:pPr>
              <w:pStyle w:val="null3"/>
              <w:ind w:firstLine="480"/>
              <w:jc w:val="both"/>
            </w:pPr>
            <w:r>
              <w:rPr>
                <w:rFonts w:ascii="仿宋_GB2312" w:hAnsi="仿宋_GB2312" w:cs="仿宋_GB2312" w:eastAsia="仿宋_GB2312"/>
                <w:sz w:val="24"/>
              </w:rPr>
              <w:t>收录时间：</w:t>
            </w:r>
            <w:r>
              <w:rPr>
                <w:rFonts w:ascii="仿宋_GB2312" w:hAnsi="仿宋_GB2312" w:cs="仿宋_GB2312" w:eastAsia="仿宋_GB2312"/>
                <w:sz w:val="24"/>
              </w:rPr>
              <w:t>1980年-至今，逐年回溯。</w:t>
            </w:r>
          </w:p>
          <w:p>
            <w:pPr>
              <w:pStyle w:val="null3"/>
              <w:ind w:firstLine="480"/>
              <w:jc w:val="both"/>
            </w:pPr>
            <w:r>
              <w:rPr>
                <w:rFonts w:ascii="仿宋_GB2312" w:hAnsi="仿宋_GB2312" w:cs="仿宋_GB2312" w:eastAsia="仿宋_GB2312"/>
                <w:sz w:val="24"/>
              </w:rPr>
              <w:t>学科覆盖：按中图法进行学科分类、教育部公布的专业目录进行专业分类。</w:t>
            </w:r>
          </w:p>
          <w:p>
            <w:pPr>
              <w:pStyle w:val="null3"/>
              <w:ind w:firstLine="480"/>
              <w:jc w:val="both"/>
            </w:pPr>
            <w:r>
              <w:rPr>
                <w:rFonts w:ascii="仿宋_GB2312" w:hAnsi="仿宋_GB2312" w:cs="仿宋_GB2312" w:eastAsia="仿宋_GB2312"/>
                <w:sz w:val="24"/>
              </w:rPr>
              <w:t>检索字段：题名、关键词、摘要、作者、学科专业、导师、学位授予单位。</w:t>
            </w:r>
          </w:p>
          <w:p>
            <w:pPr>
              <w:pStyle w:val="null3"/>
              <w:ind w:firstLine="480"/>
              <w:jc w:val="both"/>
            </w:pPr>
            <w:r>
              <w:rPr>
                <w:rFonts w:ascii="仿宋_GB2312" w:hAnsi="仿宋_GB2312" w:cs="仿宋_GB2312" w:eastAsia="仿宋_GB2312"/>
                <w:sz w:val="24"/>
              </w:rPr>
              <w:t>二次检索：提供三种形式的二次检索：直接修改检索表达式、聚类、缩小检索范围重新检索。学位论文提供授予学位、论文年份、语种、学科、导师、学位授予单位聚类。缩小检索范围提供标题、作者、关键词、专业、学校、导师、年份范围检索。</w:t>
            </w:r>
          </w:p>
          <w:p>
            <w:pPr>
              <w:pStyle w:val="null3"/>
              <w:ind w:firstLine="480"/>
              <w:jc w:val="both"/>
            </w:pPr>
            <w:r>
              <w:rPr>
                <w:rFonts w:ascii="仿宋_GB2312" w:hAnsi="仿宋_GB2312" w:cs="仿宋_GB2312" w:eastAsia="仿宋_GB2312"/>
                <w:sz w:val="24"/>
              </w:rPr>
              <w:t>检索结果标记：展示文献类型、作者、专业、学位授予单位、学位授予时间、摘要、关键词。</w:t>
            </w:r>
          </w:p>
          <w:p>
            <w:pPr>
              <w:pStyle w:val="null3"/>
              <w:ind w:firstLine="480"/>
              <w:jc w:val="both"/>
            </w:pPr>
            <w:r>
              <w:rPr>
                <w:rFonts w:ascii="仿宋_GB2312" w:hAnsi="仿宋_GB2312" w:cs="仿宋_GB2312" w:eastAsia="仿宋_GB2312"/>
                <w:sz w:val="24"/>
              </w:rPr>
              <w:t>检索策略：简单检索</w:t>
            </w:r>
            <w:r>
              <w:rPr>
                <w:rFonts w:ascii="仿宋_GB2312" w:hAnsi="仿宋_GB2312" w:cs="仿宋_GB2312" w:eastAsia="仿宋_GB2312"/>
                <w:sz w:val="24"/>
              </w:rPr>
              <w:t>+逐步限定+推荐。用户输入简单检索词开始，在得到的检索结果中通过聚类、排序以及综合系统推荐的检索词，逐步限定，得到结果。这种方法符合使用者行为，检索效果好。</w:t>
            </w:r>
          </w:p>
          <w:p>
            <w:pPr>
              <w:pStyle w:val="null3"/>
              <w:ind w:firstLine="480"/>
              <w:jc w:val="both"/>
            </w:pPr>
            <w:r>
              <w:rPr>
                <w:rFonts w:ascii="仿宋_GB2312" w:hAnsi="仿宋_GB2312" w:cs="仿宋_GB2312" w:eastAsia="仿宋_GB2312"/>
                <w:sz w:val="24"/>
              </w:rPr>
              <w:t>检索结果排序：相关度、学位授予时间、被引量、下载量、热度、经典论文优先这六种排序方式。这些排序方式综合考虑了相关度、被引次数、学位授予时间、用户下载量、文摘阅读量等指标，排序效果较好，满足大多数人群需要。</w:t>
            </w:r>
          </w:p>
          <w:p>
            <w:pPr>
              <w:pStyle w:val="null3"/>
              <w:ind w:firstLine="480"/>
              <w:jc w:val="both"/>
            </w:pPr>
            <w:r>
              <w:rPr>
                <w:rFonts w:ascii="仿宋_GB2312" w:hAnsi="仿宋_GB2312" w:cs="仿宋_GB2312" w:eastAsia="仿宋_GB2312"/>
                <w:sz w:val="24"/>
              </w:rPr>
              <w:t>保存题录：提供参考文献、文本、</w:t>
            </w:r>
            <w:r>
              <w:rPr>
                <w:rFonts w:ascii="仿宋_GB2312" w:hAnsi="仿宋_GB2312" w:cs="仿宋_GB2312" w:eastAsia="仿宋_GB2312"/>
                <w:sz w:val="24"/>
              </w:rPr>
              <w:t>XML、NoteExpress、Refworks、EndNote等多种格式以及自定义格式。</w:t>
            </w:r>
          </w:p>
          <w:p>
            <w:pPr>
              <w:pStyle w:val="null3"/>
              <w:ind w:firstLine="480"/>
              <w:jc w:val="both"/>
            </w:pPr>
            <w:r>
              <w:rPr>
                <w:rFonts w:ascii="仿宋_GB2312" w:hAnsi="仿宋_GB2312" w:cs="仿宋_GB2312" w:eastAsia="仿宋_GB2312"/>
                <w:sz w:val="24"/>
              </w:rPr>
              <w:t>导航体系：学科目录、专业目录、学位授予单位。</w:t>
            </w:r>
          </w:p>
          <w:p>
            <w:pPr>
              <w:pStyle w:val="null3"/>
              <w:ind w:firstLine="480"/>
              <w:jc w:val="both"/>
            </w:pPr>
            <w:r>
              <w:rPr>
                <w:rFonts w:ascii="仿宋_GB2312" w:hAnsi="仿宋_GB2312" w:cs="仿宋_GB2312" w:eastAsia="仿宋_GB2312"/>
                <w:sz w:val="24"/>
              </w:rPr>
              <w:t>知识关联：提供</w:t>
            </w:r>
            <w:r>
              <w:rPr>
                <w:rFonts w:ascii="仿宋_GB2312" w:hAnsi="仿宋_GB2312" w:cs="仿宋_GB2312" w:eastAsia="仿宋_GB2312"/>
                <w:sz w:val="24"/>
              </w:rPr>
              <w:t>“相关论文”、“相关图书”、“相关学者”、“相关主题”、“相关机构”、“相关学者”等服务。</w:t>
            </w:r>
          </w:p>
          <w:p>
            <w:pPr>
              <w:pStyle w:val="null3"/>
              <w:spacing w:before="150"/>
              <w:jc w:val="both"/>
              <w:outlineLvl w:val="1"/>
            </w:pPr>
            <w:r>
              <w:rPr>
                <w:rFonts w:ascii="仿宋_GB2312" w:hAnsi="仿宋_GB2312" w:cs="仿宋_GB2312" w:eastAsia="仿宋_GB2312"/>
                <w:sz w:val="32"/>
                <w:b/>
              </w:rPr>
              <w:t>中国学术会议文献数据库技术指标</w:t>
            </w:r>
          </w:p>
          <w:p>
            <w:pPr>
              <w:pStyle w:val="null3"/>
              <w:ind w:firstLine="480"/>
              <w:jc w:val="both"/>
            </w:pPr>
            <w:r>
              <w:rPr>
                <w:rFonts w:ascii="仿宋_GB2312" w:hAnsi="仿宋_GB2312" w:cs="仿宋_GB2312" w:eastAsia="仿宋_GB2312"/>
                <w:sz w:val="24"/>
              </w:rPr>
              <w:t>订购内容：订购中国学术会议文献数据库中以下</w:t>
            </w:r>
            <w:r>
              <w:rPr>
                <w:rFonts w:ascii="仿宋_GB2312" w:hAnsi="仿宋_GB2312" w:cs="仿宋_GB2312" w:eastAsia="仿宋_GB2312"/>
                <w:sz w:val="24"/>
              </w:rPr>
              <w:t>15个学科分类：数理科学与化学、生物科学、医药、农业科学总览、轻工业、化学工业、电信技术、计算机技术、建筑科学、环境与安全科学、经济管理、教科文艺、语言、艺术、法律。共包含中文全文212万篇，西文全文约263万篇（含NSTL原文传递）。</w:t>
            </w:r>
          </w:p>
          <w:p>
            <w:pPr>
              <w:pStyle w:val="null3"/>
              <w:ind w:firstLine="480"/>
              <w:jc w:val="both"/>
            </w:pPr>
            <w:r>
              <w:rPr>
                <w:rFonts w:ascii="仿宋_GB2312" w:hAnsi="仿宋_GB2312" w:cs="仿宋_GB2312" w:eastAsia="仿宋_GB2312"/>
                <w:sz w:val="24"/>
              </w:rPr>
              <w:t>收录时间：</w:t>
            </w:r>
            <w:r>
              <w:rPr>
                <w:rFonts w:ascii="仿宋_GB2312" w:hAnsi="仿宋_GB2312" w:cs="仿宋_GB2312" w:eastAsia="仿宋_GB2312"/>
                <w:sz w:val="24"/>
              </w:rPr>
              <w:t>1982—至今，少量回溯到1993年。</w:t>
            </w:r>
          </w:p>
          <w:p>
            <w:pPr>
              <w:pStyle w:val="null3"/>
              <w:ind w:firstLine="480"/>
              <w:jc w:val="both"/>
            </w:pPr>
            <w:r>
              <w:rPr>
                <w:rFonts w:ascii="仿宋_GB2312" w:hAnsi="仿宋_GB2312" w:cs="仿宋_GB2312" w:eastAsia="仿宋_GB2312"/>
                <w:sz w:val="24"/>
              </w:rPr>
              <w:t>会议质量：国家级学会、协会、部委、高校召开的全国性学术会议为主，涉及</w:t>
            </w:r>
            <w:r>
              <w:rPr>
                <w:rFonts w:ascii="仿宋_GB2312" w:hAnsi="仿宋_GB2312" w:cs="仿宋_GB2312" w:eastAsia="仿宋_GB2312"/>
                <w:sz w:val="24"/>
              </w:rPr>
              <w:t>4万多个重要学术会议文集。</w:t>
            </w:r>
          </w:p>
          <w:p>
            <w:pPr>
              <w:pStyle w:val="null3"/>
              <w:ind w:firstLine="480"/>
              <w:jc w:val="both"/>
            </w:pPr>
            <w:r>
              <w:rPr>
                <w:rFonts w:ascii="仿宋_GB2312" w:hAnsi="仿宋_GB2312" w:cs="仿宋_GB2312" w:eastAsia="仿宋_GB2312"/>
                <w:sz w:val="24"/>
              </w:rPr>
              <w:t>学科覆盖范围：按中图分类法进行分类，覆盖各个学科领域。</w:t>
            </w:r>
          </w:p>
          <w:p>
            <w:pPr>
              <w:pStyle w:val="null3"/>
              <w:ind w:firstLine="480"/>
              <w:jc w:val="both"/>
            </w:pPr>
            <w:r>
              <w:rPr>
                <w:rFonts w:ascii="仿宋_GB2312" w:hAnsi="仿宋_GB2312" w:cs="仿宋_GB2312" w:eastAsia="仿宋_GB2312"/>
                <w:sz w:val="24"/>
              </w:rPr>
              <w:t>检索字段：提供会议论文的检索和会议文集的检索。会议论文检索提供题名、关键词、摘要、作者、作者单位、会议名称、基金、主办单位。会议文集检索提供会议名称、会议主办单位检索。</w:t>
            </w:r>
          </w:p>
          <w:p>
            <w:pPr>
              <w:pStyle w:val="null3"/>
              <w:ind w:firstLine="480"/>
              <w:jc w:val="both"/>
            </w:pPr>
            <w:r>
              <w:rPr>
                <w:rFonts w:ascii="仿宋_GB2312" w:hAnsi="仿宋_GB2312" w:cs="仿宋_GB2312" w:eastAsia="仿宋_GB2312"/>
                <w:sz w:val="24"/>
              </w:rPr>
              <w:t>二次检索：提供三种形式的二次检索：直接修改检索表达式、聚类、缩小检索范围重新检索。会议论文提供会议级别、时间、语种、会议名称、作者、会议主办单位的聚类，缩小检索范围提供标题、作者、会议名称、关键词、年份范围检索。会议文集提供学科、会议级别、时间的聚类，缩小检索范围提供名称、主办单位、地点、年份范围检索。</w:t>
            </w:r>
          </w:p>
          <w:p>
            <w:pPr>
              <w:pStyle w:val="null3"/>
              <w:ind w:firstLine="480"/>
              <w:jc w:val="both"/>
            </w:pPr>
            <w:r>
              <w:rPr>
                <w:rFonts w:ascii="仿宋_GB2312" w:hAnsi="仿宋_GB2312" w:cs="仿宋_GB2312" w:eastAsia="仿宋_GB2312"/>
                <w:sz w:val="24"/>
              </w:rPr>
              <w:t>检索结果标记：展示论文类型、会议名称、作者、摘要、关键词以及论文的发表年份。展示会议级别、会议名称、会议主办单位、会议时间、会议地点、文献量、被引量、下载量。</w:t>
            </w:r>
          </w:p>
          <w:p>
            <w:pPr>
              <w:pStyle w:val="null3"/>
              <w:ind w:firstLine="480"/>
              <w:jc w:val="both"/>
            </w:pPr>
            <w:r>
              <w:rPr>
                <w:rFonts w:ascii="仿宋_GB2312" w:hAnsi="仿宋_GB2312" w:cs="仿宋_GB2312" w:eastAsia="仿宋_GB2312"/>
                <w:sz w:val="24"/>
              </w:rPr>
              <w:t>检索策略：简单检索</w:t>
            </w:r>
            <w:r>
              <w:rPr>
                <w:rFonts w:ascii="仿宋_GB2312" w:hAnsi="仿宋_GB2312" w:cs="仿宋_GB2312" w:eastAsia="仿宋_GB2312"/>
                <w:sz w:val="24"/>
              </w:rPr>
              <w:t>+逐步限定+推荐。用户输入简单检索词开始，在得到的检索结果中通过聚类、排序以及综合系统推荐的检索词，逐步限定，得到结果。这种方法符合使用者行为，检索效果好。</w:t>
            </w:r>
          </w:p>
          <w:p>
            <w:pPr>
              <w:pStyle w:val="null3"/>
              <w:ind w:firstLine="480"/>
              <w:jc w:val="both"/>
            </w:pPr>
            <w:r>
              <w:rPr>
                <w:rFonts w:ascii="仿宋_GB2312" w:hAnsi="仿宋_GB2312" w:cs="仿宋_GB2312" w:eastAsia="仿宋_GB2312"/>
                <w:sz w:val="24"/>
              </w:rPr>
              <w:t>检索结果排序：相关度、时间、被引量、下载量、热度、经典论文优先这六种排序方式。这些排序方式综合考虑了相关度、被引次数、时间、用户下载量、文摘阅读量等指标，排序效果较好，满足大多数人群需要。</w:t>
            </w:r>
          </w:p>
          <w:p>
            <w:pPr>
              <w:pStyle w:val="null3"/>
              <w:ind w:firstLine="480"/>
              <w:jc w:val="both"/>
            </w:pPr>
            <w:r>
              <w:rPr>
                <w:rFonts w:ascii="仿宋_GB2312" w:hAnsi="仿宋_GB2312" w:cs="仿宋_GB2312" w:eastAsia="仿宋_GB2312"/>
                <w:sz w:val="24"/>
              </w:rPr>
              <w:t>保存题录：提供参考文献、文本、</w:t>
            </w:r>
            <w:r>
              <w:rPr>
                <w:rFonts w:ascii="仿宋_GB2312" w:hAnsi="仿宋_GB2312" w:cs="仿宋_GB2312" w:eastAsia="仿宋_GB2312"/>
                <w:sz w:val="24"/>
              </w:rPr>
              <w:t>XML、NoteExpress、Refworks、EndNote等多种格式以及自定义格式。</w:t>
            </w:r>
          </w:p>
          <w:p>
            <w:pPr>
              <w:pStyle w:val="null3"/>
              <w:ind w:firstLine="480"/>
              <w:jc w:val="both"/>
            </w:pPr>
            <w:r>
              <w:rPr>
                <w:rFonts w:ascii="仿宋_GB2312" w:hAnsi="仿宋_GB2312" w:cs="仿宋_GB2312" w:eastAsia="仿宋_GB2312"/>
                <w:sz w:val="24"/>
              </w:rPr>
              <w:t>导航体系：会议学科分类、会议系列、会议时间、主办单位、会议级别。</w:t>
            </w:r>
          </w:p>
          <w:p>
            <w:pPr>
              <w:pStyle w:val="null3"/>
            </w:pPr>
            <w:r>
              <w:rPr>
                <w:rFonts w:ascii="仿宋_GB2312" w:hAnsi="仿宋_GB2312" w:cs="仿宋_GB2312" w:eastAsia="仿宋_GB2312"/>
                <w:sz w:val="24"/>
              </w:rPr>
              <w:t>知识关联：知识关联：提供</w:t>
            </w:r>
            <w:r>
              <w:rPr>
                <w:rFonts w:ascii="仿宋_GB2312" w:hAnsi="仿宋_GB2312" w:cs="仿宋_GB2312" w:eastAsia="仿宋_GB2312"/>
                <w:sz w:val="24"/>
              </w:rPr>
              <w:t>“相关论文”、“相关图书”、“相关学者”、“相关主题”、“相关机构”、“相关学者”等服务。</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标的名称：人大复印报刊资料全文数据库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color w:val="333333"/>
              </w:rPr>
              <w:t>一、</w:t>
            </w:r>
            <w:r>
              <w:rPr>
                <w:rFonts w:ascii="仿宋_GB2312" w:hAnsi="仿宋_GB2312" w:cs="仿宋_GB2312" w:eastAsia="仿宋_GB2312"/>
                <w:sz w:val="24"/>
                <w:b/>
                <w:color w:val="333333"/>
              </w:rPr>
              <w:t>数据库名称：人大复印报刊资料全文数据库</w:t>
            </w:r>
          </w:p>
          <w:p>
            <w:pPr>
              <w:pStyle w:val="null3"/>
              <w:ind w:firstLine="480"/>
              <w:jc w:val="both"/>
            </w:pPr>
            <w:r>
              <w:rPr>
                <w:rFonts w:ascii="仿宋_GB2312" w:hAnsi="仿宋_GB2312" w:cs="仿宋_GB2312" w:eastAsia="仿宋_GB2312"/>
                <w:sz w:val="24"/>
                <w:color w:val="333333"/>
              </w:rPr>
              <w:t>产品内容：全文数据库</w:t>
            </w:r>
            <w:r>
              <w:rPr>
                <w:rFonts w:ascii="仿宋_GB2312" w:hAnsi="仿宋_GB2312" w:cs="仿宋_GB2312" w:eastAsia="仿宋_GB2312"/>
                <w:sz w:val="24"/>
                <w:color w:val="333333"/>
              </w:rPr>
              <w:t>/数字期刊库。全文数据库含政治学与社会学类、哲学类、法律类、经济学与经济管理类、教育类、文学与艺术类、历史学类、文化信息传播类以及其他类共计九大类。139种专题刊物随着经济、 政治和学术的发展更新。</w:t>
            </w:r>
          </w:p>
          <w:p>
            <w:pPr>
              <w:pStyle w:val="null3"/>
              <w:ind w:firstLine="480"/>
              <w:jc w:val="both"/>
            </w:pPr>
            <w:r>
              <w:rPr>
                <w:rFonts w:ascii="仿宋_GB2312" w:hAnsi="仿宋_GB2312" w:cs="仿宋_GB2312" w:eastAsia="仿宋_GB2312"/>
                <w:sz w:val="24"/>
                <w:color w:val="333333"/>
              </w:rPr>
              <w:t>使用期限：</w:t>
            </w:r>
            <w:r>
              <w:rPr>
                <w:rFonts w:ascii="仿宋_GB2312" w:hAnsi="仿宋_GB2312" w:cs="仿宋_GB2312" w:eastAsia="仿宋_GB2312"/>
                <w:sz w:val="24"/>
                <w:color w:val="333333"/>
              </w:rPr>
              <w:t>1年；数据更新：每周不定期更新；呈现方式：数字期刊及分类呈现可根据作者、标题、原文出处、关键词等检索项进行精准检索,支持初级、高级检索。 IP 范围内不限制用户数及使用次数。浏览器无需安装任何插件,支持全文浏览、自选复制及下载功能。 数据格式：提供 word、PDF 格式、HTML 格式。</w:t>
            </w:r>
          </w:p>
          <w:p>
            <w:pPr>
              <w:pStyle w:val="null3"/>
              <w:jc w:val="both"/>
            </w:pPr>
            <w:r>
              <w:rPr>
                <w:rFonts w:ascii="仿宋_GB2312" w:hAnsi="仿宋_GB2312" w:cs="仿宋_GB2312" w:eastAsia="仿宋_GB2312"/>
                <w:sz w:val="24"/>
                <w:b/>
                <w:color w:val="333333"/>
              </w:rPr>
              <w:t>二、服务要求：</w:t>
            </w:r>
          </w:p>
          <w:p>
            <w:pPr>
              <w:pStyle w:val="null3"/>
            </w:pPr>
            <w:r>
              <w:rPr>
                <w:rFonts w:ascii="仿宋_GB2312" w:hAnsi="仿宋_GB2312" w:cs="仿宋_GB2312" w:eastAsia="仿宋_GB2312"/>
                <w:sz w:val="24"/>
                <w:color w:val="333333"/>
              </w:rPr>
              <w:t>在双方签订合同后，完全按照合同规定的内容和时间开通和安装本次所购数据；出色的数字版权保护技术，确保资源使用没有安全隐患；提供</w:t>
            </w:r>
            <w:r>
              <w:rPr>
                <w:rFonts w:ascii="仿宋_GB2312" w:hAnsi="仿宋_GB2312" w:cs="仿宋_GB2312" w:eastAsia="仿宋_GB2312"/>
                <w:sz w:val="24"/>
                <w:color w:val="333333"/>
              </w:rPr>
              <w:t>7*24 小时在线服务，可通过邮件、电话、QQ 及其他远程工具，保证 30 分钟内响应，1 小时解决，若需售后人员亲自上门服务，承诺 24 小时内到达,48小时内解决相应故障。 对用户的访问和使用情况进行详细记录，可按月、季、年及学期提供使用数据统计报告。 知识产权：对人大“复印报刊资料”信息系统 拥有完全知识产权，内容无任何版权纠纷。</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标的名称：SpecialSciDBS数据库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color w:val="333333"/>
              </w:rPr>
              <w:t>订购内容：</w:t>
            </w:r>
            <w:r>
              <w:rPr>
                <w:rFonts w:ascii="仿宋_GB2312" w:hAnsi="仿宋_GB2312" w:cs="仿宋_GB2312" w:eastAsia="仿宋_GB2312"/>
                <w:sz w:val="24"/>
                <w:color w:val="333333"/>
              </w:rPr>
              <w:t>食品、化学、计算机科学技术、农业</w:t>
            </w:r>
            <w:r>
              <w:rPr>
                <w:rFonts w:ascii="仿宋_GB2312" w:hAnsi="仿宋_GB2312" w:cs="仿宋_GB2312" w:eastAsia="仿宋_GB2312"/>
                <w:sz w:val="24"/>
                <w:color w:val="333333"/>
              </w:rPr>
              <w:t>4个专题分类</w:t>
            </w:r>
          </w:p>
          <w:p>
            <w:pPr>
              <w:pStyle w:val="null3"/>
              <w:jc w:val="both"/>
            </w:pPr>
            <w:r>
              <w:rPr>
                <w:rFonts w:ascii="仿宋_GB2312" w:hAnsi="仿宋_GB2312" w:cs="仿宋_GB2312" w:eastAsia="仿宋_GB2312"/>
                <w:sz w:val="24"/>
                <w:color w:val="333333"/>
              </w:rPr>
              <w:t>技术参数：</w:t>
            </w:r>
          </w:p>
          <w:p>
            <w:pPr>
              <w:pStyle w:val="null3"/>
              <w:jc w:val="both"/>
            </w:pPr>
            <w:r>
              <w:rPr>
                <w:rFonts w:ascii="仿宋_GB2312" w:hAnsi="仿宋_GB2312" w:cs="仿宋_GB2312" w:eastAsia="仿宋_GB2312"/>
                <w:sz w:val="24"/>
                <w:b/>
                <w:color w:val="333333"/>
              </w:rPr>
              <w:t>一、</w:t>
            </w:r>
            <w:r>
              <w:rPr>
                <w:rFonts w:ascii="仿宋_GB2312" w:hAnsi="仿宋_GB2312" w:cs="仿宋_GB2312" w:eastAsia="仿宋_GB2312"/>
                <w:sz w:val="24"/>
                <w:b/>
                <w:color w:val="333333"/>
              </w:rPr>
              <w:t>资源保障：</w:t>
            </w:r>
          </w:p>
          <w:p>
            <w:pPr>
              <w:pStyle w:val="null3"/>
              <w:ind w:firstLine="480"/>
              <w:jc w:val="both"/>
            </w:pPr>
            <w:r>
              <w:rPr>
                <w:rFonts w:ascii="仿宋_GB2312" w:hAnsi="仿宋_GB2312" w:cs="仿宋_GB2312" w:eastAsia="仿宋_GB2312"/>
                <w:sz w:val="24"/>
                <w:color w:val="333333"/>
              </w:rPr>
              <w:t>1.截止2026年3月，食品、化学、计算机科学技术、农业4个专题的收录资源数量不少于1600万篇；</w:t>
            </w:r>
          </w:p>
          <w:p>
            <w:pPr>
              <w:pStyle w:val="null3"/>
              <w:ind w:firstLine="480"/>
              <w:jc w:val="both"/>
            </w:pPr>
            <w:r>
              <w:rPr>
                <w:rFonts w:ascii="仿宋_GB2312" w:hAnsi="仿宋_GB2312" w:cs="仿宋_GB2312" w:eastAsia="仿宋_GB2312"/>
                <w:sz w:val="24"/>
                <w:color w:val="333333"/>
              </w:rPr>
              <w:t>2.资源类型包括学术论文、技术报告、会议记录、议题议案、专栏评述、新产品资讯等10多种类型，因专题而异；</w:t>
            </w:r>
          </w:p>
          <w:p>
            <w:pPr>
              <w:pStyle w:val="null3"/>
              <w:ind w:firstLine="480"/>
              <w:jc w:val="both"/>
            </w:pPr>
            <w:r>
              <w:rPr>
                <w:rFonts w:ascii="仿宋_GB2312" w:hAnsi="仿宋_GB2312" w:cs="仿宋_GB2312" w:eastAsia="仿宋_GB2312"/>
                <w:sz w:val="24"/>
                <w:color w:val="333333"/>
              </w:rPr>
              <w:t>3.数据资源实时更新，语种为英语；</w:t>
            </w:r>
          </w:p>
          <w:p>
            <w:pPr>
              <w:pStyle w:val="null3"/>
              <w:ind w:firstLine="480"/>
              <w:jc w:val="both"/>
            </w:pPr>
            <w:r>
              <w:rPr>
                <w:rFonts w:ascii="仿宋_GB2312" w:hAnsi="仿宋_GB2312" w:cs="仿宋_GB2312" w:eastAsia="仿宋_GB2312"/>
                <w:sz w:val="24"/>
                <w:color w:val="333333"/>
              </w:rPr>
              <w:t>4.资源的时间跨度，收录文献追溯到1998年；</w:t>
            </w:r>
          </w:p>
          <w:p>
            <w:pPr>
              <w:pStyle w:val="null3"/>
              <w:jc w:val="both"/>
            </w:pPr>
            <w:r>
              <w:rPr>
                <w:rFonts w:ascii="仿宋_GB2312" w:hAnsi="仿宋_GB2312" w:cs="仿宋_GB2312" w:eastAsia="仿宋_GB2312"/>
                <w:sz w:val="24"/>
                <w:b/>
                <w:color w:val="333333"/>
              </w:rPr>
              <w:t>二、</w:t>
            </w:r>
            <w:r>
              <w:rPr>
                <w:rFonts w:ascii="仿宋_GB2312" w:hAnsi="仿宋_GB2312" w:cs="仿宋_GB2312" w:eastAsia="仿宋_GB2312"/>
                <w:sz w:val="24"/>
                <w:b/>
                <w:color w:val="333333"/>
              </w:rPr>
              <w:t>功能需求</w:t>
            </w:r>
            <w:r>
              <w:rPr>
                <w:rFonts w:ascii="仿宋_GB2312" w:hAnsi="仿宋_GB2312" w:cs="仿宋_GB2312" w:eastAsia="仿宋_GB2312"/>
                <w:sz w:val="24"/>
                <w:b/>
                <w:color w:val="333333"/>
              </w:rPr>
              <w:t>：</w:t>
            </w:r>
          </w:p>
          <w:p>
            <w:pPr>
              <w:pStyle w:val="null3"/>
              <w:ind w:firstLine="480"/>
              <w:jc w:val="both"/>
            </w:pPr>
            <w:r>
              <w:rPr>
                <w:rFonts w:ascii="仿宋_GB2312" w:hAnsi="仿宋_GB2312" w:cs="仿宋_GB2312" w:eastAsia="仿宋_GB2312"/>
                <w:sz w:val="24"/>
                <w:color w:val="333333"/>
              </w:rPr>
              <w:t>1.平台适于读者人群是科研工作者、高校教师、学科馆员、查新员、研究生及部分英文程度较高的本科生。</w:t>
            </w:r>
          </w:p>
          <w:p>
            <w:pPr>
              <w:pStyle w:val="null3"/>
              <w:ind w:firstLine="480"/>
              <w:jc w:val="both"/>
            </w:pPr>
            <w:r>
              <w:rPr>
                <w:rFonts w:ascii="仿宋_GB2312" w:hAnsi="仿宋_GB2312" w:cs="仿宋_GB2312" w:eastAsia="仿宋_GB2312"/>
                <w:sz w:val="24"/>
                <w:color w:val="333333"/>
              </w:rPr>
              <w:t>2.SpecialSci适用于科技查新、课题跟踪、论文写作与文献参考等。</w:t>
            </w:r>
          </w:p>
          <w:p>
            <w:pPr>
              <w:pStyle w:val="null3"/>
              <w:ind w:firstLine="480"/>
              <w:jc w:val="both"/>
            </w:pPr>
            <w:r>
              <w:rPr>
                <w:rFonts w:ascii="仿宋_GB2312" w:hAnsi="仿宋_GB2312" w:cs="仿宋_GB2312" w:eastAsia="仿宋_GB2312"/>
                <w:sz w:val="24"/>
                <w:color w:val="333333"/>
              </w:rPr>
              <w:t>3.SpecialSci平台提供多种导航方式，如“学术导航”“分类导航”“情报服务”等；同时提供四种检索方式，即“快速搜索”“高级搜索”“专业搜索”“二次搜索”，读者可以根据自己需要，选择使用，达到查全和查准的平衡。</w:t>
            </w:r>
          </w:p>
          <w:p>
            <w:pPr>
              <w:pStyle w:val="null3"/>
              <w:ind w:firstLine="480"/>
              <w:jc w:val="both"/>
            </w:pPr>
            <w:r>
              <w:rPr>
                <w:rFonts w:ascii="仿宋_GB2312" w:hAnsi="仿宋_GB2312" w:cs="仿宋_GB2312" w:eastAsia="仿宋_GB2312"/>
                <w:sz w:val="24"/>
                <w:color w:val="333333"/>
              </w:rPr>
              <w:t>4.平台提供多种增值及助读功能，如国道发现，国道查重，机构知识库，检索结果统计功能，结果导出功能，在线翻译助读功能。</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标的名称：博学易知学习平台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数据库平台框架：</w:t>
            </w:r>
            <w:r>
              <w:rPr>
                <w:rFonts w:ascii="仿宋_GB2312" w:hAnsi="仿宋_GB2312" w:cs="仿宋_GB2312" w:eastAsia="仿宋_GB2312"/>
                <w:sz w:val="24"/>
              </w:rPr>
              <w:t>SSM框架，当前主流设计框架，具有可扩展性，适用于中大型项目。便于后期数据库数据和功能的进一步扩张和升级。</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底层数据库：</w:t>
            </w:r>
            <w:r>
              <w:rPr>
                <w:rFonts w:ascii="仿宋_GB2312" w:hAnsi="仿宋_GB2312" w:cs="仿宋_GB2312" w:eastAsia="仿宋_GB2312"/>
                <w:sz w:val="24"/>
              </w:rPr>
              <w:t>TIDB数据库，能够利用TIDB数据库的分布式全文搜索引擎等处理机制，便于后期数据库的更新及数据完善，平台功能管理自由。</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平台资源：提供考级、考证、自升本、考研、考公务员等考试相关资源，资源类型包含计算机、法律、学历、金融、医学、语言、公务员、建筑工程、职业资格等九大类资源，包含历年试题资源，并且保证每年的稳定更新，确保资源的持续使用。</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提供考级、考证、考研、考公务员等考试相关电子试卷，涵盖</w:t>
            </w:r>
            <w:r>
              <w:rPr>
                <w:rFonts w:ascii="仿宋_GB2312" w:hAnsi="仿宋_GB2312" w:cs="仿宋_GB2312" w:eastAsia="仿宋_GB2312"/>
                <w:sz w:val="24"/>
              </w:rPr>
              <w:t>300多科近千种等级和职业资格类电子试卷280000套左右，试题不低于1000万道试题。</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个人信息中心：自主在线注册，且自主完善各类人详细信息，实现个人信息在线维护功能。</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资源的在线收藏：平台电子试卷等资源实现在线一键式收藏，并且可以实现对个人收藏学习资源的个人管理。</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试卷下载：支持用户通过平台自主选择喜欢的试卷，将此电子试卷以</w:t>
            </w:r>
            <w:r>
              <w:rPr>
                <w:rFonts w:ascii="仿宋_GB2312" w:hAnsi="仿宋_GB2312" w:cs="仿宋_GB2312" w:eastAsia="仿宋_GB2312"/>
                <w:sz w:val="24"/>
              </w:rPr>
              <w:t>word文档形式下载到本地电脑，供用户学习使用。</w:t>
            </w:r>
          </w:p>
          <w:p>
            <w:pPr>
              <w:pStyle w:val="null3"/>
              <w:ind w:firstLine="480"/>
              <w:jc w:val="both"/>
            </w:pP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组卷训练：包含随机组卷和专项训练两大功能。可以针对平台里的试题</w:t>
            </w:r>
            <w:r>
              <w:rPr>
                <w:rFonts w:ascii="仿宋_GB2312" w:hAnsi="仿宋_GB2312" w:cs="仿宋_GB2312" w:eastAsia="仿宋_GB2312"/>
                <w:sz w:val="24"/>
              </w:rPr>
              <w:t>/试卷，通过随机组卷功能，组成符合自己需求的试卷。运用专项训练功能，可以针对学习的薄弱环节，组成符合某种考试某个题型的专项试卷，便于侧重点的学习。</w:t>
            </w:r>
          </w:p>
          <w:p>
            <w:pPr>
              <w:pStyle w:val="null3"/>
              <w:ind w:firstLine="480"/>
              <w:jc w:val="both"/>
            </w:pP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错题中心：记录用户答题后有错题的试卷名称，用户可在该模块下进行重新答题或者只答错题两种选择方式。</w:t>
            </w:r>
          </w:p>
          <w:p>
            <w:pPr>
              <w:pStyle w:val="null3"/>
              <w:ind w:firstLine="480"/>
              <w:jc w:val="both"/>
            </w:pP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提供</w:t>
            </w:r>
            <w:r>
              <w:rPr>
                <w:rFonts w:ascii="仿宋_GB2312" w:hAnsi="仿宋_GB2312" w:cs="仿宋_GB2312" w:eastAsia="仿宋_GB2312"/>
                <w:sz w:val="24"/>
              </w:rPr>
              <w:t>H5页面微信版实现移动端使用平台资源服务，确保手机用户能够正常访问资源。</w:t>
            </w:r>
          </w:p>
          <w:p>
            <w:pPr>
              <w:pStyle w:val="null3"/>
              <w:ind w:firstLine="480"/>
              <w:jc w:val="both"/>
            </w:pPr>
            <w:r>
              <w:rPr>
                <w:rFonts w:ascii="仿宋_GB2312" w:hAnsi="仿宋_GB2312" w:cs="仿宋_GB2312" w:eastAsia="仿宋_GB2312"/>
                <w:sz w:val="24"/>
              </w:rPr>
              <w:t>11、确保平台资源的版权无忧，资源稳定更新。</w:t>
            </w:r>
          </w:p>
          <w:p>
            <w:pPr>
              <w:pStyle w:val="null3"/>
              <w:ind w:firstLine="480"/>
              <w:jc w:val="both"/>
            </w:pPr>
            <w:r>
              <w:rPr>
                <w:rFonts w:ascii="仿宋_GB2312" w:hAnsi="仿宋_GB2312" w:cs="仿宋_GB2312" w:eastAsia="仿宋_GB2312"/>
                <w:sz w:val="24"/>
              </w:rPr>
              <w:t>12、平台资源不受并发限制。</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标的名称：Spischolar学术资源在线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简介：</w:t>
            </w:r>
            <w:r>
              <w:rPr>
                <w:rFonts w:ascii="仿宋_GB2312" w:hAnsi="仿宋_GB2312" w:cs="仿宋_GB2312" w:eastAsia="仿宋_GB2312"/>
                <w:sz w:val="24"/>
              </w:rPr>
              <w:t>Spischolar学术期刊指南系统是集期刊导航、期刊分析、论文检索获取三位一体的创新服务平台，整合了国内外著名的索引、文摘数据库和主流数据库收录的期刊，并按照主流收录评价体系进行重新组织与关联，提供教学与科研过程中所需的高质量学术资源与AI学术服务工具，是集发现、获取、评价一体化的期刊导航服务。</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主要功能：</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1）整合国内外主流数据库中的期刊9万余种，外文期刊7万余种，资源丰富，学术性强；</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2）一站式集成国内外期刊权威收录体系，从权威收录体系出发，找到本学科核心期刊；</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3）提供刊名、ISSN、主题词、学科名等期刊检索方式；支持简单检索、高级检索、支持在结果中二次检索；</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4）提供学科、出版国家、出版周期、语种等筛选功能，可以筛选交叉学科的期刊，快速锁定目标期刊；</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5）提供基于主题词的期刊分析功能，综合使用定性与定量方法，分析期刊发文主题频次及其共现关系，深入分析期刊发文方向，揭示期刊研究方向；</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6）提供期刊智能分析功能，呈现内容介绍、期刊质量、收录分析、近期热点、投稿指南等五个维度的AI深度解析，帮助全方位掌握期刊核心价值与动态；</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7）提供智能选刊功能，AI精准匹配并推荐合适的投稿期刊，提升选刊效率与投稿命中率；</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8）提供多种全文获取方式，包括直接下载、数据库下载和文献互助等方式，帮助读者多途径获取文献全文；</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9）提供校外访问功能：读者在机构IP内外皆可注册，审核通过后即可在机构IP外通过互联网登录使用，无需使用VPN等第三方系统；同时还支持CARSI认证方式，对接学校统一认证系统。</w:t>
            </w:r>
          </w:p>
          <w:p>
            <w:pPr>
              <w:pStyle w:val="null3"/>
              <w:ind w:firstLine="480"/>
              <w:jc w:val="both"/>
            </w:pPr>
            <w:r>
              <w:rPr>
                <w:rFonts w:ascii="仿宋_GB2312" w:hAnsi="仿宋_GB2312" w:cs="仿宋_GB2312" w:eastAsia="仿宋_GB2312"/>
                <w:sz w:val="24"/>
              </w:rPr>
              <w:t>3、访问方式：采用IP地址控制访问权限，无并发用户限制。</w:t>
            </w:r>
          </w:p>
          <w:p>
            <w:pPr>
              <w:pStyle w:val="null3"/>
              <w:jc w:val="both"/>
            </w:pPr>
            <w:r>
              <w:rPr>
                <w:rFonts w:ascii="仿宋_GB2312" w:hAnsi="仿宋_GB2312" w:cs="仿宋_GB2312" w:eastAsia="仿宋_GB2312"/>
                <w:sz w:val="24"/>
              </w:rPr>
              <w:t>数据库网址：</w:t>
            </w:r>
            <w:r>
              <w:rPr>
                <w:rFonts w:ascii="仿宋_GB2312" w:hAnsi="仿宋_GB2312" w:cs="仿宋_GB2312" w:eastAsia="仿宋_GB2312"/>
                <w:sz w:val="24"/>
              </w:rPr>
              <w:t>http://spis.hnlat.com/</w:t>
            </w:r>
          </w:p>
          <w:p>
            <w:pPr>
              <w:pStyle w:val="null3"/>
              <w:ind w:firstLine="480"/>
              <w:jc w:val="both"/>
            </w:pPr>
            <w:r>
              <w:rPr>
                <w:rFonts w:ascii="仿宋_GB2312" w:hAnsi="仿宋_GB2312" w:cs="仿宋_GB2312" w:eastAsia="仿宋_GB2312"/>
                <w:sz w:val="24"/>
              </w:rPr>
              <w:t>4、数据更新：每周更新数据。</w:t>
            </w:r>
          </w:p>
          <w:p>
            <w:pPr>
              <w:pStyle w:val="null3"/>
              <w:ind w:firstLine="480"/>
              <w:jc w:val="both"/>
            </w:pPr>
            <w:r>
              <w:rPr>
                <w:rFonts w:ascii="仿宋_GB2312" w:hAnsi="仿宋_GB2312" w:cs="仿宋_GB2312" w:eastAsia="仿宋_GB2312"/>
                <w:sz w:val="24"/>
              </w:rPr>
              <w:t>5、使用权限：提供订购当年数据库中所有内容的访问权，无年限限制。</w:t>
            </w:r>
          </w:p>
          <w:p>
            <w:pPr>
              <w:pStyle w:val="null3"/>
              <w:ind w:firstLine="480"/>
              <w:jc w:val="both"/>
            </w:pPr>
            <w:r>
              <w:rPr>
                <w:rFonts w:ascii="仿宋_GB2312" w:hAnsi="仿宋_GB2312" w:cs="仿宋_GB2312" w:eastAsia="仿宋_GB2312"/>
                <w:sz w:val="24"/>
              </w:rPr>
              <w:t>6、售后服务：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服务承诺：质保期内定期提供数据更新与软件维护服务。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故障响应时间</w:t>
            </w:r>
            <w:r>
              <w:rPr>
                <w:rFonts w:ascii="仿宋_GB2312" w:hAnsi="仿宋_GB2312" w:cs="仿宋_GB2312" w:eastAsia="仿宋_GB2312"/>
                <w:sz w:val="24"/>
              </w:rPr>
              <w:t>:提供7×24小时的故障服务受理，并在24小时内对故障进行修复或给出反馈。</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标的名称：worldlib sci精品学术论文平台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一、产品内容：</w:t>
            </w:r>
          </w:p>
          <w:p>
            <w:pPr>
              <w:pStyle w:val="null3"/>
              <w:ind w:firstLine="480"/>
              <w:jc w:val="both"/>
            </w:pPr>
            <w:r>
              <w:rPr>
                <w:rFonts w:ascii="仿宋_GB2312" w:hAnsi="仿宋_GB2312" w:cs="仿宋_GB2312" w:eastAsia="仿宋_GB2312"/>
                <w:sz w:val="24"/>
              </w:rPr>
              <w:t xml:space="preserve">Worldlib Sci精品学术论文资源专注于收录Web of Science (WoS)平台中的开放获取期刊文献，文献总量不低于450万篇。该资源提供多种导航途径，用户可按检索点、期刊、学科、日期、语种等进行筛选，以便高效定位所需文献。  </w:t>
            </w:r>
          </w:p>
          <w:p>
            <w:pPr>
              <w:pStyle w:val="null3"/>
              <w:ind w:firstLine="480"/>
              <w:jc w:val="both"/>
            </w:pPr>
            <w:r>
              <w:rPr>
                <w:rFonts w:ascii="仿宋_GB2312" w:hAnsi="仿宋_GB2312" w:cs="仿宋_GB2312" w:eastAsia="仿宋_GB2312"/>
                <w:sz w:val="24"/>
              </w:rPr>
              <w:t>文献学科范围全面，覆盖文学、历史学、哲学、法学、经济学、管理学、教育学、理学、工学、农学、医学、艺术学和军事学。平台上所有文献均可通过访问其来源的第三方网站获取全文，并支持通过移动设备扫描二维码进行访问与阅读。</w:t>
            </w:r>
          </w:p>
          <w:p>
            <w:pPr>
              <w:pStyle w:val="null3"/>
              <w:jc w:val="both"/>
            </w:pPr>
            <w:r>
              <w:rPr>
                <w:rFonts w:ascii="仿宋_GB2312" w:hAnsi="仿宋_GB2312" w:cs="仿宋_GB2312" w:eastAsia="仿宋_GB2312"/>
                <w:sz w:val="24"/>
                <w:b/>
              </w:rPr>
              <w:t>二、技术参数：</w:t>
            </w:r>
          </w:p>
          <w:p>
            <w:pPr>
              <w:pStyle w:val="null3"/>
              <w:ind w:firstLine="480"/>
              <w:jc w:val="both"/>
            </w:pPr>
            <w:r>
              <w:rPr>
                <w:rFonts w:ascii="仿宋_GB2312" w:hAnsi="仿宋_GB2312" w:cs="仿宋_GB2312" w:eastAsia="仿宋_GB2312"/>
                <w:sz w:val="24"/>
              </w:rPr>
              <w:t>1、平台仅提供开放获取文献资源，全文均通过第三方链接获取，支持通过移动设备扫码访问阅读。</w:t>
            </w:r>
          </w:p>
          <w:p>
            <w:pPr>
              <w:pStyle w:val="null3"/>
              <w:ind w:firstLine="480"/>
              <w:jc w:val="both"/>
            </w:pPr>
            <w:r>
              <w:rPr>
                <w:rFonts w:ascii="仿宋_GB2312" w:hAnsi="仿宋_GB2312" w:cs="仿宋_GB2312" w:eastAsia="仿宋_GB2312"/>
                <w:sz w:val="24"/>
              </w:rPr>
              <w:t>2、平台文献量不低于450万篇。</w:t>
            </w:r>
          </w:p>
          <w:p>
            <w:pPr>
              <w:pStyle w:val="null3"/>
              <w:ind w:firstLine="480"/>
              <w:jc w:val="both"/>
            </w:pPr>
            <w:r>
              <w:rPr>
                <w:rFonts w:ascii="仿宋_GB2312" w:hAnsi="仿宋_GB2312" w:cs="仿宋_GB2312" w:eastAsia="仿宋_GB2312"/>
                <w:sz w:val="24"/>
              </w:rPr>
              <w:t>3、平台内置规模不低于8000万条的系统词表作为支撑，并确保词表条目无重复。</w:t>
            </w:r>
          </w:p>
          <w:p>
            <w:pPr>
              <w:pStyle w:val="null3"/>
              <w:ind w:firstLine="480"/>
              <w:jc w:val="both"/>
            </w:pPr>
            <w:r>
              <w:rPr>
                <w:rFonts w:ascii="仿宋_GB2312" w:hAnsi="仿宋_GB2312" w:cs="仿宋_GB2312" w:eastAsia="仿宋_GB2312"/>
                <w:sz w:val="24"/>
              </w:rPr>
              <w:t>4、平台提供便捷的安装与维护方案，内置SQL Server、文本等可视化数据导入工具，并自带web服务器功能（包含用户认证管理、数据存储服务、搜索引擎服务、web发布服务、访问监控服务等）。平台支持镜像派发生成专题数据库，且无需额外安装任何数据库软件。</w:t>
            </w:r>
          </w:p>
          <w:p>
            <w:pPr>
              <w:pStyle w:val="null3"/>
              <w:ind w:firstLine="480"/>
              <w:jc w:val="both"/>
            </w:pPr>
            <w:r>
              <w:rPr>
                <w:rFonts w:ascii="仿宋_GB2312" w:hAnsi="仿宋_GB2312" w:cs="仿宋_GB2312" w:eastAsia="仿宋_GB2312"/>
                <w:sz w:val="24"/>
              </w:rPr>
              <w:t>5、平台实施严格的安全加密措施，对平台网站及数据库文件进行加密，确保网络数据传输与存储的安全。</w:t>
            </w:r>
          </w:p>
          <w:p>
            <w:pPr>
              <w:pStyle w:val="null3"/>
              <w:ind w:firstLine="480"/>
              <w:jc w:val="both"/>
            </w:pPr>
            <w:r>
              <w:rPr>
                <w:rFonts w:ascii="仿宋_GB2312" w:hAnsi="仿宋_GB2312" w:cs="仿宋_GB2312" w:eastAsia="仿宋_GB2312"/>
                <w:sz w:val="24"/>
              </w:rPr>
              <w:t>6、平台设计注重易用性，提供多种导航途径（如按检索点、学科、日期、语种等），并允许用户根据需求修改或自定义分类体系。</w:t>
            </w:r>
          </w:p>
          <w:p>
            <w:pPr>
              <w:pStyle w:val="null3"/>
              <w:ind w:firstLine="480"/>
              <w:jc w:val="both"/>
            </w:pPr>
            <w:r>
              <w:rPr>
                <w:rFonts w:ascii="仿宋_GB2312" w:hAnsi="仿宋_GB2312" w:cs="仿宋_GB2312" w:eastAsia="仿宋_GB2312"/>
                <w:sz w:val="24"/>
              </w:rPr>
              <w:t>7、平台提供域名绑定功能，具备统计访问数据的能力，支持用户检索记录还原、B类IP地址访问统计功能，并对用户访问行为进行实时监控（记录访问者IP及所访问资源URL）。</w:t>
            </w:r>
          </w:p>
          <w:p>
            <w:pPr>
              <w:pStyle w:val="null3"/>
              <w:ind w:firstLine="480"/>
              <w:jc w:val="both"/>
            </w:pPr>
            <w:r>
              <w:rPr>
                <w:rFonts w:ascii="仿宋_GB2312" w:hAnsi="仿宋_GB2312" w:cs="仿宋_GB2312" w:eastAsia="仿宋_GB2312"/>
                <w:sz w:val="24"/>
              </w:rPr>
              <w:t>8、平台严格杜绝任何未经商业数据商授权的商业数据（包括元数据及全文），规避一切版权风险。</w:t>
            </w:r>
          </w:p>
          <w:p>
            <w:pPr>
              <w:pStyle w:val="null3"/>
              <w:ind w:firstLine="480"/>
              <w:jc w:val="both"/>
            </w:pPr>
            <w:r>
              <w:rPr>
                <w:rFonts w:ascii="仿宋_GB2312" w:hAnsi="仿宋_GB2312" w:cs="仿宋_GB2312" w:eastAsia="仿宋_GB2312"/>
                <w:sz w:val="24"/>
              </w:rPr>
              <w:t>9、对于平台上非艺术图片类文献，若用户无法直接下载全文，可通过文献详情页的“人工帮助”功能提交协助请求，由后台工作人员协助获取。</w:t>
            </w:r>
          </w:p>
          <w:p>
            <w:pPr>
              <w:pStyle w:val="null3"/>
              <w:ind w:firstLine="480"/>
              <w:jc w:val="both"/>
            </w:pPr>
            <w:r>
              <w:rPr>
                <w:rFonts w:ascii="仿宋_GB2312" w:hAnsi="仿宋_GB2312" w:cs="仿宋_GB2312" w:eastAsia="仿宋_GB2312"/>
                <w:sz w:val="24"/>
              </w:rPr>
              <w:t>10、投标产品及其所属企业不存在任何知识产权侵权纠纷或潜在纠纷，也从未因知识产权侵权案件被法院强制执行。</w:t>
            </w:r>
          </w:p>
          <w:p>
            <w:pPr>
              <w:pStyle w:val="null3"/>
              <w:ind w:firstLine="480"/>
              <w:jc w:val="both"/>
            </w:pPr>
            <w:r>
              <w:rPr>
                <w:rFonts w:ascii="仿宋_GB2312" w:hAnsi="仿宋_GB2312" w:cs="仿宋_GB2312" w:eastAsia="仿宋_GB2312"/>
                <w:sz w:val="24"/>
              </w:rPr>
              <w:t>11、投标产品及所属企业不存在版权及侵权风险，亦无任何商业数据库商针对其产品或企业行为提出侵权主张（如发送侵权告知函等）。</w:t>
            </w:r>
          </w:p>
          <w:p>
            <w:pPr>
              <w:pStyle w:val="null3"/>
              <w:ind w:firstLine="480"/>
              <w:jc w:val="both"/>
            </w:pPr>
            <w:r>
              <w:rPr>
                <w:rFonts w:ascii="仿宋_GB2312" w:hAnsi="仿宋_GB2312" w:cs="仿宋_GB2312" w:eastAsia="仿宋_GB2312"/>
                <w:sz w:val="24"/>
              </w:rPr>
              <w:t>12、平台支持为每次文献搜索结果提供由AI生成的精炼摘要，快速呈现核心内容。</w:t>
            </w:r>
          </w:p>
          <w:p>
            <w:pPr>
              <w:pStyle w:val="null3"/>
              <w:ind w:firstLine="480"/>
              <w:jc w:val="both"/>
            </w:pPr>
            <w:r>
              <w:rPr>
                <w:rFonts w:ascii="仿宋_GB2312" w:hAnsi="仿宋_GB2312" w:cs="仿宋_GB2312" w:eastAsia="仿宋_GB2312"/>
                <w:sz w:val="24"/>
              </w:rPr>
              <w:t>13、平台支持将文献标题、摘要等关键信息以中英双语对照形式呈现，便于跨语言阅读与比对。</w:t>
            </w:r>
          </w:p>
          <w:p>
            <w:pPr>
              <w:pStyle w:val="null3"/>
              <w:ind w:firstLine="480"/>
              <w:jc w:val="both"/>
            </w:pPr>
            <w:r>
              <w:rPr>
                <w:rFonts w:ascii="仿宋_GB2312" w:hAnsi="仿宋_GB2312" w:cs="仿宋_GB2312" w:eastAsia="仿宋_GB2312"/>
                <w:sz w:val="24"/>
              </w:rPr>
              <w:t>14、平台提供文献综述自动生成功能，可基于多篇关联文献快速梳理研究脉络、归纳核心观点。</w:t>
            </w:r>
          </w:p>
          <w:p>
            <w:pPr>
              <w:pStyle w:val="null3"/>
              <w:ind w:firstLine="480"/>
              <w:jc w:val="both"/>
            </w:pPr>
            <w:r>
              <w:rPr>
                <w:rFonts w:ascii="仿宋_GB2312" w:hAnsi="仿宋_GB2312" w:cs="仿宋_GB2312" w:eastAsia="仿宋_GB2312"/>
                <w:sz w:val="24"/>
              </w:rPr>
              <w:t>15、平台内置AI阅读功能，能对文献内容进行智能翻译、核心解读，并支持用户随时提问互动。</w:t>
            </w: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标的名称：掌阅精选数字阅读平台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1、电子图书与有声图书均为出版社或者版权方正规授权的出版图书，且为同一平台。电子图书资源一级类目20种，有声图书目类25种。电子书应包含小说、文学、艺术、影视原著、社会科学、历史、哲学、心理、法律、医学、青春、传记、生活、政治/军事、科普/互联网+、经济/管理、运动/养生等；听书资源应包含解读书、文学小说、国学经典、名人传记、历史博览、社会科学、成长励志、商业财经、儿童文学、职场精进、政治军事、亲子教育、评书相声等优质分类听书资源。</w:t>
            </w:r>
          </w:p>
          <w:p>
            <w:pPr>
              <w:pStyle w:val="null3"/>
              <w:ind w:firstLine="480"/>
              <w:jc w:val="both"/>
            </w:pPr>
            <w:r>
              <w:rPr>
                <w:rFonts w:ascii="仿宋_GB2312" w:hAnsi="仿宋_GB2312" w:cs="仿宋_GB2312" w:eastAsia="仿宋_GB2312"/>
                <w:sz w:val="24"/>
              </w:rPr>
              <w:t>2、资源数量：书籍总量不少于5万册。为保证电子资源阅读体验，要求电子书为精排版EPUB格式，且具备AI朗读功能，同时书籍扉页须包含明确的版权信息来源，所用的字体均为正版授权字体。有声图书：听书总量不少于10万集，总时长不少于1.6万小时。听书内容为真人真声录制的mp3格式文件。</w:t>
            </w:r>
          </w:p>
          <w:p>
            <w:pPr>
              <w:pStyle w:val="null3"/>
              <w:ind w:firstLine="480"/>
              <w:jc w:val="both"/>
            </w:pPr>
            <w:r>
              <w:rPr>
                <w:rFonts w:ascii="仿宋_GB2312" w:hAnsi="仿宋_GB2312" w:cs="仿宋_GB2312" w:eastAsia="仿宋_GB2312"/>
                <w:sz w:val="24"/>
              </w:rPr>
              <w:t>3、服务方式：系统平台采用互联网访问模式、无需使用VPN等第三方系统，支持提供APP、H5、PC、小程序全终端进行阅读，支持CARSI登录方式，支持用户体系对接及接口对接；</w:t>
            </w:r>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标的名称：上岸考研网</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一、资源方面：</w:t>
            </w:r>
          </w:p>
          <w:p>
            <w:pPr>
              <w:pStyle w:val="null3"/>
              <w:ind w:firstLine="480"/>
              <w:jc w:val="both"/>
            </w:pPr>
            <w:r>
              <w:rPr>
                <w:rFonts w:ascii="仿宋_GB2312" w:hAnsi="仿宋_GB2312" w:cs="仿宋_GB2312" w:eastAsia="仿宋_GB2312"/>
                <w:sz w:val="24"/>
              </w:rPr>
              <w:t>1.学科范围：应至少包含考研政治、考研外语、考研数学、学硕、专硕、同等学力等考研科目，以满足学生的多样化学习需求。</w:t>
            </w:r>
          </w:p>
          <w:p>
            <w:pPr>
              <w:pStyle w:val="null3"/>
              <w:ind w:firstLine="480"/>
              <w:jc w:val="both"/>
            </w:pPr>
            <w:r>
              <w:rPr>
                <w:rFonts w:ascii="仿宋_GB2312" w:hAnsi="仿宋_GB2312" w:cs="仿宋_GB2312" w:eastAsia="仿宋_GB2312"/>
                <w:sz w:val="24"/>
              </w:rPr>
              <w:t>2.视频资源：数据库应提供各类型考试教学指导视频不得少于19000课时。课程设置包含导学课、基础课、精讲课、强化课、真题课、冲刺课等全阶段视频课程，符合学生在线学习行为模式、完全覆盖日常学习与复习备考的各个学习阶段。</w:t>
            </w:r>
          </w:p>
          <w:p>
            <w:pPr>
              <w:pStyle w:val="null3"/>
              <w:ind w:firstLine="480"/>
              <w:jc w:val="both"/>
            </w:pPr>
            <w:r>
              <w:rPr>
                <w:rFonts w:ascii="仿宋_GB2312" w:hAnsi="仿宋_GB2312" w:cs="仿宋_GB2312" w:eastAsia="仿宋_GB2312"/>
                <w:sz w:val="24"/>
              </w:rPr>
              <w:t>3.试卷资源：数据库收录历年真题试卷、仿真模考试卷总量不得低于11万套。</w:t>
            </w:r>
          </w:p>
          <w:p>
            <w:pPr>
              <w:pStyle w:val="null3"/>
              <w:jc w:val="both"/>
            </w:pPr>
            <w:r>
              <w:rPr>
                <w:rFonts w:ascii="仿宋_GB2312" w:hAnsi="仿宋_GB2312" w:cs="仿宋_GB2312" w:eastAsia="仿宋_GB2312"/>
                <w:sz w:val="24"/>
                <w:b/>
              </w:rPr>
              <w:t>二、平台功能方面：</w:t>
            </w:r>
          </w:p>
          <w:p>
            <w:pPr>
              <w:pStyle w:val="null3"/>
              <w:ind w:firstLine="480"/>
              <w:jc w:val="both"/>
            </w:pPr>
            <w:r>
              <w:rPr>
                <w:rFonts w:ascii="仿宋_GB2312" w:hAnsi="仿宋_GB2312" w:cs="仿宋_GB2312" w:eastAsia="仿宋_GB2312"/>
                <w:sz w:val="24"/>
              </w:rPr>
              <w:t>1.数据库应提供课程学练功能，通过“知识元链接”打造“系统化课程体系+智能备考题库”的“双向学习”模式。学生观看视频课程之后及时作答同步练习题、对于不懂不会或答错试题可以随时查看相应的视频课程辅导，帮助学生在学与练的过程中牢固掌握知识点，进而提高学习成效。</w:t>
            </w:r>
          </w:p>
          <w:p>
            <w:pPr>
              <w:pStyle w:val="null3"/>
              <w:ind w:firstLine="480"/>
              <w:jc w:val="both"/>
            </w:pPr>
            <w:r>
              <w:rPr>
                <w:rFonts w:ascii="仿宋_GB2312" w:hAnsi="仿宋_GB2312" w:cs="仿宋_GB2312" w:eastAsia="仿宋_GB2312"/>
                <w:sz w:val="24"/>
              </w:rPr>
              <w:t>2．数据库应提供考研大数据功能，提供招录大数据、国家线（统一划线）大数据、国家线（单独划线）大数据、国家线（专项）大数据四大智能分析模块，通过动态图表、趋势线等形式直观呈现近五年考研分数线变化趋势，为学生提供权威、宏观的考研数据参考，帮助学生了解评估目标专业的竞争态势，有效打破信息壁垒，科学理性选择院校与专业。</w:t>
            </w:r>
          </w:p>
          <w:p>
            <w:pPr>
              <w:pStyle w:val="null3"/>
              <w:ind w:firstLine="480"/>
              <w:jc w:val="both"/>
            </w:pPr>
            <w:r>
              <w:rPr>
                <w:rFonts w:ascii="仿宋_GB2312" w:hAnsi="仿宋_GB2312" w:cs="仿宋_GB2312" w:eastAsia="仿宋_GB2312"/>
                <w:sz w:val="24"/>
              </w:rPr>
              <w:t>3.数据库应提供工具箱功能，须包含院校库、专业库、流程、调剂、复试、推免六大实用工具，提供全国高校和科研院所的招生专业、学科优势、科研实力、师资力量、就业前景等核心信息。考研流程解析覆盖报名、调剂、复试等关键环节，可视化展示从报名到录取的注意事项和操作指南，帮助学生明确考研各阶段的任务和要求，精准规划备考路径。</w:t>
            </w:r>
          </w:p>
          <w:p>
            <w:pPr>
              <w:pStyle w:val="null3"/>
              <w:jc w:val="both"/>
            </w:pPr>
            <w:r>
              <w:rPr>
                <w:rFonts w:ascii="仿宋_GB2312" w:hAnsi="仿宋_GB2312" w:cs="仿宋_GB2312" w:eastAsia="仿宋_GB2312"/>
                <w:sz w:val="24"/>
                <w:b/>
              </w:rPr>
              <w:t>三、售后服务能力要求：</w:t>
            </w:r>
          </w:p>
          <w:p>
            <w:pPr>
              <w:pStyle w:val="null3"/>
              <w:ind w:firstLine="480"/>
              <w:jc w:val="both"/>
            </w:pPr>
            <w:r>
              <w:rPr>
                <w:rFonts w:ascii="仿宋_GB2312" w:hAnsi="仿宋_GB2312" w:cs="仿宋_GB2312" w:eastAsia="仿宋_GB2312"/>
                <w:sz w:val="24"/>
              </w:rPr>
              <w:t>1.提供网络、电话及EMAIL等远程服务，响应时间不超过1小时。若远程服务无法解决问题的，供应商须承诺24小时内提供免费现场服务。</w:t>
            </w:r>
          </w:p>
          <w:p>
            <w:pPr>
              <w:pStyle w:val="null3"/>
              <w:ind w:firstLine="480"/>
              <w:jc w:val="both"/>
            </w:pPr>
            <w:r>
              <w:rPr>
                <w:rFonts w:ascii="仿宋_GB2312" w:hAnsi="仿宋_GB2312" w:cs="仿宋_GB2312" w:eastAsia="仿宋_GB2312"/>
                <w:sz w:val="24"/>
              </w:rPr>
              <w:t>2.在使用过程中，无论任何原因导致的数据库异常或无法使用的情况，均由供应商提供免费维护服务。</w:t>
            </w:r>
          </w:p>
          <w:p>
            <w:pPr>
              <w:pStyle w:val="null3"/>
              <w:ind w:firstLine="480"/>
              <w:jc w:val="both"/>
            </w:pPr>
            <w:r>
              <w:rPr>
                <w:rFonts w:ascii="仿宋_GB2312" w:hAnsi="仿宋_GB2312" w:cs="仿宋_GB2312" w:eastAsia="仿宋_GB2312"/>
                <w:sz w:val="24"/>
              </w:rPr>
              <w:t>3.供应商须每年提供免费宣传服务。</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交付期限：自合同签订之日起 30 日；质保期：1年，在质保期内乙方应提供本项目所有产品的售后服务并承担全部费用。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交付期限：自合同签订之日起 30 日；质保期：1年，在质保期内乙方应提供本项目所有产品的售后服务并承担全部费用。</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交付期限：自合同签订之日起 30 日；质保期：1年，在质保期内乙方应提供本项目所有产品的售后服务并承担全部费用。</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交付期限：自合同签订之日起 30 日；质保期：1年，在质保期内乙方应提供本项目所有产品的售后服务并承担全部费用。</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交付期限：自合同签订之日起 30 日；质保期：1年，在质保期内乙方应提供本项目所有产品的售后服务并承担全部费用。</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交付期限：自合同签订之日起 30 日；质保期：1年，在质保期内乙方应提供本项目所有产品的售后服务并承担全部费用。</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交付期限：自合同签订之日起 30 日；质保期：1年，在质保期内乙方应提供本项目所有产品的售后服务并承担全部费用。</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交付期限：自合同签订之日起 30 日；质保期：1年，在质保期内乙方应提供本项目所有产品的售后服务并承担全部费用。</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交付期限：自合同签订之日起 30 日；质保期：1年，在质保期内乙方应提供本项目所有产品的售后服务并承担全部费用。</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交付期限：自合同签订之日起 30 日；质保期：1年，在质保期内乙方应提供本项目所有产品的售后服务并承担全部费用。</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安康学院</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安康学院</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安康学院</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安康学院</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安康学院</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安康学院</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安康学院</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安康学院</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安康学院</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安康学院</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进度款，双方在合同签订后，资源开通完毕并经终验合格后，达到付款条件起10个工作日内，支付合同总金额的100.0%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进度款，双方在合同签订后，资源开通完毕并经终验合格后，达到付款条件起10个工作日内，支付合同总金额的100.0%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进度款，双方在合同签订后，资源开通完毕并经终验合格后，达到付款条件起10个工作日内，支付合同总金额的100.0%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进度款，双方在合同签订后，资源开通完毕并经终验合格后，达到付款条件起10个工作日内，支付合同总金额的100.0%</w:t>
      </w:r>
    </w:p>
    <w:p>
      <w:pPr>
        <w:pStyle w:val="null3"/>
      </w:pPr>
      <w:r>
        <w:rPr>
          <w:rFonts w:ascii="仿宋_GB2312" w:hAnsi="仿宋_GB2312" w:cs="仿宋_GB2312" w:eastAsia="仿宋_GB2312"/>
        </w:rPr>
        <w:t>采购包5：</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进度款，双方在合同签订后，资源开通完毕并经终验合格后，达到付款条件起10个工作日内，支付合同总金额的100.0%</w:t>
      </w:r>
    </w:p>
    <w:p>
      <w:pPr>
        <w:pStyle w:val="null3"/>
      </w:pPr>
      <w:r>
        <w:rPr>
          <w:rFonts w:ascii="仿宋_GB2312" w:hAnsi="仿宋_GB2312" w:cs="仿宋_GB2312" w:eastAsia="仿宋_GB2312"/>
        </w:rPr>
        <w:t>采购包6：</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进度款，双方在合同签订后，资源开通完毕并经终验合格后，达到付款条件起10个工作日内，支付合同总金额的100.0%</w:t>
      </w:r>
    </w:p>
    <w:p>
      <w:pPr>
        <w:pStyle w:val="null3"/>
      </w:pPr>
      <w:r>
        <w:rPr>
          <w:rFonts w:ascii="仿宋_GB2312" w:hAnsi="仿宋_GB2312" w:cs="仿宋_GB2312" w:eastAsia="仿宋_GB2312"/>
        </w:rPr>
        <w:t>采购包7：</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进度款，双方在合同签订后，资源开通完毕并经终验合格后，达到付款条件起10个工作日内，支付合同总金额的100.0%</w:t>
      </w:r>
    </w:p>
    <w:p>
      <w:pPr>
        <w:pStyle w:val="null3"/>
      </w:pPr>
      <w:r>
        <w:rPr>
          <w:rFonts w:ascii="仿宋_GB2312" w:hAnsi="仿宋_GB2312" w:cs="仿宋_GB2312" w:eastAsia="仿宋_GB2312"/>
        </w:rPr>
        <w:t>采购包8：</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进度款，双方在合同签订后，资源开通完毕并经终验合格后，达到付款条件起10个工作日内，支付合同总金额的100.0%</w:t>
      </w:r>
    </w:p>
    <w:p>
      <w:pPr>
        <w:pStyle w:val="null3"/>
      </w:pPr>
      <w:r>
        <w:rPr>
          <w:rFonts w:ascii="仿宋_GB2312" w:hAnsi="仿宋_GB2312" w:cs="仿宋_GB2312" w:eastAsia="仿宋_GB2312"/>
        </w:rPr>
        <w:t>采购包9：</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进度款，双方在合同签订后，资源开通完毕并经终验合格后，达到付款条件起10个工作日内，支付合同总金额的100.0%</w:t>
      </w:r>
    </w:p>
    <w:p>
      <w:pPr>
        <w:pStyle w:val="null3"/>
      </w:pPr>
      <w:r>
        <w:rPr>
          <w:rFonts w:ascii="仿宋_GB2312" w:hAnsi="仿宋_GB2312" w:cs="仿宋_GB2312" w:eastAsia="仿宋_GB2312"/>
        </w:rPr>
        <w:t>采购包10：</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进度款，双方在合同签订后，资源开通完毕并经终验合格后，达到付款条件起10个工作日内，支付合同总金额的100.0%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验收标准：安康学院图书馆组成验收小组，验收小组对供应商提供的数据库名称、技术性能、数量、服务承诺等，对照政府采购合同、供应商投标（响应）文件等逐项进行核对和验收。 验收流程为两级验收：安康学院图书馆初步验收合格后向学校提交初验报告单，由学校组织验收小组进行终验。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安康学院图书馆组成验收小组，验收小组对供应商提供的数据库名称、技术性能、数量、服务承诺等，对照政府采购合同、供应商投标（响应）文件等逐项进行核对和验收。 验收流程为两级验收：安康学院图书馆初步验收合格后向学校提交初验报告单，由学校组织验收小组进行终验。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安康学院图书馆组成验收小组，验收小组对供应商提供的数据库名称、技术性能、数量、服务承诺等，对照政府采购合同、供应商投标（响应）文件等逐项进行核对和验收。 验收流程为两级验收：安康学院图书馆初步验收合格后向学校提交初验报告单，由学校组织验收小组进行终验。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安康学院图书馆组成验收小组，验收小组对供应商提供的数据库名称、技术性能、数量、服务承诺等，对照政府采购合同、供应商投标（响应）文件等逐项进行核对和验收。 验收流程为两级验收：安康学院图书馆初步验收合格后向学校提交初验报告单，由学校组织验收小组进行终验。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安康学院图书馆组成验收小组，验收小组对供应商提供的数据库名称、技术性能、数量、服务承诺等，对照政府采购合同、供应商投标（响应）文件等逐项进行核对和验收。 验收流程为两级验收：安康学院图书馆初步验收合格后向学校提交初验报告单，由学校组织验收小组进行终验。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安康学院图书馆组成验收小组，验收小组对供应商提供的数据库名称、技术性能、数量、服务承诺等，对照政府采购合同、供应商投标（响应）文件等逐项进行核对和验收。 验收流程为两级验收：安康学院图书馆初步验收合格后向学校提交初验报告单，由学校组织验收小组进行终验。</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安康学院图书馆组成验收小组，验收小组对供应商提供的数据库名称、技术性能、数量、服务承诺等，对照政府采购合同、供应商投标（响应）文件等逐项进行核对和验收。 验收流程为两级验收：安康学院图书馆初步验收合格后向学校提交初验报告单，由学校组织验收小组进行终验。</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安康学院图书馆组成验收小组，验收小组对供应商提供的数据库名称、技术性能、数量、服务承诺等，对照政府采购合同、供应商投标（响应）文件等逐项进行核对和验收。 验收流程为两级验收：安康学院图书馆初步验收合格后向学校提交初验报告单，由学校组织验收小组进行终验。</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安康学院图书馆组成验收小组，验收小组对供应商提供的数据库名称、技术性能、数量、服务承诺等，对照政府采购合同、供应商投标（响应）文件等逐项进行核对和验收。 验收流程为两级验收：安康学院图书馆初步验收合格后向学校提交初验报告单，由学校组织验收小组进行终验。</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安康学院图书馆组成验收小组，验收小组对供应商提供的数据库名称、技术性能、数量、服务承诺等，对照政府采购合同、供应商投标（响应）文件等逐项进行核对和验收。 验收流程为两级验收：安康学院图书馆初步验收合格后向学校提交初验报告单，由学校组织验收小组进行终验。</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按《民法典》等国家相关法律法规执行，或按双方约定。如有纠纷，双方友好协商解决，协商不成时应向安康市人民法院起诉 。</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按《民法典》等国家相关法律法规执行，或按双方约定。如有纠纷，双方友好协商解决，协商不成时应向安康市人民法院起诉 。</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按《民法典》等国家相关法律法规执行，或按双方约定。如有纠纷，双方友好协商解决，协商不成时应向安康市人民法院起诉 。</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按《民法典》等国家相关法律法规执行，或按双方约定。如有纠纷，双方友好协商解决，协商不成时应向安康市人民法院起诉 。</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按《民法典》等国家相关法律法规执行，或按双方约定。如有纠纷，双方友好协商解决，协商不成时应向安康市人民法院起诉 。</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按《民法典》等国家相关法律法规执行，或按双方约定。如有纠纷，双方友好协商解决，协商不成时应向安康市人民法院起诉 。</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按《民法典》等国家相关法律法规执行，或按双方约定。如有纠纷，双方友好协商解决，协商不成时应向安康市人民法院起诉 。</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按《民法典》等国家相关法律法规执行，或按双方约定。如有纠纷，双方友好协商解决，协商不成时应向安康市人民法院起诉 。</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按《民法典》等国家相关法律法规执行，或按双方约定。如有纠纷，双方友好协商解决，协商不成时应向安康市人民法院起诉 。</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按《民法典》等国家相关法律法规执行，或按双方约定。如有纠纷，双方友好协商解决，协商不成时应向安康市人民法院起诉 。</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1、供应商需要在线提交所有通过电子化交易平台实施的政府采购项目的响应文件。同时，编辑目录和页码，线下提交纸质响应文件正本壹份、副本贰份、电子版壹份（U盘壹份）。 2、纸质响应文件正、副本分别胶装，标明供应商名称密封递交（响应文件采用双面打印）。 3、线下纸质响应文件递交截止时间：同在线递交电子响应文件截止时间一致；线下纸质响应文件递交地点：西安市雁展路1111号莱安中心T6-15层。如需邮寄投标文件，仅接受顺丰速运（联系人：温虎、联系电话：029-81206622-820）。 4、保证金的退还：自采购合同签订之日起5个工作日内退还成交供应商的投标保证金。 5、采购人应按照采购文件和成交供应商响应文件，在成交通知书发出之日起25日内签订合同。 6、需要落实的政府采购政策： （1）《政府采购促进中小企业发展管理办法》的通知--财库〔2020〕46号 （2）财政部司法部关于政府采购支持监狱企业发展有关问题的通知--财库[2014]68号 （3）《财政部 发展改革委 生态环境部 市场监管总局关于调整优化节能产品环境标志产品政府采购执行机制的通知》（财库〔2019〕9号） （4）《关于促进残疾人就业政府采购政策的通知》（财库[2017]141号） （5）《关于运用政府采购政策支持乡村产业振兴的通知》财库〔2021〕19号 （6）《陕西省财政厅关于印发&lt;陕西省中小企业政府采购信用融资办法&gt;的通知》（陕财办采〔2018〕23号） （7）《关于进一步加大政府采购支持中小企业力度的通知》财库〔2022〕19号 （8）《关于推动解决政府采购异常低价问题的通知》财库〔2026〕2号 （9）其他需要落实的政府采购政策。</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1、供应商需要在线提交所有通过电子化交易平台实施的政府采购项目的响应文件。同时，编辑目录和页码，线下提交纸质响应文件正本壹份、副本贰份、电子版壹份（U盘壹份）。 2、纸质响应文件正、副本分别胶装，标明供应商名称密封递交（响应文件采用双面打印）。 3、线下纸质响应文件递交截止时间：同在线递交电子响应文件截止时间一致；线下纸质响应文件递交地点：西安市雁展路1111号莱安中心T6-15层。如需邮寄投标文件，仅接受顺丰速运（联系人：温虎、联系电话：029-81206622-820）。 4、保证金的退还：自采购合同签订之日起5个工作日内退还成交供应商的投标保证金。 5、采购人应按照采购文件和成交供应商响应文件，在成交通知书发出之日起25日内签订合同。 6、需要落实的政府采购政策： （1）《政府采购促进中小企业发展管理办法》的通知--财库〔2020〕46号 （2）财政部司法部关于政府采购支持监狱企业发展有关问题的通知--财库[2014]68号 （3）《财政部 发展改革委 生态环境部 市场监管总局关于调整优化节能产品环境标志产品政府采购执行机制的通知》（财库〔2019〕9号） （4）《关于促进残疾人就业政府采购政策的通知》（财库[2017]141号） （5）《关于运用政府采购政策支持乡村产业振兴的通知》财库〔2021〕19号 （6）《陕西省财政厅关于印发&lt;陕西省中小企业政府采购信用融资办法&gt;的通知》（陕财办采〔2018〕23号） （7）《关于进一步加大政府采购支持中小企业力度的通知》财库〔2022〕19号 （8）《关于推动解决政府采购异常低价问题的通知》财库〔2026〕2号 （9）其他需要落实的政府采购政策。</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1、供应商需要在线提交所有通过电子化交易平台实施的政府采购项目的响应文件。同时，编辑目录和页码，线下提交纸质响应文件正本壹份、副本贰份、电子版壹份（U盘壹份）。 2、纸质响应文件正、副本分别胶装，标明供应商名称密封递交（响应文件采用双面打印）。 3、线下纸质响应文件递交截止时间：同在线递交电子响应文件截止时间一致；线下纸质响应文件递交地点：西安市雁展路1111号莱安中心T6-15层。如需邮寄投标文件，仅接受顺丰速运（联系人：温虎、联系电话：029-81206622-820）。 4、保证金的退还：自采购合同签订之日起5个工作日内退还成交供应商的投标保证金。 5、采购人应按照采购文件和成交供应商响应文件，在成交通知书发出之日起25日内签订合同。 6、需要落实的政府采购政策： （1）《政府采购促进中小企业发展管理办法》的通知--财库〔2020〕46号 （2）财政部司法部关于政府采购支持监狱企业发展有关问题的通知--财库[2014]68号 （3）《财政部 发展改革委 生态环境部 市场监管总局关于调整优化节能产品环境标志产品政府采购执行机制的通知》（财库〔2019〕9号） （4）《关于促进残疾人就业政府采购政策的通知》（财库[2017]141号） （5）《关于运用政府采购政策支持乡村产业振兴的通知》财库〔2021〕19号 （6）《陕西省财政厅关于印发&lt;陕西省中小企业政府采购信用融资办法&gt;的通知》（陕财办采〔2018〕23号） （7）《关于进一步加大政府采购支持中小企业力度的通知》财库〔2022〕19号 （8）《关于推动解决政府采购异常低价问题的通知》财库〔2026〕2号 （9）其他需要落实的政府采购政策。</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1、供应商需要在线提交所有通过电子化交易平台实施的政府采购项目的响应文件。同时，编辑目录和页码，线下提交纸质响应文件正本壹份、副本贰份、电子版壹份（U盘壹份）。 2、纸质响应文件正、副本分别胶装，标明供应商名称密封递交（响应文件采用双面打印）。 3、线下纸质响应文件递交截止时间：同在线递交电子响应文件截止时间一致；线下纸质响应文件递交地点：西安市雁展路1111号莱安中心T6-15层。如需邮寄投标文件，仅接受顺丰速运（联系人：温虎、联系电话：029-81206622-820）。 4、保证金的退还：自采购合同签订之日起5个工作日内退还成交供应商的投标保证金。 5、采购人应按照采购文件和成交供应商响应文件，在成交通知书发出之日起25日内签订合同。 6、需要落实的政府采购政策： （1）《政府采购促进中小企业发展管理办法》的通知--财库〔2020〕46号 （2）财政部司法部关于政府采购支持监狱企业发展有关问题的通知--财库[2014]68号 （3）《财政部 发展改革委 生态环境部 市场监管总局关于调整优化节能产品环境标志产品政府采购执行机制的通知》（财库〔2019〕9号） （4）《关于促进残疾人就业政府采购政策的通知》（财库[2017]141号） （5）《关于运用政府采购政策支持乡村产业振兴的通知》财库〔2021〕19号 （6）《陕西省财政厅关于印发&lt;陕西省中小企业政府采购信用融资办法&gt;的通知》（陕财办采〔2018〕23号） （7）《关于进一步加大政府采购支持中小企业力度的通知》财库〔2022〕19号 （8）《关于推动解决政府采购异常低价问题的通知》财库〔2026〕2号 （9）其他需要落实的政府采购政策。</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1、供应商需要在线提交所有通过电子化交易平台实施的政府采购项目的响应文件。同时，编辑目录和页码，线下提交纸质响应文件正本壹份、副本贰份、电子版壹份（U盘壹份）。 2、纸质响应文件正、副本分别胶装，标明供应商名称密封递交（响应文件采用双面打印）。 3、线下纸质响应文件递交截止时间：同在线递交电子响应文件截止时间一致；线下纸质响应文件递交地点：西安市雁展路1111号莱安中心T6-15层。如需邮寄投标文件，仅接受顺丰速运（联系人：温虎、联系电话：029-81206622-820）。 4、保证金的退还：自采购合同签订之日起5个工作日内退还成交供应商的投标保证金。 5、采购人应按照采购文件和成交供应商响应文件，在成交通知书发出之日起25日内签订合同。 6、需要落实的政府采购政策： （1）《政府采购促进中小企业发展管理办法》的通知--财库〔2020〕46号 （2）财政部司法部关于政府采购支持监狱企业发展有关问题的通知--财库[2014]68号 （3）《财政部 发展改革委 生态环境部 市场监管总局关于调整优化节能产品环境标志产品政府采购执行机制的通知》（财库〔2019〕9号） （4）《关于促进残疾人就业政府采购政策的通知》（财库[2017]141号） （5）《关于运用政府采购政策支持乡村产业振兴的通知》财库〔2021〕19号 （6）《陕西省财政厅关于印发&lt;陕西省中小企业政府采购信用融资办法&gt;的通知》（陕财办采〔2018〕23号） （7）《关于进一步加大政府采购支持中小企业力度的通知》财库〔2022〕19号 （8）《关于推动解决政府采购异常低价问题的通知》财库〔2026〕2号 （9）其他需要落实的政府采购政策。</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1、供应商需要在线提交所有通过电子化交易平台实施的政府采购项目的响应文件。同时，编辑目录和页码，线下提交纸质响应文件正本壹份、副本贰份、电子版壹份（U盘壹份）。 2、纸质响应文件正、副本分别胶装，标明供应商名称密封递交（响应文件采用双面打印）。 3、线下纸质响应文件递交截止时间：同在线递交电子响应文件截止时间一致；线下纸质响应文件递交地点：西安市雁展路1111号莱安中心T6-15层。如需邮寄投标文件，仅接受顺丰速运（联系人：温虎、联系电话：029-81206622-820）。 4、保证金的退还：自采购合同签订之日起5个工作日内退还成交供应商的投标保证金。 5、采购人应按照采购文件和成交供应商响应文件，在成交通知书发出之日起25日内签订合同。 6、需要落实的政府采购政策： （1）《政府采购促进中小企业发展管理办法》的通知--财库〔2020〕46号 （2）财政部司法部关于政府采购支持监狱企业发展有关问题的通知--财库[2014]68号 （3）《财政部 发展改革委 生态环境部 市场监管总局关于调整优化节能产品环境标志产品政府采购执行机制的通知》（财库〔2019〕9号） （4）《关于促进残疾人就业政府采购政策的通知》（财库[2017]141号） （5）《关于运用政府采购政策支持乡村产业振兴的通知》财库〔2021〕19号 （6）《陕西省财政厅关于印发&lt;陕西省中小企业政府采购信用融资办法&gt;的通知》（陕财办采〔2018〕23号） （7）《关于进一步加大政府采购支持中小企业力度的通知》财库〔2022〕19号 （8）《关于推动解决政府采购异常低价问题的通知》财库〔2026〕2号 （9）其他需要落实的政府采购政策。</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1、供应商需要在线提交所有通过电子化交易平台实施的政府采购项目的响应文件。同时，编辑目录和页码，线下提交纸质响应文件正本壹份、副本贰份、电子版壹份（U盘壹份）。 2、纸质响应文件正、副本分别胶装，标明供应商名称密封递交（响应文件采用双面打印）。 3、线下纸质响应文件递交截止时间：同在线递交电子响应文件截止时间一致；线下纸质响应文件递交地点：西安市雁展路1111号莱安中心T6-15层。如需邮寄投标文件，仅接受顺丰速运（联系人：温虎、联系电话：029-81206622-820）。 4、保证金的退还：自采购合同签订之日起5个工作日内退还成交供应商的投标保证金。 5、采购人应按照采购文件和成交供应商响应文件，在成交通知书发出之日起25日内签订合同。 6、需要落实的政府采购政策： （1）《政府采购促进中小企业发展管理办法》的通知--财库〔2020〕46号 （2）财政部司法部关于政府采购支持监狱企业发展有关问题的通知--财库[2014]68号 （3）《财政部 发展改革委 生态环境部 市场监管总局关于调整优化节能产品环境标志产品政府采购执行机制的通知》（财库〔2019〕9号） （4）《关于促进残疾人就业政府采购政策的通知》（财库[2017]141号） （5）《关于运用政府采购政策支持乡村产业振兴的通知》财库〔2021〕19号 （6）《陕西省财政厅关于印发&lt;陕西省中小企业政府采购信用融资办法&gt;的通知》（陕财办采〔2018〕23号） （7）《关于进一步加大政府采购支持中小企业力度的通知》财库〔2022〕19号 （8）《关于推动解决政府采购异常低价问题的通知》财库〔2026〕2号 （9）其他需要落实的政府采购政策。</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1、供应商需要在线提交所有通过电子化交易平台实施的政府采购项目的响应文件。同时，编辑目录和页码，线下提交纸质响应文件正本壹份、副本贰份、电子版壹份（U盘壹份）。 2、纸质响应文件正、副本分别胶装，标明供应商名称密封递交（响应文件采用双面打印）。 3、线下纸质响应文件递交截止时间：同在线递交电子响应文件截止时间一致；线下纸质响应文件递交地点：西安市雁展路1111号莱安中心T6-15层。如需邮寄投标文件，仅接受顺丰速运（联系人：温虎、联系电话：029-81206622-820）。 4、保证金的退还：自采购合同签订之日起5个工作日内退还成交供应商的投标保证金。 5、采购人应按照采购文件和成交供应商响应文件，在成交通知书发出之日起25日内签订合同。 6、需要落实的政府采购政策： （1）《政府采购促进中小企业发展管理办法》的通知--财库〔2020〕46号 （2）财政部司法部关于政府采购支持监狱企业发展有关问题的通知--财库[2014]68号 （3）《财政部 发展改革委 生态环境部 市场监管总局关于调整优化节能产品环境标志产品政府采购执行机制的通知》（财库〔2019〕9号） （4）《关于促进残疾人就业政府采购政策的通知》（财库[2017]141号） （5）《关于运用政府采购政策支持乡村产业振兴的通知》财库〔2021〕19号 （6）《陕西省财政厅关于印发&lt;陕西省中小企业政府采购信用融资办法&gt;的通知》（陕财办采〔2018〕23号） （7）《关于进一步加大政府采购支持中小企业力度的通知》财库〔2022〕19号 （8）《关于推动解决政府采购异常低价问题的通知》财库〔2026〕2号 （9）其他需要落实的政府采购政策。</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1、供应商需要在线提交所有通过电子化交易平台实施的政府采购项目的响应文件。同时，编辑目录和页码，线下提交纸质响应文件正本壹份、副本贰份、电子版壹份（U盘壹份）。 2、纸质响应文件正、副本分别胶装，标明供应商名称密封递交（响应文件采用双面打印）。 3、线下纸质响应文件递交截止时间：同在线递交电子响应文件截止时间一致；线下纸质响应文件递交地点：西安市雁展路1111号莱安中心T6-15层。如需邮寄投标文件，仅接受顺丰速运（联系人：温虎、联系电话：029-81206622-820）。 4、保证金的退还：自采购合同签订之日起5个工作日内退还成交供应商的投标保证金。 5、采购人应按照采购文件和成交供应商响应文件，在成交通知书发出之日起25日内签订合同。 6、需要落实的政府采购政策： （1）《政府采购促进中小企业发展管理办法》的通知--财库〔2020〕46号 （2）财政部司法部关于政府采购支持监狱企业发展有关问题的通知--财库[2014]68号 （3）《财政部 发展改革委 生态环境部 市场监管总局关于调整优化节能产品环境标志产品政府采购执行机制的通知》（财库〔2019〕9号） （4）《关于促进残疾人就业政府采购政策的通知》（财库[2017]141号） （5）《关于运用政府采购政策支持乡村产业振兴的通知》财库〔2021〕19号 （6）《陕西省财政厅关于印发&lt;陕西省中小企业政府采购信用融资办法&gt;的通知》（陕财办采〔2018〕23号） （7）《关于进一步加大政府采购支持中小企业力度的通知》财库〔2022〕19号 （8）《关于推动解决政府采购异常低价问题的通知》财库〔2026〕2号 （9）其他需要落实的政府采购政策。</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1、供应商需要在线提交所有通过电子化交易平台实施的政府采购项目的响应文件。同时，编辑目录和页码，线下提交纸质响应文件正本壹份、副本贰份、电子版壹份（U盘壹份）。 2、纸质响应文件正、副本分别胶装，标明供应商名称密封递交（响应文件采用双面打印）。 3、线下纸质响应文件递交截止时间：同在线递交电子响应文件截止时间一致；线下纸质响应文件递交地点：西安市雁展路1111号莱安中心T6-15层。如需邮寄投标文件，仅接受顺丰速运（联系人：温虎、联系电话：029-81206622-820）。 4、保证金的退还：自采购合同签订之日起5个工作日内退还成交供应商的投标保证金。 5、采购人应按照采购文件和成交供应商响应文件，在成交通知书发出之日起25日内签订合同。 6、需要落实的政府采购政策： （1）《政府采购促进中小企业发展管理办法》的通知--财库〔2020〕46号 （2）财政部司法部关于政府采购支持监狱企业发展有关问题的通知--财库[2014]68号 （3）《财政部 发展改革委 生态环境部 市场监管总局关于调整优化节能产品环境标志产品政府采购执行机制的通知》（财库〔2019〕9号） （4）《关于促进残疾人就业政府采购政策的通知》（财库[2017]141号） （5）《关于运用政府采购政策支持乡村产业振兴的通知》财库〔2021〕19号 （6）《陕西省财政厅关于印发&lt;陕西省中小企业政府采购信用融资办法&gt;的通知》（陕财办采〔2018〕23号） （7）《关于进一步加大政府采购支持中小企业力度的通知》财库〔2022〕19号 （8）《关于推动解决政府采购异常低价问题的通知》财库〔2026〕2号 （9）其他需要落实的政府采购政策。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成立时间至提交响应文件截止时间不足一年的可提供成立后任意时段的资产负债表），或其谈判前六个月内银行出具的资信证明。（以上两种形式的资料提供任何一种即可）</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提供2025年5月至今已缴纳至少一个月的依法缴纳税款的相关凭据（时间以税款所属日期为准），凭据应有税务机关或代收机关的公章或业务专用章。依法免税或无须缴纳税款的供应商，应提供相关证明文件。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提供2025年5月至今已缴存的至少一个月的社会保障资金缴存单据或社保机构开具的社会保险参保缴费情况证明，依法不需要缴纳社会保障资金的单位应提供相关证明材料。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法定代表人授权书及被授权人身份证明。（法定代表人直接谈判只须提交其身份证明）</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成立时间至提交响应文件截止时间不足一年的可提供成立后任意时段的资产负债表），或其谈判前六个月内银行出具的资信证明。（以上两种形式的资料提供任何一种即可）</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提供2025年5月至今已缴纳至少一个月的依法缴纳税款的相关凭据（时间以税款所属日期为准），凭据应有税务机关或代收机关的公章或业务专用章。依法免税或无须缴纳税款的供应商，应提供相关证明文件。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提供2025年5月至今已缴存的至少一个月的社会保障资金缴存单据或社保机构开具的社会保险参保缴费情况证明，依法不需要缴纳社会保障资金的单位应提供相关证明材料。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法定代表人授权书及被授权人身份证明。（法定代表人直接谈判只须提交其身份证明）</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成立时间至提交响应文件截止时间不足一年的可提供成立后任意时段的资产负债表），或其谈判前六个月内银行出具的资信证明。（以上两种形式的资料提供任何一种即可）</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提供2025年5月至今已缴纳至少一个月的依法缴纳税款的相关凭据（时间以税款所属日期为准），凭据应有税务机关或代收机关的公章或业务专用章。依法免税或无须缴纳税款的供应商，应提供相关证明文件。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提供2025年5月至今已缴存的至少一个月的社会保障资金缴存单据或社保机构开具的社会保险参保缴费情况证明，依法不需要缴纳社会保障资金的单位应提供相关证明材料。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法定代表人授权书及被授权人身份证明。（法定代表人直接谈判只须提交其身份证明）</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成立时间至提交响应文件截止时间不足一年的可提供成立后任意时段的资产负债表），或其谈判前六个月内银行出具的资信证明。（以上两种形式的资料提供任何一种即可）</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提供2025年5月至今已缴纳至少一个月的依法缴纳税款的相关凭据（时间以税款所属日期为准），凭据应有税务机关或代收机关的公章或业务专用章。依法免税或无须缴纳税款的供应商，应提供相关证明文件。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提供2025年5月至今已缴存的至少一个月的社会保障资金缴存单据或社保机构开具的社会保险参保缴费情况证明，依法不需要缴纳社会保障资金的单位应提供相关证明材料。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法定代表人授权书及被授权人身份证明。（法定代表人直接谈判只须提交其身份证明）</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成立时间至提交响应文件截止时间不足一年的可提供成立后任意时段的资产负债表），或其谈判前六个月内银行出具的资信证明。（以上两种形式的资料提供任何一种即可）</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提供2025年5月至今已缴纳至少一个月的依法缴纳税款的相关凭据（时间以税款所属日期为准），凭据应有税务机关或代收机关的公章或业务专用章。依法免税或无须缴纳税款的供应商，应提供相关证明文件。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提供2025年5月至今已缴存的至少一个月的社会保障资金缴存单据或社保机构开具的社会保险参保缴费情况证明，依法不需要缴纳社会保障资金的单位应提供相关证明材料。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法定代表人授权书及被授权人身份证明。（法定代表人直接谈判只须提交其身份证明）</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成立时间至提交响应文件截止时间不足一年的可提供成立后任意时段的资产负债表），或其谈判前六个月内银行出具的资信证明。（以上两种形式的资料提供任何一种即可）</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提供2025年5月至今已缴纳至少一个月的依法缴纳税款的相关凭据（时间以税款所属日期为准），凭据应有税务机关或代收机关的公章或业务专用章。依法免税或无须缴纳税款的供应商，应提供相关证明文件。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提供2025年5月至今已缴存的至少一个月的社会保障资金缴存单据或社保机构开具的社会保险参保缴费情况证明，依法不需要缴纳社会保障资金的单位应提供相关证明材料。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法定代表人授权书及被授权人身份证明。（法定代表人直接谈判只须提交其身份证明）</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成立时间至提交响应文件截止时间不足一年的可提供成立后任意时段的资产负债表），或其谈判前六个月内银行出具的资信证明。（以上两种形式的资料提供任何一种即可）</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提供2025年5月至今已缴纳至少一个月的依法缴纳税款的相关凭据（时间以税款所属日期为准），凭据应有税务机关或代收机关的公章或业务专用章。依法免税或无须缴纳税款的供应商，应提供相关证明文件。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提供2025年5月至今已缴存的至少一个月的社会保障资金缴存单据或社保机构开具的社会保险参保缴费情况证明，依法不需要缴纳社会保障资金的单位应提供相关证明材料。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法定代表人授权书及被授权人身份证明。（法定代表人直接谈判只须提交其身份证明）</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成立时间至提交响应文件截止时间不足一年的可提供成立后任意时段的资产负债表），或其谈判前六个月内银行出具的资信证明。（以上两种形式的资料提供任何一种即可）</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提供2025年5月至今已缴纳至少一个月的依法缴纳税款的相关凭据（时间以税款所属日期为准），凭据应有税务机关或代收机关的公章或业务专用章。依法免税或无须缴纳税款的供应商，应提供相关证明文件。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提供2025年5月至今已缴存的至少一个月的社会保障资金缴存单据或社保机构开具的社会保险参保缴费情况证明，依法不需要缴纳社会保障资金的单位应提供相关证明材料。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法定代表人授权书及被授权人身份证明。（法定代表人直接谈判只须提交其身份证明）</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成立时间至提交响应文件截止时间不足一年的可提供成立后任意时段的资产负债表），或其谈判前六个月内银行出具的资信证明。（以上两种形式的资料提供任何一种即可）</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提供2025年5月至今已缴纳至少一个月的依法缴纳税款的相关凭据（时间以税款所属日期为准），凭据应有税务机关或代收机关的公章或业务专用章。依法免税或无须缴纳税款的供应商，应提供相关证明文件。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提供2025年5月至今已缴存的至少一个月的社会保障资金缴存单据或社保机构开具的社会保险参保缴费情况证明，依法不需要缴纳社会保障资金的单位应提供相关证明材料。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法定代表人授权书及被授权人身份证明。（法定代表人直接谈判只须提交其身份证明）</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成立时间至提交响应文件截止时间不足一年的可提供成立后任意时段的资产负债表），或其谈判前六个月内银行出具的资信证明。（以上两种形式的资料提供任何一种即可）</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提供2025年5月至今已缴纳至少一个月的依法缴纳税款的相关凭据（时间以税款所属日期为准），凭据应有税务机关或代收机关的公章或业务专用章。依法免税或无须缴纳税款的供应商，应提供相关证明文件。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提供2025年5月至今已缴存的至少一个月的社会保障资金缴存单据或社保机构开具的社会保险参保缴费情况证明，依法不需要缴纳社会保障资金的单位应提供相关证明材料。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法定代表人授权书及被授权人身份证明。（法定代表人直接谈判只须提交其身份证明）</w:t>
            </w:r>
          </w:p>
        </w:tc>
        <w:tc>
          <w:tcPr>
            <w:tcW w:type="dxa" w:w="1661"/>
          </w:tcPr>
          <w:p>
            <w:pPr>
              <w:pStyle w:val="null3"/>
            </w:pPr>
            <w:r>
              <w:rPr>
                <w:rFonts w:ascii="仿宋_GB2312" w:hAnsi="仿宋_GB2312" w:cs="仿宋_GB2312" w:eastAsia="仿宋_GB2312"/>
              </w:rPr>
              <w:t>供应商资格证明文件.docx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响应方案说明.docx 中小企业声明函 报价表 供应商承诺书.docx 商务条款响应说明.docx 响应文件封面 分项报价表.docx 残疾人福利性单位声明函 标的清单 服务内容及服务要求应答表.docx 供应商资格证明文件.docx 响应函 报价表.docx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响应文件按单一来源采购文件要求签字盖章。</w:t>
            </w:r>
          </w:p>
        </w:tc>
        <w:tc>
          <w:tcPr>
            <w:tcW w:type="dxa" w:w="1661"/>
          </w:tcPr>
          <w:p>
            <w:pPr>
              <w:pStyle w:val="null3"/>
            </w:pPr>
            <w:r>
              <w:rPr>
                <w:rFonts w:ascii="仿宋_GB2312" w:hAnsi="仿宋_GB2312" w:cs="仿宋_GB2312" w:eastAsia="仿宋_GB2312"/>
              </w:rPr>
              <w:t>响应方案说明.docx 中小企业声明函 报价表 供应商承诺书.docx 商务条款响应说明.docx 响应文件封面 分项报价表.docx 残疾人福利性单位声明函 标的清单 服务内容及服务要求应答表.docx 供应商资格证明文件.docx 响应函 报价表.docx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谈判有效期达到单一来源采购文件要求。</w:t>
            </w:r>
          </w:p>
        </w:tc>
        <w:tc>
          <w:tcPr>
            <w:tcW w:type="dxa" w:w="1661"/>
          </w:tcPr>
          <w:p>
            <w:pPr>
              <w:pStyle w:val="null3"/>
            </w:pPr>
            <w:r>
              <w:rPr>
                <w:rFonts w:ascii="仿宋_GB2312" w:hAnsi="仿宋_GB2312" w:cs="仿宋_GB2312" w:eastAsia="仿宋_GB2312"/>
              </w:rPr>
              <w:t>响应方案说明.docx 中小企业声明函 报价表 供应商承诺书.docx 商务条款响应说明.docx 响应文件封面 分项报价表.docx 残疾人福利性单位声明函 标的清单 服务内容及服务要求应答表.docx 供应商资格证明文件.docx 响应函 报价表.docx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响应方案说明.docx 中小企业声明函 报价表 供应商承诺书.docx 商务条款响应说明.docx 响应文件封面 分项报价表.docx 残疾人福利性单位声明函 标的清单 服务内容及服务要求应答表.docx 供应商资格证明文件.docx 响应函 报价表.docx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符合法律、法规和单一来源采购文件中规定的其他实质性要求。</w:t>
            </w:r>
          </w:p>
        </w:tc>
        <w:tc>
          <w:tcPr>
            <w:tcW w:type="dxa" w:w="1661"/>
          </w:tcPr>
          <w:p>
            <w:pPr>
              <w:pStyle w:val="null3"/>
            </w:pPr>
            <w:r>
              <w:rPr>
                <w:rFonts w:ascii="仿宋_GB2312" w:hAnsi="仿宋_GB2312" w:cs="仿宋_GB2312" w:eastAsia="仿宋_GB2312"/>
              </w:rPr>
              <w:t>响应方案说明.docx 中小企业声明函 报价表 供应商承诺书.docx 商务条款响应说明.docx 响应文件封面 分项报价表.docx 残疾人福利性单位声明函 标的清单 服务内容及服务要求应答表.docx 供应商资格证明文件.docx 响应函 报价表.docx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符合法律、法规和单一来源采购文件中规定的其他实质性要求。</w:t>
            </w:r>
          </w:p>
        </w:tc>
        <w:tc>
          <w:tcPr>
            <w:tcW w:type="dxa" w:w="1661"/>
          </w:tcPr>
          <w:p>
            <w:pPr>
              <w:pStyle w:val="null3"/>
            </w:pPr>
            <w:r>
              <w:rPr>
                <w:rFonts w:ascii="仿宋_GB2312" w:hAnsi="仿宋_GB2312" w:cs="仿宋_GB2312" w:eastAsia="仿宋_GB2312"/>
              </w:rPr>
              <w:t>响应方案说明.docx 中小企业声明函 报价表 供应商承诺书.docx 商务条款响应说明.docx 响应文件封面 分项报价表.docx 残疾人福利性单位声明函 标的清单 服务内容及服务要求应答表.docx 供应商资格证明文件.docx 报价表.docx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响应方案说明.docx 中小企业声明函 报价表 供应商承诺书.docx 商务条款响应说明.docx 响应文件封面 分项报价表.docx 残疾人福利性单位声明函 标的清单 服务内容及服务要求应答表.docx 供应商资格证明文件.docx 响应函 报价表.docx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开标过程中，评标委员会认为供应商报价，有可能影响项目质量或者不能诚信履约的，评标委员会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评标委员会要求的时间内通过项目电子化交易系统进行提交，否则提交的相关证明材料无效。供应商不能证明其报价合理性的，评标委员会应当将其响应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响应文件按单一来源采购文件要求签字盖章。</w:t>
            </w:r>
          </w:p>
        </w:tc>
        <w:tc>
          <w:tcPr>
            <w:tcW w:type="dxa" w:w="1661"/>
          </w:tcPr>
          <w:p>
            <w:pPr>
              <w:pStyle w:val="null3"/>
            </w:pPr>
            <w:r>
              <w:rPr>
                <w:rFonts w:ascii="仿宋_GB2312" w:hAnsi="仿宋_GB2312" w:cs="仿宋_GB2312" w:eastAsia="仿宋_GB2312"/>
              </w:rPr>
              <w:t>响应方案说明.docx 中小企业声明函 报价表 供应商承诺书.docx 商务条款响应说明.docx 响应文件封面 分项报价表.docx 残疾人福利性单位声明函 标的清单 服务内容及服务要求应答表.docx 供应商资格证明文件.docx 响应函 报价表.docx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谈判有效期达到单一来源采购文件要求。</w:t>
            </w:r>
          </w:p>
        </w:tc>
        <w:tc>
          <w:tcPr>
            <w:tcW w:type="dxa" w:w="1661"/>
          </w:tcPr>
          <w:p>
            <w:pPr>
              <w:pStyle w:val="null3"/>
            </w:pPr>
            <w:r>
              <w:rPr>
                <w:rFonts w:ascii="仿宋_GB2312" w:hAnsi="仿宋_GB2312" w:cs="仿宋_GB2312" w:eastAsia="仿宋_GB2312"/>
              </w:rPr>
              <w:t>响应方案说明.docx 中小企业声明函 报价表 供应商承诺书.docx 商务条款响应说明.docx 响应文件封面 分项报价表.docx 残疾人福利性单位声明函 标的清单 服务内容及服务要求应答表.docx 供应商资格证明文件.docx 响应函 报价表.docx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响应方案说明.docx 中小企业声明函 报价表 供应商承诺书.docx 商务条款响应说明.docx 响应文件封面 分项报价表.docx 残疾人福利性单位声明函 标的清单 服务内容及服务要求应答表.docx 供应商资格证明文件.docx 响应函 报价表.docx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符合法律、法规和单一来源采购文件中规定的其他实质性要求。</w:t>
            </w:r>
          </w:p>
        </w:tc>
        <w:tc>
          <w:tcPr>
            <w:tcW w:type="dxa" w:w="1661"/>
          </w:tcPr>
          <w:p>
            <w:pPr>
              <w:pStyle w:val="null3"/>
            </w:pPr>
            <w:r>
              <w:rPr>
                <w:rFonts w:ascii="仿宋_GB2312" w:hAnsi="仿宋_GB2312" w:cs="仿宋_GB2312" w:eastAsia="仿宋_GB2312"/>
              </w:rPr>
              <w:t>响应方案说明.docx 中小企业声明函 报价表 供应商承诺书.docx 商务条款响应说明.docx 响应文件封面 分项报价表.docx 残疾人福利性单位声明函 标的清单 服务内容及服务要求应答表.docx 供应商资格证明文件.docx 响应函 报价表.docx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开标过程中，评标委员会认为供应商报价，有可能影响项目质量或者不能诚信履约的，评标委员会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评标委员会要求的时间内通过项目电子化交易系统进行提交，否则提交的相关证明材料无效。供应商不能证明其报价合理性的，评标委员会应当将其响应文件作为无效处理。</w:t>
            </w:r>
          </w:p>
        </w:tc>
        <w:tc>
          <w:tcPr>
            <w:tcW w:type="dxa" w:w="1661"/>
          </w:tcPr>
          <w:p>
            <w:pPr>
              <w:pStyle w:val="null3"/>
            </w:pPr>
            <w:r>
              <w:rPr>
                <w:rFonts w:ascii="仿宋_GB2312" w:hAnsi="仿宋_GB2312" w:cs="仿宋_GB2312" w:eastAsia="仿宋_GB2312"/>
              </w:rPr>
              <w:t>响应方案说明.docx 中小企业声明函 报价表 供应商承诺书.docx 商务条款响应说明.docx 响应文件封面 分项报价表.docx 残疾人福利性单位声明函 标的清单 服务内容及服务要求应答表.docx 供应商资格证明文件.docx 报价表.docx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响应文件按单一来源采购文件要求签字盖章。</w:t>
            </w:r>
          </w:p>
        </w:tc>
        <w:tc>
          <w:tcPr>
            <w:tcW w:type="dxa" w:w="1661"/>
          </w:tcPr>
          <w:p>
            <w:pPr>
              <w:pStyle w:val="null3"/>
            </w:pPr>
            <w:r>
              <w:rPr>
                <w:rFonts w:ascii="仿宋_GB2312" w:hAnsi="仿宋_GB2312" w:cs="仿宋_GB2312" w:eastAsia="仿宋_GB2312"/>
              </w:rPr>
              <w:t>响应方案说明.docx 中小企业声明函 报价表 供应商承诺书.docx 商务条款响应说明.docx 响应文件封面 分项报价表.docx 残疾人福利性单位声明函 标的清单 服务内容及服务要求应答表.docx 供应商资格证明文件.docx 响应函 报价表.docx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谈判有效期达到单一来源采购文件要求。</w:t>
            </w:r>
          </w:p>
        </w:tc>
        <w:tc>
          <w:tcPr>
            <w:tcW w:type="dxa" w:w="1661"/>
          </w:tcPr>
          <w:p>
            <w:pPr>
              <w:pStyle w:val="null3"/>
            </w:pPr>
            <w:r>
              <w:rPr>
                <w:rFonts w:ascii="仿宋_GB2312" w:hAnsi="仿宋_GB2312" w:cs="仿宋_GB2312" w:eastAsia="仿宋_GB2312"/>
              </w:rPr>
              <w:t>响应方案说明.docx 中小企业声明函 报价表 供应商承诺书.docx 商务条款响应说明.docx 响应文件封面 分项报价表.docx 残疾人福利性单位声明函 标的清单 服务内容及服务要求应答表.docx 供应商资格证明文件.docx 响应函 报价表.docx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响应方案说明.docx 中小企业声明函 报价表 供应商承诺书.docx 商务条款响应说明.docx 响应文件封面 分项报价表.docx 残疾人福利性单位声明函 标的清单 服务内容及服务要求应答表.docx 供应商资格证明文件.docx 报价表.docx 响应函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响应方案说明.docx 中小企业声明函 报价表 供应商承诺书.docx 商务条款响应说明.docx 响应文件封面 分项报价表.docx 残疾人福利性单位声明函 标的清单 服务内容及服务要求应答表.docx 供应商资格证明文件.docx 响应函 报价表.docx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符合法律、法规和单一来源采购文件中规定的其他实质性要求。</w:t>
            </w:r>
          </w:p>
        </w:tc>
        <w:tc>
          <w:tcPr>
            <w:tcW w:type="dxa" w:w="1661"/>
          </w:tcPr>
          <w:p>
            <w:pPr>
              <w:pStyle w:val="null3"/>
            </w:pPr>
            <w:r>
              <w:rPr>
                <w:rFonts w:ascii="仿宋_GB2312" w:hAnsi="仿宋_GB2312" w:cs="仿宋_GB2312" w:eastAsia="仿宋_GB2312"/>
              </w:rPr>
              <w:t>响应方案说明.docx 中小企业声明函 报价表 供应商承诺书.docx 商务条款响应说明.docx 响应文件封面 分项报价表.docx 残疾人福利性单位声明函 标的清单 服务内容及服务要求应答表.docx 供应商资格证明文件.docx 响应函 报价表.docx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开标过程中，评标委员会认为供应商报价，有可能影响项目质量或者不能诚信履约的，评标委员会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评标委员会要求的时间内通过项目电子化交易系统进行提交，否则提交的相关证明材料无效。供应商不能证明其报价合理性的，评标委员会应当将其响应文件作为无效处理。</w:t>
            </w:r>
          </w:p>
        </w:tc>
        <w:tc>
          <w:tcPr>
            <w:tcW w:type="dxa" w:w="1661"/>
          </w:tcPr>
          <w:p>
            <w:pPr>
              <w:pStyle w:val="null3"/>
            </w:pPr>
            <w:r>
              <w:rPr>
                <w:rFonts w:ascii="仿宋_GB2312" w:hAnsi="仿宋_GB2312" w:cs="仿宋_GB2312" w:eastAsia="仿宋_GB2312"/>
              </w:rPr>
              <w:t>响应方案说明.docx 中小企业声明函 报价表 供应商承诺书.docx 商务条款响应说明.docx 响应文件封面 分项报价表.docx 残疾人福利性单位声明函 标的清单 服务内容及服务要求应答表.docx 供应商资格证明文件.docx 响应函 报价表.docx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响应文件按单一来源采购文件要求签字盖</w:t>
            </w:r>
          </w:p>
        </w:tc>
        <w:tc>
          <w:tcPr>
            <w:tcW w:type="dxa" w:w="1661"/>
          </w:tcPr>
          <w:p>
            <w:pPr>
              <w:pStyle w:val="null3"/>
            </w:pPr>
            <w:r>
              <w:rPr>
                <w:rFonts w:ascii="仿宋_GB2312" w:hAnsi="仿宋_GB2312" w:cs="仿宋_GB2312" w:eastAsia="仿宋_GB2312"/>
              </w:rPr>
              <w:t>响应方案说明.docx 中小企业声明函 报价表 供应商承诺书.docx 商务条款响应说明.docx 响应文件封面 分项报价表.docx 残疾人福利性单位声明函 标的清单 服务内容及服务要求应答表.docx 供应商资格证明文件.docx 响应函 报价表.docx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响应方案说明.docx 中小企业声明函 报价表 供应商承诺书.docx 商务条款响应说明.docx 响应文件封面 分项报价表.docx 残疾人福利性单位声明函 标的清单 服务内容及服务要求应答表.docx 供应商资格证明文件.docx 报价表.docx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谈判有效期达到单一来源采购文件要求。</w:t>
            </w:r>
          </w:p>
        </w:tc>
        <w:tc>
          <w:tcPr>
            <w:tcW w:type="dxa" w:w="1661"/>
          </w:tcPr>
          <w:p>
            <w:pPr>
              <w:pStyle w:val="null3"/>
            </w:pPr>
            <w:r>
              <w:rPr>
                <w:rFonts w:ascii="仿宋_GB2312" w:hAnsi="仿宋_GB2312" w:cs="仿宋_GB2312" w:eastAsia="仿宋_GB2312"/>
              </w:rPr>
              <w:t>响应方案说明.docx 中小企业声明函 报价表 供应商承诺书.docx 商务条款响应说明.docx 响应文件封面 分项报价表.docx 残疾人福利性单位声明函 标的清单 服务内容及服务要求应答表.docx 供应商资格证明文件.docx 响应函 报价表.docx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响应方案说明.docx 中小企业声明函 报价表 供应商承诺书.docx 商务条款响应说明.docx 响应文件封面 分项报价表.docx 残疾人福利性单位声明函 标的清单 服务内容及服务要求应答表.docx 供应商资格证明文件.docx 响应函 报价表.docx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符合法律、法规和单一来源采购文件中规定的其他实质性要求。</w:t>
            </w:r>
          </w:p>
        </w:tc>
        <w:tc>
          <w:tcPr>
            <w:tcW w:type="dxa" w:w="1661"/>
          </w:tcPr>
          <w:p>
            <w:pPr>
              <w:pStyle w:val="null3"/>
            </w:pPr>
            <w:r>
              <w:rPr>
                <w:rFonts w:ascii="仿宋_GB2312" w:hAnsi="仿宋_GB2312" w:cs="仿宋_GB2312" w:eastAsia="仿宋_GB2312"/>
              </w:rPr>
              <w:t>响应方案说明.docx 中小企业声明函 报价表 供应商承诺书.docx 商务条款响应说明.docx 响应文件封面 分项报价表.docx 残疾人福利性单位声明函 标的清单 服务内容及服务要求应答表.docx 供应商资格证明文件.docx 报价表.docx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开标过程中，评标委员会认为供应商报价，有可能影响项目质量或者不能诚信履约的，评标委员会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评标委员会要求的时间内通过项目电子化交易系统进行提交，否则提交的相关证明材料无效。供应商不能证明其报价合理性的，评标委员会应当将其响应文件作为无效处理。</w:t>
            </w:r>
          </w:p>
        </w:tc>
        <w:tc>
          <w:tcPr>
            <w:tcW w:type="dxa" w:w="1661"/>
          </w:tcPr>
          <w:p>
            <w:pPr>
              <w:pStyle w:val="null3"/>
            </w:pPr>
            <w:r>
              <w:rPr>
                <w:rFonts w:ascii="仿宋_GB2312" w:hAnsi="仿宋_GB2312" w:cs="仿宋_GB2312" w:eastAsia="仿宋_GB2312"/>
              </w:rPr>
              <w:t>响应方案说明.docx 中小企业声明函 报价表 供应商承诺书.docx 商务条款响应说明.docx 响应文件封面 分项报价表.docx 残疾人福利性单位声明函 标的清单 服务内容及服务要求应答表.docx 供应商资格证明文件.docx 响应函 报价表.docx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响应文件按单一来源采购文件要求签字盖章。</w:t>
            </w:r>
          </w:p>
        </w:tc>
        <w:tc>
          <w:tcPr>
            <w:tcW w:type="dxa" w:w="1661"/>
          </w:tcPr>
          <w:p>
            <w:pPr>
              <w:pStyle w:val="null3"/>
            </w:pPr>
            <w:r>
              <w:rPr>
                <w:rFonts w:ascii="仿宋_GB2312" w:hAnsi="仿宋_GB2312" w:cs="仿宋_GB2312" w:eastAsia="仿宋_GB2312"/>
              </w:rPr>
              <w:t>响应方案说明.docx 中小企业声明函 报价表 供应商承诺书.docx 商务条款响应说明.docx 响应文件封面 分项报价表.docx 残疾人福利性单位声明函 标的清单 服务内容及服务要求应答表.docx 供应商资格证明文件.docx 响应函 报价表.docx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谈判有效期达到单一来源采购文件要求。</w:t>
            </w:r>
          </w:p>
        </w:tc>
        <w:tc>
          <w:tcPr>
            <w:tcW w:type="dxa" w:w="1661"/>
          </w:tcPr>
          <w:p>
            <w:pPr>
              <w:pStyle w:val="null3"/>
            </w:pPr>
            <w:r>
              <w:rPr>
                <w:rFonts w:ascii="仿宋_GB2312" w:hAnsi="仿宋_GB2312" w:cs="仿宋_GB2312" w:eastAsia="仿宋_GB2312"/>
              </w:rPr>
              <w:t>响应方案说明.docx 中小企业声明函 报价表 供应商承诺书.docx 商务条款响应说明.docx 响应文件封面 分项报价表.docx 残疾人福利性单位声明函 标的清单 服务内容及服务要求应答表.docx 供应商资格证明文件.docx 响应函 报价表.docx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响应方案说明.docx 中小企业声明函 报价表 供应商承诺书.docx 商务条款响应说明.docx 响应文件封面 分项报价表.docx 残疾人福利性单位声明函 标的清单 服务内容及服务要求应答表.docx 供应商资格证明文件.docx 响应函 报价表.docx 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符合法律、法规和单一来源采购文件中规定的其他实质性要求。</w:t>
            </w:r>
          </w:p>
        </w:tc>
        <w:tc>
          <w:tcPr>
            <w:tcW w:type="dxa" w:w="1661"/>
          </w:tcPr>
          <w:p>
            <w:pPr>
              <w:pStyle w:val="null3"/>
            </w:pPr>
            <w:r>
              <w:rPr>
                <w:rFonts w:ascii="仿宋_GB2312" w:hAnsi="仿宋_GB2312" w:cs="仿宋_GB2312" w:eastAsia="仿宋_GB2312"/>
              </w:rPr>
              <w:t>响应方案说明.docx 中小企业声明函 报价表 供应商承诺书.docx 商务条款响应说明.docx 响应文件封面 分项报价表.docx 残疾人福利性单位声明函 标的清单 服务内容及服务要求应答表.docx 供应商资格证明文件.docx 响应函 报价表.docx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响应方案说明.docx 中小企业声明函 报价表 供应商承诺书.docx 商务条款响应说明.docx 响应文件封面 分项报价表.docx 残疾人福利性单位声明函 标的清单 服务内容及服务要求应答表.docx 供应商资格证明文件.docx 响应函 报价表.docx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开标过程中，评标委员会认为供应商报价，有可能影响项目质量或者不能诚信履约的，评标委员会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评标委员会要求的时间内通过项目电子化交易系统进行提交，否则提交的相关证明材料无效。供应商不能证明其报价合理性的，评标委员会应当将其响应文件作为无效处理。</w:t>
            </w:r>
          </w:p>
        </w:tc>
        <w:tc>
          <w:tcPr>
            <w:tcW w:type="dxa" w:w="1661"/>
          </w:tcPr>
          <w:p>
            <w:pPr>
              <w:pStyle w:val="null3"/>
            </w:pPr>
            <w:r>
              <w:rPr>
                <w:rFonts w:ascii="仿宋_GB2312" w:hAnsi="仿宋_GB2312" w:cs="仿宋_GB2312" w:eastAsia="仿宋_GB2312"/>
              </w:rPr>
              <w:t>响应方案说明.docx 中小企业声明函 报价表 供应商承诺书.docx 商务条款响应说明.docx 响应文件封面 分项报价表.docx 残疾人福利性单位声明函 标的清单 服务内容及服务要求应答表.docx 供应商资格证明文件.docx 报价表.docx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响应文件按单一来源采购文件要求签字盖章。</w:t>
            </w:r>
          </w:p>
        </w:tc>
        <w:tc>
          <w:tcPr>
            <w:tcW w:type="dxa" w:w="1661"/>
          </w:tcPr>
          <w:p>
            <w:pPr>
              <w:pStyle w:val="null3"/>
            </w:pPr>
            <w:r>
              <w:rPr>
                <w:rFonts w:ascii="仿宋_GB2312" w:hAnsi="仿宋_GB2312" w:cs="仿宋_GB2312" w:eastAsia="仿宋_GB2312"/>
              </w:rPr>
              <w:t>响应方案说明.docx 中小企业声明函 报价表 供应商承诺书.docx 商务条款响应说明.docx 响应文件封面 分项报价表.docx 残疾人福利性单位声明函 标的清单 服务内容及服务要求应答表.docx 供应商资格证明文件.docx 响应函 报价表.docx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响应方案说明.docx 中小企业声明函 报价表 供应商承诺书.docx 商务条款响应说明.docx 响应文件封面 分项报价表.docx 残疾人福利性单位声明函 标的清单 服务内容及服务要求应答表.docx 供应商资格证明文件.docx 响应函 报价表.docx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谈判有效期达到单一来源采购文件要求。</w:t>
            </w:r>
          </w:p>
        </w:tc>
        <w:tc>
          <w:tcPr>
            <w:tcW w:type="dxa" w:w="1661"/>
          </w:tcPr>
          <w:p>
            <w:pPr>
              <w:pStyle w:val="null3"/>
            </w:pPr>
            <w:r>
              <w:rPr>
                <w:rFonts w:ascii="仿宋_GB2312" w:hAnsi="仿宋_GB2312" w:cs="仿宋_GB2312" w:eastAsia="仿宋_GB2312"/>
              </w:rPr>
              <w:t>响应方案说明.docx 中小企业声明函 报价表 供应商承诺书.docx 商务条款响应说明.docx 响应文件封面 分项报价表.docx 残疾人福利性单位声明函 标的清单 服务内容及服务要求应答表.docx 供应商资格证明文件.docx 响应函 报价表.docx 监狱企业的证明文件</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符合法律、法规和单一来源采购文件中规定的其他实质性要求。</w:t>
            </w:r>
          </w:p>
        </w:tc>
        <w:tc>
          <w:tcPr>
            <w:tcW w:type="dxa" w:w="1661"/>
          </w:tcPr>
          <w:p>
            <w:pPr>
              <w:pStyle w:val="null3"/>
            </w:pPr>
            <w:r>
              <w:rPr>
                <w:rFonts w:ascii="仿宋_GB2312" w:hAnsi="仿宋_GB2312" w:cs="仿宋_GB2312" w:eastAsia="仿宋_GB2312"/>
              </w:rPr>
              <w:t>响应方案说明.docx 中小企业声明函 报价表 供应商承诺书.docx 商务条款响应说明.docx 响应文件封面 分项报价表.docx 残疾人福利性单位声明函 标的清单 服务内容及服务要求应答表.docx 供应商资格证明文件.docx 响应函 报价表.docx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响应方案说明.docx 中小企业声明函 报价表 供应商承诺书.docx 商务条款响应说明.docx 响应文件封面 分项报价表.docx 残疾人福利性单位声明函 标的清单 服务内容及服务要求应答表.docx 供应商资格证明文件.docx 响应函 报价表.docx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响应文件按单一来源采购文件要求签字盖章。</w:t>
            </w:r>
          </w:p>
        </w:tc>
        <w:tc>
          <w:tcPr>
            <w:tcW w:type="dxa" w:w="1661"/>
          </w:tcPr>
          <w:p>
            <w:pPr>
              <w:pStyle w:val="null3"/>
            </w:pPr>
            <w:r>
              <w:rPr>
                <w:rFonts w:ascii="仿宋_GB2312" w:hAnsi="仿宋_GB2312" w:cs="仿宋_GB2312" w:eastAsia="仿宋_GB2312"/>
              </w:rPr>
              <w:t>响应方案说明.docx 中小企业声明函 报价表 供应商承诺书.docx 商务条款响应说明.docx 响应文件封面 分项报价表.docx 残疾人福利性单位声明函 标的清单 服务内容及服务要求应答表.docx 供应商资格证明文件.docx 响应函 报价表.docx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开标过程中，评标委员会认为供应商报价，有可能影响项目质量或者不能诚信履约的，评标委员会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评标委员会要求的时间内通过项目电子化交易系统进行提交，否则提交的相关证明材料无效。供应商不能证明其报价合理性的，评标委员会应当将其响应文件作为无效处理。</w:t>
            </w:r>
          </w:p>
        </w:tc>
        <w:tc>
          <w:tcPr>
            <w:tcW w:type="dxa" w:w="1661"/>
          </w:tcPr>
          <w:p>
            <w:pPr>
              <w:pStyle w:val="null3"/>
            </w:pPr>
            <w:r>
              <w:rPr>
                <w:rFonts w:ascii="仿宋_GB2312" w:hAnsi="仿宋_GB2312" w:cs="仿宋_GB2312" w:eastAsia="仿宋_GB2312"/>
              </w:rPr>
              <w:t>响应方案说明.docx 中小企业声明函 报价表 供应商承诺书.docx 商务条款响应说明.docx 响应文件封面 分项报价表.docx 残疾人福利性单位声明函 标的清单 服务内容及服务要求应答表.docx 供应商资格证明文件.docx 报价表.docx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谈判有效期达到单一来源采购文件要求。</w:t>
            </w:r>
          </w:p>
        </w:tc>
        <w:tc>
          <w:tcPr>
            <w:tcW w:type="dxa" w:w="1661"/>
          </w:tcPr>
          <w:p>
            <w:pPr>
              <w:pStyle w:val="null3"/>
            </w:pPr>
            <w:r>
              <w:rPr>
                <w:rFonts w:ascii="仿宋_GB2312" w:hAnsi="仿宋_GB2312" w:cs="仿宋_GB2312" w:eastAsia="仿宋_GB2312"/>
              </w:rPr>
              <w:t>响应方案说明.docx 中小企业声明函 报价表 供应商承诺书.docx 商务条款响应说明.docx 响应文件封面 分项报价表.docx 残疾人福利性单位声明函 标的清单 服务内容及服务要求应答表.docx 供应商资格证明文件.docx 响应函 报价表.docx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响应方案说明.docx 中小企业声明函 报价表 供应商承诺书.docx 商务条款响应说明.docx 响应文件封面 分项报价表.docx 残疾人福利性单位声明函 标的清单 服务内容及服务要求应答表.docx 供应商资格证明文件.docx 报价表.docx 响应函 监狱企业的证明文件</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符合法律、法规和单一来源采购文件中规定的其他实质性要求。</w:t>
            </w:r>
          </w:p>
        </w:tc>
        <w:tc>
          <w:tcPr>
            <w:tcW w:type="dxa" w:w="1661"/>
          </w:tcPr>
          <w:p>
            <w:pPr>
              <w:pStyle w:val="null3"/>
            </w:pPr>
            <w:r>
              <w:rPr>
                <w:rFonts w:ascii="仿宋_GB2312" w:hAnsi="仿宋_GB2312" w:cs="仿宋_GB2312" w:eastAsia="仿宋_GB2312"/>
              </w:rPr>
              <w:t>响应方案说明.docx 中小企业声明函 报价表 供应商承诺书.docx 商务条款响应说明.docx 响应文件封面 分项报价表.docx 残疾人福利性单位声明函 标的清单 服务内容及服务要求应答表.docx 供应商资格证明文件.docx 响应函 报价表.docx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响应方案说明.docx 中小企业声明函 报价表 供应商承诺书.docx 商务条款响应说明.docx 响应文件封面 分项报价表.docx 残疾人福利性单位声明函 标的清单 服务内容及服务要求应答表.docx 供应商资格证明文件.docx 响应函 报价表.docx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开标过程中，评标委员会认为供应商报价，有可能影响项目质量或者不能诚信履约的，评标委员会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评标委员会要求的时间内通过项目电子化交易系统进行提交，否则提交的相关证明材料无效。供应商不能证明其报价合理性的，评标委员会应当将其响应文件作为无效处理。</w:t>
            </w:r>
          </w:p>
        </w:tc>
        <w:tc>
          <w:tcPr>
            <w:tcW w:type="dxa" w:w="1661"/>
          </w:tcPr>
          <w:p>
            <w:pPr>
              <w:pStyle w:val="null3"/>
            </w:pPr>
            <w:r>
              <w:rPr>
                <w:rFonts w:ascii="仿宋_GB2312" w:hAnsi="仿宋_GB2312" w:cs="仿宋_GB2312" w:eastAsia="仿宋_GB2312"/>
              </w:rPr>
              <w:t>响应方案说明.docx 中小企业声明函 报价表 供应商承诺书.docx 商务条款响应说明.docx 响应文件封面 分项报价表.docx 残疾人福利性单位声明函 标的清单 服务内容及服务要求应答表.docx 供应商资格证明文件.docx 报价表.docx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响应文件按单一来源采购文件要求签字盖章。</w:t>
            </w:r>
          </w:p>
        </w:tc>
        <w:tc>
          <w:tcPr>
            <w:tcW w:type="dxa" w:w="1661"/>
          </w:tcPr>
          <w:p>
            <w:pPr>
              <w:pStyle w:val="null3"/>
            </w:pPr>
            <w:r>
              <w:rPr>
                <w:rFonts w:ascii="仿宋_GB2312" w:hAnsi="仿宋_GB2312" w:cs="仿宋_GB2312" w:eastAsia="仿宋_GB2312"/>
              </w:rPr>
              <w:t>响应方案说明.docx 中小企业声明函 报价表 供应商承诺书.docx 商务条款响应说明.docx 响应文件封面 分项报价表.docx 残疾人福利性单位声明函 标的清单 服务内容及服务要求应答表.docx 供应商资格证明文件.docx 响应函 报价表.docx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响应方案说明.docx 中小企业声明函 报价表 供应商承诺书.docx 商务条款响应说明.docx 响应文件封面 分项报价表.docx 残疾人福利性单位声明函 标的清单 服务内容及服务要求应答表.docx 供应商资格证明文件.docx 响应函 报价表.docx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谈判有效期达到单一来源采购文件要求。</w:t>
            </w:r>
          </w:p>
        </w:tc>
        <w:tc>
          <w:tcPr>
            <w:tcW w:type="dxa" w:w="1661"/>
          </w:tcPr>
          <w:p>
            <w:pPr>
              <w:pStyle w:val="null3"/>
            </w:pPr>
            <w:r>
              <w:rPr>
                <w:rFonts w:ascii="仿宋_GB2312" w:hAnsi="仿宋_GB2312" w:cs="仿宋_GB2312" w:eastAsia="仿宋_GB2312"/>
              </w:rPr>
              <w:t>响应方案说明.docx 中小企业声明函 报价表 供应商承诺书.docx 商务条款响应说明.docx 响应文件封面 分项报价表.docx 残疾人福利性单位声明函 标的清单 服务内容及服务要求应答表.docx 供应商资格证明文件.docx 响应函 报价表.docx 监狱企业的证明文件</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响应方案说明.docx 中小企业声明函 报价表 供应商承诺书.docx 商务条款响应说明.docx 响应文件封面 分项报价表.docx 残疾人福利性单位声明函 标的清单 服务内容及服务要求应答表.docx 供应商资格证明文件.docx 响应函 报价表.docx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符合法律、法规和单一来源采购文件中规定的其他实质性要求。</w:t>
            </w:r>
          </w:p>
        </w:tc>
        <w:tc>
          <w:tcPr>
            <w:tcW w:type="dxa" w:w="1661"/>
          </w:tcPr>
          <w:p>
            <w:pPr>
              <w:pStyle w:val="null3"/>
            </w:pPr>
            <w:r>
              <w:rPr>
                <w:rFonts w:ascii="仿宋_GB2312" w:hAnsi="仿宋_GB2312" w:cs="仿宋_GB2312" w:eastAsia="仿宋_GB2312"/>
              </w:rPr>
              <w:t>响应方案说明.docx 中小企业声明函 报价表 供应商承诺书.docx 商务条款响应说明.docx 响应文件封面 分项报价表.docx 残疾人福利性单位声明函 标的清单 服务内容及服务要求应答表.docx 供应商资格证明文件.docx 响应函 报价表.docx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开标过程中，评标委员会认为供应商报价，有可能影响项目质量或者不能诚信履约的，评标委员会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评标委员会要求的时间内通过项目电子化交易系统进行提交，否则提交的相关证明材料无效。供应商不能证明其报价合理性的，评标委员会应当将其响应文件作为无效处理。</w:t>
            </w:r>
          </w:p>
        </w:tc>
        <w:tc>
          <w:tcPr>
            <w:tcW w:type="dxa" w:w="1661"/>
          </w:tcPr>
          <w:p>
            <w:pPr>
              <w:pStyle w:val="null3"/>
            </w:pPr>
            <w:r>
              <w:rPr>
                <w:rFonts w:ascii="仿宋_GB2312" w:hAnsi="仿宋_GB2312" w:cs="仿宋_GB2312" w:eastAsia="仿宋_GB2312"/>
              </w:rPr>
              <w:t>响应方案说明.docx 中小企业声明函 报价表 供应商承诺书.docx 商务条款响应说明.docx 响应文件封面 分项报价表.docx 残疾人福利性单位声明函 标的清单 服务内容及服务要求应答表.docx 供应商资格证明文件.docx 响应函 报价表.docx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响应文件按单一来源采购文件要求签字盖章。</w:t>
            </w:r>
          </w:p>
        </w:tc>
        <w:tc>
          <w:tcPr>
            <w:tcW w:type="dxa" w:w="1661"/>
          </w:tcPr>
          <w:p>
            <w:pPr>
              <w:pStyle w:val="null3"/>
            </w:pPr>
            <w:r>
              <w:rPr>
                <w:rFonts w:ascii="仿宋_GB2312" w:hAnsi="仿宋_GB2312" w:cs="仿宋_GB2312" w:eastAsia="仿宋_GB2312"/>
              </w:rPr>
              <w:t>响应方案说明.docx 中小企业声明函 报价表 供应商承诺书.docx 商务条款响应说明.docx 响应文件封面 分项报价表.docx 残疾人福利性单位声明函 标的清单 服务内容及服务要求应答表.docx 供应商资格证明文件.docx 响应函 报价表.docx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响应方案说明.docx 中小企业声明函 报价表 供应商承诺书.docx 商务条款响应说明.docx 响应文件封面 分项报价表.docx 残疾人福利性单位声明函 标的清单 服务内容及服务要求应答表.docx 供应商资格证明文件.docx 报价表.docx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谈判有效期达到单一来源采购文件要求。</w:t>
            </w:r>
          </w:p>
        </w:tc>
        <w:tc>
          <w:tcPr>
            <w:tcW w:type="dxa" w:w="1661"/>
          </w:tcPr>
          <w:p>
            <w:pPr>
              <w:pStyle w:val="null3"/>
            </w:pPr>
            <w:r>
              <w:rPr>
                <w:rFonts w:ascii="仿宋_GB2312" w:hAnsi="仿宋_GB2312" w:cs="仿宋_GB2312" w:eastAsia="仿宋_GB2312"/>
              </w:rPr>
              <w:t>响应方案说明.docx 中小企业声明函 报价表 供应商承诺书.docx 商务条款响应说明.docx 响应文件封面 分项报价表.docx 残疾人福利性单位声明函 标的清单 服务内容及服务要求应答表.docx 供应商资格证明文件.docx 响应函 报价表.docx 监狱企业的证明文件</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符合法律、法规和单一来源采购文件中规定的其他实质性要求。</w:t>
            </w:r>
          </w:p>
        </w:tc>
        <w:tc>
          <w:tcPr>
            <w:tcW w:type="dxa" w:w="1661"/>
          </w:tcPr>
          <w:p>
            <w:pPr>
              <w:pStyle w:val="null3"/>
            </w:pPr>
            <w:r>
              <w:rPr>
                <w:rFonts w:ascii="仿宋_GB2312" w:hAnsi="仿宋_GB2312" w:cs="仿宋_GB2312" w:eastAsia="仿宋_GB2312"/>
              </w:rPr>
              <w:t>响应方案说明.docx 中小企业声明函 报价表 供应商承诺书.docx 商务条款响应说明.docx 响应文件封面 分项报价表.docx 残疾人福利性单位声明函 标的清单 服务内容及服务要求应答表.docx 供应商资格证明文件.docx 报价表.docx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响应方案说明.docx 中小企业声明函 报价表 供应商承诺书.docx 商务条款响应说明.docx 响应文件封面 分项报价表.docx 残疾人福利性单位声明函 标的清单 服务内容及服务要求应答表.docx 供应商资格证明文件.docx 响应函 报价表.docx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开标过程中，评标委员会认为供应商报价，有可能影响项目质量或者不能诚信履约的，评标委员会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评标委员会要求的时间内通过项目电子化交易系统进行提交，否则提交的相关证明材料无效。供应商不能证明其报价合理性的，评标委员会应当将其响应文件作为无效处理。</w:t>
            </w:r>
          </w:p>
        </w:tc>
        <w:tc>
          <w:tcPr>
            <w:tcW w:type="dxa" w:w="1661"/>
          </w:tcPr>
          <w:p>
            <w:pPr>
              <w:pStyle w:val="null3"/>
            </w:pPr>
            <w:r>
              <w:rPr>
                <w:rFonts w:ascii="仿宋_GB2312" w:hAnsi="仿宋_GB2312" w:cs="仿宋_GB2312" w:eastAsia="仿宋_GB2312"/>
              </w:rPr>
              <w:t>响应方案说明.docx 中小企业声明函 报价表 供应商承诺书.docx 商务条款响应说明.docx 响应文件封面 分项报价表.docx 残疾人福利性单位声明函 标的清单 服务内容及服务要求应答表.docx 供应商资格证明文件.docx 报价表.docx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响应文件按单一来源采购文件要求签字盖章。</w:t>
            </w:r>
          </w:p>
        </w:tc>
        <w:tc>
          <w:tcPr>
            <w:tcW w:type="dxa" w:w="1661"/>
          </w:tcPr>
          <w:p>
            <w:pPr>
              <w:pStyle w:val="null3"/>
            </w:pPr>
            <w:r>
              <w:rPr>
                <w:rFonts w:ascii="仿宋_GB2312" w:hAnsi="仿宋_GB2312" w:cs="仿宋_GB2312" w:eastAsia="仿宋_GB2312"/>
              </w:rPr>
              <w:t>响应方案说明.docx 中小企业声明函 报价表 供应商承诺书.docx 商务条款响应说明.docx 响应文件封面 分项报价表.docx 残疾人福利性单位声明函 标的清单 服务内容及服务要求应答表.docx 供应商资格证明文件.docx 响应函 报价表.docx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谈判有效期达到单一来源采购文件要求。</w:t>
            </w:r>
          </w:p>
        </w:tc>
        <w:tc>
          <w:tcPr>
            <w:tcW w:type="dxa" w:w="1661"/>
          </w:tcPr>
          <w:p>
            <w:pPr>
              <w:pStyle w:val="null3"/>
            </w:pPr>
            <w:r>
              <w:rPr>
                <w:rFonts w:ascii="仿宋_GB2312" w:hAnsi="仿宋_GB2312" w:cs="仿宋_GB2312" w:eastAsia="仿宋_GB2312"/>
              </w:rPr>
              <w:t>响应方案说明.docx 中小企业声明函 报价表 供应商承诺书.docx 商务条款响应说明.docx 响应文件封面 分项报价表.docx 残疾人福利性单位声明函 标的清单 服务内容及服务要求应答表.docx 供应商资格证明文件.docx 响应函 报价表.docx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响应方案说明.docx 中小企业声明函 报价表 供应商承诺书.docx 商务条款响应说明.docx 响应文件封面 分项报价表.docx 残疾人福利性单位声明函 标的清单 服务内容及服务要求应答表.docx 供应商资格证明文件.docx 响应函 报价表.docx 监狱企业的证明文件</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详见附件：响应方案说明.docx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详见附件：响应方案说明.docx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详见附件：响应方案说明.docx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详见附件：响应方案说明.docx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详见附件：响应方案说明.docx</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详见附件：响应方案说明.docx</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详见附件：响应方案说明.docx</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详见附件：响应方案说明.docx</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详见附件：响应方案说明.docx</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详见附件：响应方案说明.docx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