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版本号：SXDY-2026-237.1B120260818001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略阳县高标准农田建设底数核查项目服务采购(二次)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SXDY-2026-237.1B1</w:t>
      </w:r>
      <w:r>
        <w:br/>
      </w:r>
      <w:r>
        <w:br/>
      </w:r>
      <w:r>
        <w:br/>
      </w:r>
    </w:p>
    <w:p>
      <w:pPr>
        <w:pStyle w:val="null3"/>
        <w:jc w:val="center"/>
        <w:outlineLvl w:val="2"/>
      </w:pPr>
      <w:r>
        <w:rPr>
          <w:rFonts w:ascii="仿宋_GB2312" w:hAnsi="仿宋_GB2312" w:cs="仿宋_GB2312" w:eastAsia="仿宋_GB2312"/>
          <w:sz w:val="28"/>
          <w:b/>
        </w:rPr>
        <w:t>略阳县农业农村局</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略阳县农业农村局</w:t>
      </w:r>
      <w:r>
        <w:rPr>
          <w:rFonts w:ascii="仿宋_GB2312" w:hAnsi="仿宋_GB2312" w:cs="仿宋_GB2312" w:eastAsia="仿宋_GB2312"/>
        </w:rPr>
        <w:t>委托，拟对</w:t>
      </w:r>
      <w:r>
        <w:rPr>
          <w:rFonts w:ascii="仿宋_GB2312" w:hAnsi="仿宋_GB2312" w:cs="仿宋_GB2312" w:eastAsia="仿宋_GB2312"/>
        </w:rPr>
        <w:t>略阳县高标准农田建设底数核查项目服务采购(二次)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SXDY-2026-237.1B1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略阳县高标准农田建设底数核查项目服务采购(二次)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本次采购内容包括项目图斑去重、制作工程项目电子地图及形成核查成果、制作专题数据库等。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采购包1（略阳县高标准农田建设底数核查项目服务采购）：属于专门面向中小企业采购。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委托书：供应商应授权合法的人员参与磋商，其中法定代表人直接参加磋商的，须出具法定代表人身份证明，并与营业执照上信息一致。法定代表人授权代表参与磋商的，须出具法定代表人授权书、授权代表身份证证明；</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p>
      <w:pPr>
        <w:pStyle w:val="null3"/>
      </w:pPr>
      <w:r>
        <w:rPr>
          <w:rFonts w:ascii="仿宋_GB2312" w:hAnsi="仿宋_GB2312" w:cs="仿宋_GB2312" w:eastAsia="仿宋_GB2312"/>
        </w:rPr>
        <w:t>4、企业资质：供应商须具有测绘乙级及以上资质</w:t>
      </w:r>
    </w:p>
    <w:p>
      <w:pPr>
        <w:pStyle w:val="null3"/>
      </w:pPr>
      <w:r>
        <w:rPr>
          <w:rFonts w:ascii="仿宋_GB2312" w:hAnsi="仿宋_GB2312" w:cs="仿宋_GB2312" w:eastAsia="仿宋_GB2312"/>
        </w:rPr>
        <w:t>5、中小企业声明函：本项目专门面向中小企业采购（提供中小企业声明函）</w:t>
      </w:r>
    </w:p>
    <w:p>
      <w:pPr>
        <w:pStyle w:val="null3"/>
      </w:pPr>
      <w:r>
        <w:rPr>
          <w:rFonts w:ascii="仿宋_GB2312" w:hAnsi="仿宋_GB2312" w:cs="仿宋_GB2312" w:eastAsia="仿宋_GB2312"/>
        </w:rPr>
        <w:t>6、非联合体声明：本项目不接受联合体磋商（提供非联合体声明）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略阳县狮凤路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略阳县农业农村局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0916-4822365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陕西省汉中市汉台区前进路和西环路十字天汉龙城三楼301室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0916-8819887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采购包1：495,800.00元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开户名称：陕西大用项目管理有限公司</w:t>
            </w:r>
          </w:p>
          <w:p>
            <w:pPr>
              <w:pStyle w:val="null3"/>
            </w:pPr>
            <w:r>
              <w:rPr>
                <w:rFonts w:ascii="仿宋_GB2312" w:hAnsi="仿宋_GB2312" w:cs="仿宋_GB2312" w:eastAsia="仿宋_GB2312"/>
              </w:rPr>
              <w:t>开户银行：陕西秦农农村商业银行股份有限公司长丰园支行</w:t>
            </w:r>
          </w:p>
          <w:p>
            <w:pPr>
              <w:pStyle w:val="null3"/>
            </w:pPr>
            <w:r>
              <w:rPr>
                <w:rFonts w:ascii="仿宋_GB2312" w:hAnsi="仿宋_GB2312" w:cs="仿宋_GB2312" w:eastAsia="仿宋_GB2312"/>
              </w:rPr>
              <w:t>银行账号：2701028301201000033857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关于招标代理服务收费有关问题的通知》（发改办价格[2003]857号）的有关规定执行。中标人在领取中标通知书前，须向采购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略阳县农业农村局</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略阳县农业农村局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略阳县农业农村局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标准：满足《高标准农田建设底数核查相关技术规则》等相关标准；方法：满足国家、省、市相关规定及行业现行技术标准、规范要求。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联系人：梁峥</w:t>
      </w:r>
    </w:p>
    <w:p>
      <w:pPr>
        <w:pStyle w:val="null3"/>
      </w:pPr>
      <w:r>
        <w:rPr>
          <w:rFonts w:ascii="仿宋_GB2312" w:hAnsi="仿宋_GB2312" w:cs="仿宋_GB2312" w:eastAsia="仿宋_GB2312"/>
        </w:rPr>
        <w:t>联系电话：0916-8819887</w:t>
      </w:r>
    </w:p>
    <w:p>
      <w:pPr>
        <w:pStyle w:val="null3"/>
      </w:pPr>
      <w:r>
        <w:rPr>
          <w:rFonts w:ascii="仿宋_GB2312" w:hAnsi="仿宋_GB2312" w:cs="仿宋_GB2312" w:eastAsia="仿宋_GB2312"/>
        </w:rPr>
        <w:t>地址：陕西省汉中市汉台区前进路和西环路十字天汉龙城三楼301室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本次采购内容包括项目图斑去重、制作工程项目电子地图及形成核查成果、制作专题数据库等。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495,800.00</w:t>
      </w:r>
    </w:p>
    <w:p>
      <w:pPr>
        <w:pStyle w:val="null3"/>
      </w:pPr>
      <w:r>
        <w:rPr>
          <w:rFonts w:ascii="仿宋_GB2312" w:hAnsi="仿宋_GB2312" w:cs="仿宋_GB2312" w:eastAsia="仿宋_GB2312"/>
        </w:rPr>
        <w:t>采购包最高限价（元）: 495,800.00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略阳县高标准农田建设底数核查项目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495,800.00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标的名称：略阳县高标准农田建设底数核查项目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80"/>
              <w:jc w:val="both"/>
            </w:pPr>
            <w:r>
              <w:rPr>
                <w:rFonts w:ascii="仿宋_GB2312" w:hAnsi="仿宋_GB2312" w:cs="仿宋_GB2312" w:eastAsia="仿宋_GB2312"/>
                <w:sz w:val="24"/>
                <w:color w:val="000000"/>
              </w:rPr>
              <w:t>根据项目类别按照要求分别整理项目信息，并按格式要求整理项目数据，要求字段规范、图属一致。开展项目清单检查、项目矢量数据检查、附件数据检查，并符合《高标准农田建设底数核查实地核查技术规则》</w:t>
            </w:r>
            <w:r>
              <w:rPr>
                <w:rFonts w:ascii="仿宋_GB2312" w:hAnsi="仿宋_GB2312" w:cs="仿宋_GB2312" w:eastAsia="仿宋_GB2312"/>
                <w:sz w:val="24"/>
                <w:color w:val="000000"/>
              </w:rPr>
              <w:t>和《高标准农田建设底数核查成果汇交技术规则》</w:t>
            </w:r>
            <w:r>
              <w:rPr>
                <w:rFonts w:ascii="仿宋_GB2312" w:hAnsi="仿宋_GB2312" w:cs="仿宋_GB2312" w:eastAsia="仿宋_GB2312"/>
                <w:sz w:val="24"/>
                <w:color w:val="000000"/>
              </w:rPr>
              <w:t>的有关标准。</w:t>
            </w:r>
          </w:p>
          <w:p>
            <w:pPr>
              <w:pStyle w:val="null3"/>
              <w:numPr>
                <w:ilvl w:val="0"/>
                <w:numId w:val="1"/>
              </w:numPr>
              <w:jc w:val="both"/>
            </w:pPr>
            <w:r>
              <w:rPr>
                <w:rFonts w:ascii="仿宋_GB2312" w:hAnsi="仿宋_GB2312" w:cs="仿宋_GB2312" w:eastAsia="仿宋_GB2312"/>
                <w:sz w:val="24"/>
                <w:color w:val="000000"/>
              </w:rPr>
              <w:t>核对项目信息，完成数据质量检查：针对全国农田建设监测监管平台中已填报的项目，按照类别核对信息，包括项目名称、属性信息、项目矢量，按照要求分别整理项目信息。历史项目补录重点核对项目与</w:t>
            </w:r>
            <w:r>
              <w:rPr>
                <w:rFonts w:ascii="仿宋_GB2312" w:hAnsi="仿宋_GB2312" w:cs="仿宋_GB2312" w:eastAsia="仿宋_GB2312"/>
                <w:sz w:val="24"/>
                <w:color w:val="000000"/>
              </w:rPr>
              <w:t>“</w:t>
            </w:r>
            <w:r>
              <w:rPr>
                <w:rFonts w:ascii="仿宋_GB2312" w:hAnsi="仿宋_GB2312" w:cs="仿宋_GB2312" w:eastAsia="仿宋_GB2312"/>
                <w:sz w:val="24"/>
                <w:color w:val="000000"/>
              </w:rPr>
              <w:t>十二五</w:t>
            </w:r>
            <w:r>
              <w:rPr>
                <w:rFonts w:ascii="仿宋_GB2312" w:hAnsi="仿宋_GB2312" w:cs="仿宋_GB2312" w:eastAsia="仿宋_GB2312"/>
                <w:sz w:val="24"/>
                <w:color w:val="000000"/>
              </w:rPr>
              <w:t>”</w:t>
            </w:r>
            <w:r>
              <w:rPr>
                <w:rFonts w:ascii="仿宋_GB2312" w:hAnsi="仿宋_GB2312" w:cs="仿宋_GB2312" w:eastAsia="仿宋_GB2312"/>
                <w:sz w:val="24"/>
                <w:color w:val="000000"/>
              </w:rPr>
              <w:t>清查评估项目有无重复的情况，以及项目信息是否完整。对未纳入全国农田建设综合监测监管平台的项目，根据项目类别按照要求分别整理项目信息，并按格式要求整理项目数据，要求字段规范、图属一致，并符合《高标准农田建设底数核查实地核查技术规则》的有关标准。</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底图制作：明确底图制作所需的项目清单与空间图形数据。覆盖</w:t>
            </w:r>
            <w:r>
              <w:rPr>
                <w:rFonts w:ascii="仿宋_GB2312" w:hAnsi="仿宋_GB2312" w:cs="仿宋_GB2312" w:eastAsia="仿宋_GB2312"/>
                <w:sz w:val="24"/>
                <w:color w:val="000000"/>
              </w:rPr>
              <w:t>2011-2018</w:t>
            </w:r>
            <w:r>
              <w:rPr>
                <w:rFonts w:ascii="仿宋_GB2312" w:hAnsi="仿宋_GB2312" w:cs="仿宋_GB2312" w:eastAsia="仿宋_GB2312"/>
                <w:sz w:val="24"/>
                <w:color w:val="000000"/>
              </w:rPr>
              <w:t>年历史项目与</w:t>
            </w:r>
            <w:r>
              <w:rPr>
                <w:rFonts w:ascii="仿宋_GB2312" w:hAnsi="仿宋_GB2312" w:cs="仿宋_GB2312" w:eastAsia="仿宋_GB2312"/>
                <w:sz w:val="24"/>
                <w:color w:val="000000"/>
              </w:rPr>
              <w:t>2019-2024</w:t>
            </w:r>
            <w:r>
              <w:rPr>
                <w:rFonts w:ascii="仿宋_GB2312" w:hAnsi="仿宋_GB2312" w:cs="仿宋_GB2312" w:eastAsia="仿宋_GB2312"/>
                <w:sz w:val="24"/>
                <w:color w:val="000000"/>
              </w:rPr>
              <w:t>年立项建设项目，开展坐标转换、图斑去重分析、图斑合并等数据处理，形成工作底图，并逐项统计原始图斑面积、重叠面积及去重后的图斑面积，摸清建成面积底数和交叉重叠面积，</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数据套合分析：基于工作底图，分年度、分阶段与相关专题数据进行空间套合分析，摸清高标准农田建设情况、保有情况及待建规模等底数。套合数据包括本县第二次全国国土调查成果、第三次全国国土调查成果、</w:t>
            </w:r>
            <w:r>
              <w:rPr>
                <w:rFonts w:ascii="仿宋_GB2312" w:hAnsi="仿宋_GB2312" w:cs="仿宋_GB2312" w:eastAsia="仿宋_GB2312"/>
                <w:sz w:val="24"/>
                <w:color w:val="000000"/>
              </w:rPr>
              <w:t>2022</w:t>
            </w:r>
            <w:r>
              <w:rPr>
                <w:rFonts w:ascii="仿宋_GB2312" w:hAnsi="仿宋_GB2312" w:cs="仿宋_GB2312" w:eastAsia="仿宋_GB2312"/>
                <w:sz w:val="24"/>
                <w:color w:val="000000"/>
              </w:rPr>
              <w:t>和</w:t>
            </w:r>
            <w:r>
              <w:rPr>
                <w:rFonts w:ascii="仿宋_GB2312" w:hAnsi="仿宋_GB2312" w:cs="仿宋_GB2312" w:eastAsia="仿宋_GB2312"/>
                <w:sz w:val="24"/>
                <w:color w:val="000000"/>
              </w:rPr>
              <w:t>2023</w:t>
            </w:r>
            <w:r>
              <w:rPr>
                <w:rFonts w:ascii="仿宋_GB2312" w:hAnsi="仿宋_GB2312" w:cs="仿宋_GB2312" w:eastAsia="仿宋_GB2312"/>
                <w:sz w:val="24"/>
                <w:color w:val="000000"/>
              </w:rPr>
              <w:t>年度国土变更调查成果、永久基本农田保护红线数据、生态保护红线数据、大中型灌区数据，并同步开展高标准农田建设禁止区域、限制区域数据收集、整理分析，成果报送高标准农田整治省级专班核查组。</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实地核验：对全县高标准农田结合套合分析结果，既要对审计、财政监督反映的数据不实问题整改结果进行实地核验，也要对套合分析结果与实际情况出入较大的地区，进行分析校正</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确保数据准确性。核查对象涵盖面积不实、图数与实地不符、永久基本农田内建设地块存疑及其他内业无法核清的项目。核查首先经国土调查成果套合、遥感影像比对等内业分析，其次用平面定位精度优于 </w:t>
            </w:r>
            <w:r>
              <w:rPr>
                <w:rFonts w:ascii="仿宋_GB2312" w:hAnsi="仿宋_GB2312" w:cs="仿宋_GB2312" w:eastAsia="仿宋_GB2312"/>
                <w:sz w:val="24"/>
                <w:color w:val="000000"/>
              </w:rPr>
              <w:t xml:space="preserve">1m </w:t>
            </w:r>
            <w:r>
              <w:rPr>
                <w:rFonts w:ascii="仿宋_GB2312" w:hAnsi="仿宋_GB2312" w:cs="仿宋_GB2312" w:eastAsia="仿宋_GB2312"/>
                <w:sz w:val="24"/>
                <w:color w:val="000000"/>
              </w:rPr>
              <w:t>的外业设备开展实地核查。具体实地核查包括三方面：</w:t>
            </w:r>
            <w:r>
              <w:rPr>
                <w:rFonts w:ascii="仿宋_GB2312" w:hAnsi="仿宋_GB2312" w:cs="仿宋_GB2312" w:eastAsia="仿宋_GB2312"/>
                <w:sz w:val="24"/>
                <w:color w:val="000000"/>
              </w:rPr>
              <w:t>①</w:t>
            </w:r>
            <w:r>
              <w:rPr>
                <w:rFonts w:ascii="仿宋_GB2312" w:hAnsi="仿宋_GB2312" w:cs="仿宋_GB2312" w:eastAsia="仿宋_GB2312"/>
                <w:sz w:val="24"/>
                <w:color w:val="000000"/>
              </w:rPr>
              <w:t>面积与空间位置核查，先完成内业叠加比对，边界不明则实地采集拐点坐标，按要求更正矢量图斑并填写记录表、拍摄实地照片（分辨率不低于</w:t>
            </w:r>
            <w:r>
              <w:rPr>
                <w:rFonts w:ascii="仿宋_GB2312" w:hAnsi="仿宋_GB2312" w:cs="仿宋_GB2312" w:eastAsia="仿宋_GB2312"/>
                <w:sz w:val="24"/>
                <w:color w:val="000000"/>
              </w:rPr>
              <w:t>1920*1080</w:t>
            </w:r>
            <w:r>
              <w:rPr>
                <w:rFonts w:ascii="仿宋_GB2312" w:hAnsi="仿宋_GB2312" w:cs="仿宋_GB2312" w:eastAsia="仿宋_GB2312"/>
                <w:sz w:val="24"/>
                <w:color w:val="000000"/>
              </w:rPr>
              <w:t>，保存格式为</w:t>
            </w:r>
            <w:r>
              <w:rPr>
                <w:rFonts w:ascii="仿宋_GB2312" w:hAnsi="仿宋_GB2312" w:cs="仿宋_GB2312" w:eastAsia="仿宋_GB2312"/>
                <w:sz w:val="24"/>
                <w:color w:val="000000"/>
              </w:rPr>
              <w:t>JPG</w:t>
            </w:r>
            <w:r>
              <w:rPr>
                <w:rFonts w:ascii="仿宋_GB2312" w:hAnsi="仿宋_GB2312" w:cs="仿宋_GB2312" w:eastAsia="仿宋_GB2312"/>
                <w:sz w:val="24"/>
                <w:color w:val="000000"/>
              </w:rPr>
              <w:t>，照片</w:t>
            </w:r>
            <w:r>
              <w:rPr>
                <w:rFonts w:ascii="仿宋_GB2312" w:hAnsi="仿宋_GB2312" w:cs="仿宋_GB2312" w:eastAsia="仿宋_GB2312"/>
                <w:sz w:val="24"/>
                <w:color w:val="000000"/>
              </w:rPr>
              <w:t>EXIF</w:t>
            </w:r>
            <w:r>
              <w:rPr>
                <w:rFonts w:ascii="仿宋_GB2312" w:hAnsi="仿宋_GB2312" w:cs="仿宋_GB2312" w:eastAsia="仿宋_GB2312"/>
                <w:sz w:val="24"/>
                <w:color w:val="000000"/>
              </w:rPr>
              <w:t>信息中包含定位坐标、拍摄时间、拍摄地点、拍摄方位角等）、留存佐证材料；</w:t>
            </w:r>
            <w:r>
              <w:rPr>
                <w:rFonts w:ascii="仿宋_GB2312" w:hAnsi="仿宋_GB2312" w:cs="仿宋_GB2312" w:eastAsia="仿宋_GB2312"/>
                <w:sz w:val="24"/>
                <w:color w:val="000000"/>
              </w:rPr>
              <w:t>②</w:t>
            </w:r>
            <w:r>
              <w:rPr>
                <w:rFonts w:ascii="仿宋_GB2312" w:hAnsi="仿宋_GB2312" w:cs="仿宋_GB2312" w:eastAsia="仿宋_GB2312"/>
                <w:sz w:val="24"/>
                <w:color w:val="000000"/>
              </w:rPr>
              <w:t>地类核查，内业提取非耕地图斑比对遥感影像，无法判定则实地核实，确为耕地的变更标注并纳入建成面积统计，同步完成记录表和佐证材料收集；</w:t>
            </w:r>
            <w:r>
              <w:rPr>
                <w:rFonts w:ascii="仿宋_GB2312" w:hAnsi="仿宋_GB2312" w:cs="仿宋_GB2312" w:eastAsia="仿宋_GB2312"/>
                <w:sz w:val="24"/>
                <w:color w:val="000000"/>
              </w:rPr>
              <w:t>③</w:t>
            </w:r>
            <w:r>
              <w:rPr>
                <w:rFonts w:ascii="仿宋_GB2312" w:hAnsi="仿宋_GB2312" w:cs="仿宋_GB2312" w:eastAsia="仿宋_GB2312"/>
                <w:sz w:val="24"/>
                <w:color w:val="000000"/>
              </w:rPr>
              <w:t>其他情况核查，各地因地制宜制定标准，细化永久基本农田内待建地块等核查要求。省市严格把关实地核查成果质量，落实逐级审核责任，核查成果需提供修改前后数据，佐证材料需符合坐标、分辨率、命名等规范要求。最终搞准摸清全县高标准农田现状，彻查落实数地不符问题整改，梳理分析新建潜力和改造需求，健全完善项目</w:t>
            </w:r>
            <w:r>
              <w:rPr>
                <w:rFonts w:ascii="仿宋_GB2312" w:hAnsi="仿宋_GB2312" w:cs="仿宋_GB2312" w:eastAsia="仿宋_GB2312"/>
                <w:sz w:val="24"/>
                <w:color w:val="000000"/>
              </w:rPr>
              <w:t>“</w:t>
            </w:r>
            <w:r>
              <w:rPr>
                <w:rFonts w:ascii="仿宋_GB2312" w:hAnsi="仿宋_GB2312" w:cs="仿宋_GB2312" w:eastAsia="仿宋_GB2312"/>
                <w:sz w:val="24"/>
                <w:color w:val="000000"/>
              </w:rPr>
              <w:t>建用管</w:t>
            </w:r>
            <w:r>
              <w:rPr>
                <w:rFonts w:ascii="仿宋_GB2312" w:hAnsi="仿宋_GB2312" w:cs="仿宋_GB2312" w:eastAsia="仿宋_GB2312"/>
                <w:sz w:val="24"/>
                <w:color w:val="000000"/>
              </w:rPr>
              <w:t>”</w:t>
            </w:r>
            <w:r>
              <w:rPr>
                <w:rFonts w:ascii="仿宋_GB2312" w:hAnsi="仿宋_GB2312" w:cs="仿宋_GB2312" w:eastAsia="仿宋_GB2312"/>
                <w:sz w:val="24"/>
                <w:color w:val="000000"/>
              </w:rPr>
              <w:t>机制制度，实现高标准农田</w:t>
            </w:r>
            <w:r>
              <w:rPr>
                <w:rFonts w:ascii="仿宋_GB2312" w:hAnsi="仿宋_GB2312" w:cs="仿宋_GB2312" w:eastAsia="仿宋_GB2312"/>
                <w:sz w:val="24"/>
                <w:color w:val="000000"/>
              </w:rPr>
              <w:t>“</w:t>
            </w:r>
            <w:r>
              <w:rPr>
                <w:rFonts w:ascii="仿宋_GB2312" w:hAnsi="仿宋_GB2312" w:cs="仿宋_GB2312" w:eastAsia="仿宋_GB2312"/>
                <w:sz w:val="24"/>
                <w:color w:val="000000"/>
              </w:rPr>
              <w:t>底数清、位置准、情况明</w:t>
            </w:r>
            <w:r>
              <w:rPr>
                <w:rFonts w:ascii="仿宋_GB2312" w:hAnsi="仿宋_GB2312" w:cs="仿宋_GB2312" w:eastAsia="仿宋_GB2312"/>
                <w:sz w:val="24"/>
                <w:color w:val="000000"/>
              </w:rPr>
              <w:t>”</w:t>
            </w:r>
            <w:r>
              <w:rPr>
                <w:rFonts w:ascii="仿宋_GB2312" w:hAnsi="仿宋_GB2312" w:cs="仿宋_GB2312" w:eastAsia="仿宋_GB2312"/>
                <w:sz w:val="24"/>
                <w:color w:val="000000"/>
              </w:rPr>
              <w:t>的目标，为科学规划建设项目、动态监测检测建设成效、高质量推进建设工作提供支撑依据。</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汇总高标底数核查数据，全面研究分析底数核查成果，编制高标底数核查技术报告、成果分析报告、工作报告、附件汇编和相关报表成果。编制高标底数核查成果专题图</w:t>
            </w:r>
            <w:r>
              <w:rPr>
                <w:rFonts w:ascii="仿宋_GB2312" w:hAnsi="仿宋_GB2312" w:cs="仿宋_GB2312" w:eastAsia="仿宋_GB2312"/>
                <w:sz w:val="24"/>
                <w:color w:val="000000"/>
              </w:rPr>
              <w:t>(</w:t>
            </w:r>
            <w:r>
              <w:rPr>
                <w:rFonts w:ascii="仿宋_GB2312" w:hAnsi="仿宋_GB2312" w:cs="仿宋_GB2312" w:eastAsia="仿宋_GB2312"/>
                <w:sz w:val="24"/>
                <w:color w:val="000000"/>
              </w:rPr>
              <w:t>集</w:t>
            </w:r>
            <w:r>
              <w:rPr>
                <w:rFonts w:ascii="仿宋_GB2312" w:hAnsi="仿宋_GB2312" w:cs="仿宋_GB2312" w:eastAsia="仿宋_GB2312"/>
                <w:sz w:val="24"/>
                <w:color w:val="000000"/>
              </w:rPr>
              <w:t>)</w:t>
            </w:r>
            <w:r>
              <w:rPr>
                <w:rFonts w:ascii="仿宋_GB2312" w:hAnsi="仿宋_GB2312" w:cs="仿宋_GB2312" w:eastAsia="仿宋_GB2312"/>
                <w:sz w:val="24"/>
                <w:color w:val="000000"/>
              </w:rPr>
              <w:t>装订成册。包括地图设计、数据处理，符号化，要素综合取舍，图面关系处理，绘制图例，图廓装饰，转换印前数据格式等。</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成果核查及整改</w:t>
            </w:r>
          </w:p>
          <w:p>
            <w:pPr>
              <w:pStyle w:val="null3"/>
              <w:ind w:firstLine="480"/>
              <w:jc w:val="both"/>
            </w:pPr>
            <w:r>
              <w:rPr>
                <w:rFonts w:ascii="仿宋_GB2312" w:hAnsi="仿宋_GB2312" w:cs="仿宋_GB2312" w:eastAsia="仿宋_GB2312"/>
                <w:sz w:val="24"/>
                <w:color w:val="000000"/>
              </w:rPr>
              <w:t>通过县、市、省三级质量核查，对逐级审核中发现的问题按照要求及时开展整改。</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成果上报及验收</w:t>
            </w:r>
          </w:p>
          <w:p>
            <w:pPr>
              <w:pStyle w:val="null3"/>
            </w:pPr>
            <w:r>
              <w:rPr>
                <w:rFonts w:ascii="仿宋_GB2312" w:hAnsi="仿宋_GB2312" w:cs="仿宋_GB2312" w:eastAsia="仿宋_GB2312"/>
                <w:sz w:val="24"/>
                <w:color w:val="000000"/>
              </w:rPr>
              <w:t>按照相应时间节点及时报送各阶段的核查成果，对反馈的问题进行数据库修改完善，确保成果通过验收。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供应商需根据本次服务要求，配备有足够的相关专业技术人员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供应商需根据本次服务要求，配备有足够的相关专业设备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达到采购人相关要求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180日历天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标准：满足《高标准农田建设底数核查相关技术规则》等相关标准；方法：满足国家、省、市相关规定及行业现行技术标准、规范要求。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进度款，完成基础工作，提交初步成果，达到付款条件起30个工作日内，支付合同总金额的50.0%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进度款，提交最终成果并通过验收，达到付款条件起30个工作日内，支付合同总金额的20.0%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供应商缴纳磋商保证金时备注项目名称，将磋商保证金缴纳凭证附在响应文件中。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供应商应授权合法的人员参与磋商，其中法定代表人直接参加磋商的，须出具法定代表人身份证明，并与营业执照上信息一致。法定代表人授权代表参与磋商的，须出具法定代表人授权书、授权代表身份证证明；</w:t>
            </w:r>
          </w:p>
        </w:tc>
        <w:tc>
          <w:tcPr>
            <w:tcW w:type="dxa" w:w="1661"/>
          </w:tcPr>
          <w:p>
            <w:pPr>
              <w:pStyle w:val="null3"/>
            </w:pPr>
            <w:r>
              <w:rPr>
                <w:rFonts w:ascii="仿宋_GB2312" w:hAnsi="仿宋_GB2312" w:cs="仿宋_GB2312" w:eastAsia="仿宋_GB2312"/>
              </w:rPr>
              <w:t>供应商应提交的相关资格证明材料.docx 响应文件签署人身份证明.pdf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 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供应商须具有测绘乙级及以上资质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本项目专门面向中小企业采购（提供中小企业声明函）</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响应文件签字、逐页盖章及投标（响应）有效期。</w:t>
            </w:r>
          </w:p>
        </w:tc>
        <w:tc>
          <w:tcPr>
            <w:tcW w:type="dxa" w:w="1661"/>
          </w:tcPr>
          <w:p>
            <w:pPr>
              <w:pStyle w:val="null3"/>
            </w:pPr>
            <w:r>
              <w:rPr>
                <w:rFonts w:ascii="仿宋_GB2312" w:hAnsi="仿宋_GB2312" w:cs="仿宋_GB2312" w:eastAsia="仿宋_GB2312"/>
              </w:rPr>
              <w:t>供应商类似项目业绩一览表.docx 中小企业声明函 响应文件签署人身份证明.pdf 商务应答表 保证金.docx 供应商应提交的相关资格证明材料 服务内容及服务要求应答表 报价表 汉中市政府采购供应商资格承诺函.docx 响应文件封面 供应商应提交的相关资格证明材料.docx 残疾人福利性单位声明函 项目人员配备配置表.pdf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服务时间</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商务应答表 服务内容及服务要求应答表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完全响应竞争性磋商⽂件要求的各项技术（服务）条款、商务实质性条款。</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根据供应商针对本项目提供的服务方案进行评分，方案内容应包含：①前期数据收集与准备；②图斑去重及数据处理方案；③数据套合分析方案；④实地核验方案。 二、评分标准 方案需全面、紧扣项目实际情况，步骤清晰、内容科学合理。未提供相关内容的不计分。 三、赋分标准 1. 前期数据收集与准备（满分3分） ：提供已有项目资料收集计划及数据格式分析方案，得1分；提供数据预处理方案，得1分；提供与采购人的初步沟通计划，得1分。以上内容不全或存在缺陷的，每项扣1分，扣完为止。 2. 图斑去重及数据处理方案（满分3分） ：提供完整的坐标转换与图斑处理工作流程图，得1.5分；明确图斑重叠分析原则及去重统计方法，得1.5分。以上内容不全或存在缺陷的，每项扣1分，扣完为止。 3. 数据套合分析方案（满分3分） ：明确与第二次/第三次全国国土调查成果及年度变更调查数据的套合分析方法，得1.5分；提供与永久基本农田保护红线、生态保护红线、大中型灌区数据叠加分析流程，得1.5分；、以上内容不全或存在缺陷的，每项扣1分，扣完为止。 4. 实地核验方案（满分3分） ：提供外业实地核验工作流程，得1分；明确实地核验内容及标准，得1分；明确佐证材料收集与整理标准，得1分。以上内容不全或存在缺陷的，每项扣1分，扣完为止。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质量控制及保证措施</w:t>
            </w:r>
          </w:p>
        </w:tc>
        <w:tc>
          <w:tcPr>
            <w:tcW w:type="dxa" w:w="2492"/>
          </w:tcPr>
          <w:p>
            <w:pPr>
              <w:pStyle w:val="null3"/>
            </w:pPr>
            <w:r>
              <w:rPr>
                <w:rFonts w:ascii="仿宋_GB2312" w:hAnsi="仿宋_GB2312" w:cs="仿宋_GB2312" w:eastAsia="仿宋_GB2312"/>
              </w:rPr>
              <w:t>一、评审内容 根据供应商针对本项目服务过程中的质量控制及保证措施，内容应包含：①数据质量检查方案；②过程质量控制措施；③成果质量审核流程。 二、评分标准 方案需全面、紧扣项目实际情况，步骤清晰、内容科学合理。未提供相关内容的不计分。 三、赋分标准 1. 数据质量检查方案（满分3分） ：提供项目信息核对与字段规范性检查标准，得1.5分；提供数据异常值及错误识别与修正流程，得1.5分。以上内容不全或存在缺陷的，每项扣1分，扣完为止。 2. 过程质量控制措施（满分4分） ：明确坐标转换精度控制标准，得2分；明确套合分析误差控制标准，得2分；以上内容不全或存在缺陷的，每项扣1分，扣完为止。 3. 成果质量审核流程（满分3分） ：承诺严格执行两级检查一级验收制度并提供流程图，得1.5分；明确逐级审核及整改落实机制，得1.5分；以上内容不全或存在缺陷的，每项扣1分，扣完为止。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项目进度安排</w:t>
            </w:r>
          </w:p>
        </w:tc>
        <w:tc>
          <w:tcPr>
            <w:tcW w:type="dxa" w:w="2492"/>
          </w:tcPr>
          <w:p>
            <w:pPr>
              <w:pStyle w:val="null3"/>
            </w:pPr>
            <w:r>
              <w:rPr>
                <w:rFonts w:ascii="仿宋_GB2312" w:hAnsi="仿宋_GB2312" w:cs="仿宋_GB2312" w:eastAsia="仿宋_GB2312"/>
              </w:rPr>
              <w:t>一、评审内容 根据供应商针对本项目编制的项目进度安排，内容应包含：①进度计划②进度保障措。 二、评分标准 方案需全面、紧扣项目实际情况，步骤清晰、内容科学合理。未提供相关内容的不计分。 三、赋分标准 1. 进度计划（满分5分） ：提供完整的项目进度计划表或甘特图，得2分；清晰划分各实施阶段（资料收集、数据处理、套合分析、实地核验、成果编制、上报验收）工作内容、流程逻辑，得3分。以上内容不全或存在缺陷的，每项扣1分，扣完为止。 2. 进度保障措施（满分5分） ：提供人员调配计划（含高峰期增员方案），得2分；提供应对数据补测、返工等突发情况的应急响应措施，得2分；提供赶工及加班安排方案，得1分。以上内容不全或存在缺陷的，每项扣1分，扣完为止。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重点难点分析及应对措施</w:t>
            </w:r>
          </w:p>
        </w:tc>
        <w:tc>
          <w:tcPr>
            <w:tcW w:type="dxa" w:w="2492"/>
          </w:tcPr>
          <w:p>
            <w:pPr>
              <w:pStyle w:val="null3"/>
            </w:pPr>
            <w:r>
              <w:rPr>
                <w:rFonts w:ascii="仿宋_GB2312" w:hAnsi="仿宋_GB2312" w:cs="仿宋_GB2312" w:eastAsia="仿宋_GB2312"/>
              </w:rPr>
              <w:t>一、评审内容 根据供应商针对本项目实施过程中的重点难点分析及应对措施进行评分，内容应包含：①项目重点分析；②项目难点分析；③应对措施。 二、评分标准 方案需全面、紧扣项目实际情况，步骤清晰、内容科学合理。未提供相关内容的不计分。 三、赋分标准 1. 项目重点分析（满分3分） ：提出图斑去重环节的重点得1.5分；提出数据套合分析环节的重点，得1.5分。以上内容不全或存在缺陷的，每项扣1分，扣完为止。 2. 项目难点分析（满分3分） ：对历史项目资料不全或坐标系不一致等数据基础薄弱问题进行分析，得1分；对图斑交叉重叠、面积统计口径不一致等数据处理难点进行分析，得1分；对外业实地核验工作量大、佐证材料标准高等实施难点进行分析，得1分。以上内容不全或存在缺陷的，每项扣1分，扣完为止。 3. 应对措施（满分2分） ：针对识别出的重点难点提出具体解决思路和技术手段，每条切实可行的措施得1分，最高2分。以上内容不全或存在缺陷的，每项扣1分，扣完为止。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一、评审内容 供应商拟投入本项目的项目负责人资质。 二、赋分标准 具备测绘相关专业中级职称得2分，具备测绘相关专业高级职称得4分（以最高职称计分，不重复计算）。 注：需提供职称证书复印件或扫描件并加盖供应商公章，未提供不得分。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项目人员配备配置表.pdf</w:t>
            </w:r>
          </w:p>
        </w:tc>
      </w:tr>
      <w:tr>
        <w:tc>
          <w:tcPr>
            <w:tcW w:type="dxa" w:w="831"/>
            <w:vMerge/>
          </w:tcPr>
          <w:p/>
        </w:tc>
        <w:tc>
          <w:tcPr>
            <w:tcW w:type="dxa" w:w="1661"/>
          </w:tcPr>
          <w:p>
            <w:pPr>
              <w:pStyle w:val="null3"/>
            </w:pPr>
            <w:r>
              <w:rPr>
                <w:rFonts w:ascii="仿宋_GB2312" w:hAnsi="仿宋_GB2312" w:cs="仿宋_GB2312" w:eastAsia="仿宋_GB2312"/>
              </w:rPr>
              <w:t>类似项目</w:t>
            </w:r>
          </w:p>
        </w:tc>
        <w:tc>
          <w:tcPr>
            <w:tcW w:type="dxa" w:w="2492"/>
          </w:tcPr>
          <w:p>
            <w:pPr>
              <w:pStyle w:val="null3"/>
            </w:pPr>
            <w:r>
              <w:rPr>
                <w:rFonts w:ascii="仿宋_GB2312" w:hAnsi="仿宋_GB2312" w:cs="仿宋_GB2312" w:eastAsia="仿宋_GB2312"/>
              </w:rPr>
              <w:t>供应商提供2023年1月1日至今的类似项目业绩，每提供一个业绩得5分，满分得5分。注：以中标通知书或者合同协议书复印件为准，未提供者不得分。本项目为测绘类项目。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一、评审内容 评审供应商拟投入本项目除项目负责人以外其他人员综合专业能力、持证资质及驻场服务保障能力，同一人员不重复计分。 二、赋分标准 测绘工程职称（最高 6 分）：拟投⼊本项⽬的其他⼈员（除项⽬负责⼈外） 持有测绘工程助理工程师及以上职称，每 1人得 2 分，满分6分； 安全保密资质（最高6分）：拟投入人员持有测绘地理信息涉密资格证或保密岗位培训证书，每1人得 2 分，满分 6 分；注：职称、资质计分需提供身份证及对应证书，缺材料不计分；一人同时有测绘职称、保密资质只计一项，不重复加分。 驻场服务承诺（3 分）：供应商承诺上述人员按照项目全周期全程驻场在岗，常驻项目现场完成农田地块实地核查、底数台账梳理、现场核验交底等工作；人员在岗期间未经建设单位许可，不得擅自离岗、脱岗、更换人员。提供加盖单位公章的承诺书得 3 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项目人员配备配置表.pdf</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 根据供应商针对本项目的售后服务承诺进行量化评分。 二、赋分标准 1. 响应实效性（满分2分） ：售后问题响应、处置时限承诺清晰具体得2分，无售后时效承诺不得分。 2. 数据保密与安全（满分3分） ：对涉密核查数据制定完整保密管理制度及承诺得3分。 3. 复核整改配合承诺（3分）：承诺全程配合各级抽查复核、成果汇交、问题整改直至项目验收合格得3分；无相关承诺不得分。 注： 本项为客观评分，评审专家根据响应文件中是否包含具体、可操作的承落内容逐条计分，不以主观判断替代客观标准。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企业设备实力</w:t>
            </w:r>
          </w:p>
        </w:tc>
        <w:tc>
          <w:tcPr>
            <w:tcW w:type="dxa" w:w="2492"/>
          </w:tcPr>
          <w:p>
            <w:pPr>
              <w:pStyle w:val="null3"/>
            </w:pPr>
            <w:r>
              <w:rPr>
                <w:rFonts w:ascii="仿宋_GB2312" w:hAnsi="仿宋_GB2312" w:cs="仿宋_GB2312" w:eastAsia="仿宋_GB2312"/>
              </w:rPr>
              <w:t>一、评审内容 仅评审企业自有存量软硬件设备资产，与主观方案评审不重复。须提供设备购置发票、资产台账作为佐证材料。 1. 遥感软件：自有正版遥感影像处理软件，每1项得1分，最高2分。 2. 测绘定位设备：自有RTK等实地定位核验设备，每1项得1分，最高2分。 3. 外业采集设备：自有无人机、测距仪等图斑踏勘采集设备，每1项得1分，最高2分。 4. 安全存储设备：具备独立数据备份、加密存储硬件设备，每1项得1分，最高2分。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1、上限为采购预算价，即报价大于上限价视为无效标；2. 磋商报价采用低价优先法计算，即满足竞争性磋商文件要求且最后磋商总报价最低的报价为评审基准价，其价格分为满分。其他供应商的价格分统一按照下列公式计算： 磋商报价得分=（评审基准价/最后磋商总报价）×20；3本项目已专门面向中小微企业，对小微企业、监狱企业、残疾人福利性单位不再给予价格扣除，供应商需如实填写《中小企业声明函》。</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详见附件：响应文件签署人身份证明.pdf</w:t>
      </w:r>
    </w:p>
    <w:p>
      <w:pPr>
        <w:pStyle w:val="null3"/>
        <w:ind w:firstLine="960"/>
      </w:pPr>
      <w:r>
        <w:rPr>
          <w:rFonts w:ascii="仿宋_GB2312" w:hAnsi="仿宋_GB2312" w:cs="仿宋_GB2312" w:eastAsia="仿宋_GB2312"/>
        </w:rPr>
        <w:t>详见附件：项目人员配备配置表.pdf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