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版本号：SXLX26-01-064Z(G)20260710002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2026年度户外围墙改造工程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SXLX26-01-064Z(G)</w:t>
      </w:r>
      <w:r>
        <w:br/>
      </w:r>
      <w:r>
        <w:br/>
      </w:r>
      <w:r>
        <w:br/>
      </w:r>
    </w:p>
    <w:p>
      <w:pPr>
        <w:pStyle w:val="null3"/>
        <w:jc w:val="center"/>
        <w:outlineLvl w:val="2"/>
      </w:pPr>
      <w:r>
        <w:rPr>
          <w:rFonts w:ascii="仿宋_GB2312" w:hAnsi="仿宋_GB2312" w:cs="仿宋_GB2312" w:eastAsia="仿宋_GB2312"/>
          <w:sz w:val="28"/>
          <w:b/>
        </w:rPr>
        <w:t>西安市雁塔区第十七幼儿园</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西安市雁塔区第十七幼儿园</w:t>
      </w:r>
      <w:r>
        <w:rPr>
          <w:rFonts w:ascii="仿宋_GB2312" w:hAnsi="仿宋_GB2312" w:cs="仿宋_GB2312" w:eastAsia="仿宋_GB2312"/>
        </w:rPr>
        <w:t>委托，拟对</w:t>
      </w:r>
      <w:r>
        <w:rPr>
          <w:rFonts w:ascii="仿宋_GB2312" w:hAnsi="仿宋_GB2312" w:cs="仿宋_GB2312" w:eastAsia="仿宋_GB2312"/>
        </w:rPr>
        <w:t>2026年度户外围墙改造工程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SXLX26-01-064Z(G)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2026年度户外围墙改造工程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包括石材基层修整、拆除旧护栏、围墙水刨沙墙面粉刷、安装铁艺造型护栏、安装塑木造型墙等，具体以工程量清单为准。要求所有工程施工到位、质量符合国家及行业现行建设工程施工质量验收规范及采购人要求的“合格”标准，功能齐全，美观大方、验收合格达到交钥匙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采购包1（2026年度户外围墙改造工程）：属于专门面向小微企业采购。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1、供应商特殊资格(行政许可)要求 ：供应商须具备建设部门颁发的装修装饰工程专业承包二级及以上资质，并具备有效的安全生产许可证。 (根据“资格证明文件”中提供的要求和说明，提供符合条件的证明材料)</w:t>
      </w:r>
    </w:p>
    <w:p>
      <w:pPr>
        <w:pStyle w:val="null3"/>
      </w:pPr>
      <w:r>
        <w:rPr>
          <w:rFonts w:ascii="仿宋_GB2312" w:hAnsi="仿宋_GB2312" w:cs="仿宋_GB2312" w:eastAsia="仿宋_GB2312"/>
        </w:rPr>
        <w:t>2、投标人拟派项目负责人特殊资格(行政许可)要求 ：供应商拟派项目负责人须具备建筑工程专业二级及以上注册建造师执业资格，具备有效的安全生产考核合格证书(建安B证)，在本单位注册，且未担任其他在建工程项目的项目经理(提供承诺)。 (根据“资格证明文件”中提供的要求和说明，提供符合条件的证明材料)</w:t>
      </w:r>
    </w:p>
    <w:p>
      <w:pPr>
        <w:pStyle w:val="null3"/>
      </w:pPr>
      <w:r>
        <w:rPr>
          <w:rFonts w:ascii="仿宋_GB2312" w:hAnsi="仿宋_GB2312" w:cs="仿宋_GB2312" w:eastAsia="仿宋_GB2312"/>
        </w:rPr>
        <w:t>3、其他特殊资格(行政许可)要求 ：供应商的基本信息及拟派项目负责人的基本信息在“陕西省住房和城乡建设厅”(http://js.shaanxi.gov.cn/)或“陕西政务服务网”(https://zwfw.shaanxi.gov.cn/sx/public/index)可查询且无不良行为记录，并在各级建设诚信信息平台未被列为投标受限制的行为人或被列为严重违法失信企业名单(提供承诺)。 (根据“资格证明文件”中提供的要求和说明，提供符合条件的证明材料)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西安市雁塔区第十七幼儿园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雁塔区大寨路铭城国际社区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骆乐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029-89540156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项业务服务价格的通知》(发改价格〔2015〕299号)文件规定按陆仟元收取；此服务费应计入响应报价中，但不需要单独开列，具体收费金额将在成交公告中公布。 请将采购代理服务费汇至下列指定账户： 开户名称：陕西隆信项目管理有限公司 开户行：招商银行股份有限公司西安土门支行 账号：129904064810902 财务部电话：029-88489979-8501 (备注：项目名称+代理服务费)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西安市雁塔区第十七幼儿园</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西安市雁塔区第十七幼儿园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西安市雁塔区第十七幼儿园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(一)供应商保证对其出售的货物享有合法的权利且不会侵犯任何第三方的专利权、版权、商标权或其他权利。 (二)供应商保证对其出售的货物上不存在任何未曾向采购人透露的担保物权，如抵押权、质押权、留置权。 (三)如采购人在使用该货物构成上述侵权的，如出现侵犯第三方专利权、版权、商标权或其他权利，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按照采购文件规定的标准和方法验收。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w:t>
      </w:r>
    </w:p>
    <w:p>
      <w:pPr>
        <w:pStyle w:val="null3"/>
      </w:pPr>
      <w:r>
        <w:rPr>
          <w:rFonts w:ascii="仿宋_GB2312" w:hAnsi="仿宋_GB2312" w:cs="仿宋_GB2312" w:eastAsia="仿宋_GB2312"/>
        </w:rPr>
        <w:t>采购包最高限价（元）: 183,953.85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2026年度户外围墙改造工程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标的名称：2026年度户外围墙改造工程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w:t>
            </w:r>
            <w:r>
              <w:rPr>
                <w:rFonts w:ascii="仿宋_GB2312" w:hAnsi="仿宋_GB2312" w:cs="仿宋_GB2312" w:eastAsia="仿宋_GB2312"/>
                <w:sz w:val="22"/>
                <w:color w:val="000000"/>
              </w:rPr>
              <w:t>工程条件</w:t>
            </w:r>
          </w:p>
          <w:p>
            <w:pPr>
              <w:pStyle w:val="null3"/>
              <w:ind w:firstLine="220"/>
            </w:pPr>
            <w:r>
              <w:rPr>
                <w:rFonts w:ascii="仿宋_GB2312" w:hAnsi="仿宋_GB2312" w:cs="仿宋_GB2312" w:eastAsia="仿宋_GB2312"/>
                <w:sz w:val="22"/>
                <w:color w:val="000000"/>
              </w:rPr>
              <w:t>1.1</w:t>
            </w:r>
            <w:r>
              <w:rPr>
                <w:rFonts w:ascii="仿宋_GB2312" w:hAnsi="仿宋_GB2312" w:cs="仿宋_GB2312" w:eastAsia="仿宋_GB2312"/>
                <w:sz w:val="22"/>
                <w:color w:val="000000"/>
              </w:rPr>
              <w:t>现场具备施工条件。</w:t>
            </w:r>
          </w:p>
          <w:p>
            <w:pPr>
              <w:pStyle w:val="null3"/>
              <w:ind w:firstLine="220"/>
            </w:pPr>
            <w:r>
              <w:rPr>
                <w:rFonts w:ascii="仿宋_GB2312" w:hAnsi="仿宋_GB2312" w:cs="仿宋_GB2312" w:eastAsia="仿宋_GB2312"/>
                <w:sz w:val="22"/>
                <w:color w:val="000000"/>
              </w:rPr>
              <w:t>1.2</w:t>
            </w:r>
            <w:r>
              <w:rPr>
                <w:rFonts w:ascii="仿宋_GB2312" w:hAnsi="仿宋_GB2312" w:cs="仿宋_GB2312" w:eastAsia="仿宋_GB2312"/>
                <w:sz w:val="22"/>
                <w:color w:val="000000"/>
              </w:rPr>
              <w:t>人员、材料、设备全部由施工方自行负责。</w:t>
            </w:r>
          </w:p>
          <w:p>
            <w:pPr>
              <w:pStyle w:val="null3"/>
              <w:ind w:firstLine="220"/>
            </w:pPr>
            <w:r>
              <w:rPr>
                <w:rFonts w:ascii="仿宋_GB2312" w:hAnsi="仿宋_GB2312" w:cs="仿宋_GB2312" w:eastAsia="仿宋_GB2312"/>
                <w:sz w:val="22"/>
                <w:color w:val="000000"/>
              </w:rPr>
              <w:t>1.3</w:t>
            </w:r>
            <w:r>
              <w:rPr>
                <w:rFonts w:ascii="仿宋_GB2312" w:hAnsi="仿宋_GB2312" w:cs="仿宋_GB2312" w:eastAsia="仿宋_GB2312"/>
                <w:sz w:val="22"/>
                <w:color w:val="000000"/>
              </w:rPr>
              <w:t>水、电设施齐全。</w:t>
            </w:r>
          </w:p>
          <w:p>
            <w:pPr>
              <w:pStyle w:val="null3"/>
            </w:pPr>
            <w:r>
              <w:rPr>
                <w:rFonts w:ascii="仿宋_GB2312" w:hAnsi="仿宋_GB2312" w:cs="仿宋_GB2312" w:eastAsia="仿宋_GB2312"/>
                <w:sz w:val="22"/>
                <w:color w:val="000000"/>
              </w:rPr>
              <w:t>2.工程内容及说明</w:t>
            </w:r>
          </w:p>
          <w:p>
            <w:pPr>
              <w:pStyle w:val="null3"/>
              <w:ind w:firstLine="220"/>
            </w:pPr>
            <w:r>
              <w:rPr>
                <w:rFonts w:ascii="仿宋_GB2312" w:hAnsi="仿宋_GB2312" w:cs="仿宋_GB2312" w:eastAsia="仿宋_GB2312"/>
                <w:sz w:val="22"/>
                <w:color w:val="000000"/>
              </w:rPr>
              <w:t>2.1</w:t>
            </w:r>
            <w:r>
              <w:rPr>
                <w:rFonts w:ascii="仿宋_GB2312" w:hAnsi="仿宋_GB2312" w:cs="仿宋_GB2312" w:eastAsia="仿宋_GB2312"/>
                <w:sz w:val="22"/>
                <w:color w:val="000000"/>
              </w:rPr>
              <w:t>工程量清单</w:t>
            </w:r>
            <w:r>
              <w:rPr>
                <w:rFonts w:ascii="仿宋_GB2312" w:hAnsi="仿宋_GB2312" w:cs="仿宋_GB2312" w:eastAsia="仿宋_GB2312"/>
                <w:sz w:val="22"/>
                <w:color w:val="000000"/>
              </w:rPr>
              <w:t>及说明：</w:t>
            </w:r>
            <w:r>
              <w:rPr>
                <w:rFonts w:ascii="仿宋_GB2312" w:hAnsi="仿宋_GB2312" w:cs="仿宋_GB2312" w:eastAsia="仿宋_GB2312"/>
                <w:sz w:val="22"/>
                <w:color w:val="000000"/>
              </w:rPr>
              <w:t>另册，详见附件广联达电子招标书。</w:t>
            </w:r>
          </w:p>
          <w:p>
            <w:pPr>
              <w:pStyle w:val="null3"/>
              <w:ind w:firstLine="220"/>
            </w:pPr>
            <w:r>
              <w:rPr>
                <w:rFonts w:ascii="仿宋_GB2312" w:hAnsi="仿宋_GB2312" w:cs="仿宋_GB2312" w:eastAsia="仿宋_GB2312"/>
                <w:sz w:val="22"/>
                <w:color w:val="000000"/>
              </w:rPr>
              <w:t>2.2</w:t>
            </w:r>
            <w:r>
              <w:rPr>
                <w:rFonts w:ascii="仿宋_GB2312" w:hAnsi="仿宋_GB2312" w:cs="仿宋_GB2312" w:eastAsia="仿宋_GB2312"/>
                <w:sz w:val="22"/>
                <w:color w:val="000000"/>
              </w:rPr>
              <w:t>漏项处理：施工过程中发现工程量清单中存在漏项工程的，该漏项工程作为本项目采购的组成部分，采购人和施工方按照《中华人民共和国政府采购法》的规定协商解决。</w:t>
            </w:r>
          </w:p>
          <w:p>
            <w:pPr>
              <w:pStyle w:val="null3"/>
              <w:ind w:firstLine="220"/>
            </w:pPr>
            <w:r>
              <w:rPr>
                <w:rFonts w:ascii="仿宋_GB2312" w:hAnsi="仿宋_GB2312" w:cs="仿宋_GB2312" w:eastAsia="仿宋_GB2312"/>
                <w:sz w:val="22"/>
                <w:color w:val="000000"/>
              </w:rPr>
              <w:t>2.3暂列金额、专业工程暂估价、暂估单价等:</w:t>
            </w:r>
            <w:r>
              <w:rPr>
                <w:rFonts w:ascii="仿宋_GB2312" w:hAnsi="仿宋_GB2312" w:cs="仿宋_GB2312" w:eastAsia="仿宋_GB2312"/>
                <w:sz w:val="22"/>
                <w:color w:val="000000"/>
                <w:u w:val="single"/>
              </w:rPr>
              <w:t>/</w:t>
            </w:r>
            <w:r>
              <w:rPr>
                <w:rFonts w:ascii="仿宋_GB2312" w:hAnsi="仿宋_GB2312" w:cs="仿宋_GB2312" w:eastAsia="仿宋_GB2312"/>
                <w:sz w:val="22"/>
                <w:color w:val="000000"/>
              </w:rPr>
              <w:t>。</w:t>
            </w:r>
          </w:p>
          <w:p>
            <w:pPr>
              <w:pStyle w:val="null3"/>
            </w:pPr>
            <w:r>
              <w:rPr>
                <w:rFonts w:ascii="仿宋_GB2312" w:hAnsi="仿宋_GB2312" w:cs="仿宋_GB2312" w:eastAsia="仿宋_GB2312"/>
                <w:sz w:val="22"/>
                <w:color w:val="000000"/>
              </w:rPr>
              <w:t>3.商务要求</w:t>
            </w:r>
          </w:p>
          <w:p>
            <w:pPr>
              <w:pStyle w:val="null3"/>
            </w:pPr>
            <w:r>
              <w:rPr>
                <w:rFonts w:ascii="仿宋_GB2312" w:hAnsi="仿宋_GB2312" w:cs="仿宋_GB2312" w:eastAsia="仿宋_GB2312"/>
                <w:sz w:val="22"/>
                <w:color w:val="000000"/>
              </w:rPr>
              <w:t>3.1计划工期：</w:t>
            </w:r>
            <w:r>
              <w:rPr>
                <w:rFonts w:ascii="仿宋_GB2312" w:hAnsi="仿宋_GB2312" w:cs="仿宋_GB2312" w:eastAsia="仿宋_GB2312"/>
                <w:sz w:val="22"/>
                <w:color w:val="000000"/>
              </w:rPr>
              <w:t>35</w:t>
            </w:r>
            <w:r>
              <w:rPr>
                <w:rFonts w:ascii="仿宋_GB2312" w:hAnsi="仿宋_GB2312" w:cs="仿宋_GB2312" w:eastAsia="仿宋_GB2312"/>
                <w:sz w:val="22"/>
                <w:color w:val="000000"/>
              </w:rPr>
              <w:t>日历天。</w:t>
            </w:r>
          </w:p>
          <w:p>
            <w:pPr>
              <w:pStyle w:val="null3"/>
            </w:pPr>
            <w:r>
              <w:rPr>
                <w:rFonts w:ascii="仿宋_GB2312" w:hAnsi="仿宋_GB2312" w:cs="仿宋_GB2312" w:eastAsia="仿宋_GB2312"/>
                <w:sz w:val="22"/>
                <w:color w:val="000000"/>
              </w:rPr>
              <w:t>3.2建设地点：</w:t>
            </w:r>
            <w:r>
              <w:rPr>
                <w:rFonts w:ascii="仿宋_GB2312" w:hAnsi="仿宋_GB2312" w:cs="仿宋_GB2312" w:eastAsia="仿宋_GB2312"/>
                <w:sz w:val="22"/>
                <w:color w:val="000000"/>
              </w:rPr>
              <w:t>西安市雁塔区第十七幼儿园</w:t>
            </w:r>
            <w:r>
              <w:rPr>
                <w:rFonts w:ascii="仿宋_GB2312" w:hAnsi="仿宋_GB2312" w:cs="仿宋_GB2312" w:eastAsia="仿宋_GB2312"/>
                <w:sz w:val="22"/>
                <w:color w:val="000000"/>
              </w:rPr>
              <w:t>(</w:t>
            </w:r>
            <w:r>
              <w:rPr>
                <w:rFonts w:ascii="仿宋_GB2312" w:hAnsi="仿宋_GB2312" w:cs="仿宋_GB2312" w:eastAsia="仿宋_GB2312"/>
                <w:sz w:val="22"/>
                <w:color w:val="000000"/>
              </w:rPr>
              <w:t>按采购人指定地点</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p>
          <w:p>
            <w:pPr>
              <w:pStyle w:val="null3"/>
            </w:pPr>
            <w:r>
              <w:rPr>
                <w:rFonts w:ascii="仿宋_GB2312" w:hAnsi="仿宋_GB2312" w:cs="仿宋_GB2312" w:eastAsia="仿宋_GB2312"/>
                <w:sz w:val="22"/>
                <w:color w:val="000000"/>
              </w:rPr>
              <w:t>3.3缺陷责任期:自竣工验收合格之日起2年。</w:t>
            </w:r>
          </w:p>
          <w:p>
            <w:pPr>
              <w:pStyle w:val="null3"/>
            </w:pPr>
            <w:r>
              <w:rPr>
                <w:rFonts w:ascii="仿宋_GB2312" w:hAnsi="仿宋_GB2312" w:cs="仿宋_GB2312" w:eastAsia="仿宋_GB2312"/>
                <w:sz w:val="22"/>
                <w:color w:val="000000"/>
              </w:rPr>
              <w:t>3.4质量保修：</w:t>
            </w: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质量保修</w:t>
            </w:r>
            <w:r>
              <w:rPr>
                <w:rFonts w:ascii="仿宋_GB2312" w:hAnsi="仿宋_GB2312" w:cs="仿宋_GB2312" w:eastAsia="仿宋_GB2312"/>
                <w:sz w:val="22"/>
                <w:color w:val="000000"/>
              </w:rPr>
              <w:t>期：按照国家民用建筑相关规定执行。</w:t>
            </w:r>
          </w:p>
          <w:p>
            <w:pPr>
              <w:pStyle w:val="null3"/>
              <w:ind w:firstLine="440"/>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其他相关部分工程的质量保修期根据《建设工程质量管理条例》及有关规定执行。</w:t>
            </w:r>
          </w:p>
          <w:p>
            <w:pPr>
              <w:pStyle w:val="null3"/>
            </w:pPr>
            <w:r>
              <w:rPr>
                <w:rFonts w:ascii="仿宋_GB2312" w:hAnsi="仿宋_GB2312" w:cs="仿宋_GB2312" w:eastAsia="仿宋_GB2312"/>
                <w:sz w:val="22"/>
                <w:color w:val="000000"/>
              </w:rPr>
              <w:t>4.其他要求或说明</w:t>
            </w:r>
          </w:p>
          <w:p>
            <w:pPr>
              <w:pStyle w:val="null3"/>
              <w:ind w:firstLine="220"/>
            </w:pPr>
            <w:r>
              <w:rPr>
                <w:rFonts w:ascii="仿宋_GB2312" w:hAnsi="仿宋_GB2312" w:cs="仿宋_GB2312" w:eastAsia="仿宋_GB2312"/>
                <w:sz w:val="22"/>
                <w:color w:val="000000"/>
              </w:rPr>
              <w:t>4.1本项目包工、包料、包工期、包质量、包安全、包调试、包垃圾外运、包文明施工，供应商的响应报价包括施工费、人工费、管理费、材料与设备费、安装费、维护费、保险费、采购代理费、税金、利润等所有费用，并符合建设工程计价规则。</w:t>
            </w:r>
          </w:p>
          <w:p>
            <w:pPr>
              <w:pStyle w:val="null3"/>
            </w:pPr>
            <w:r>
              <w:rPr>
                <w:rFonts w:ascii="仿宋_GB2312" w:hAnsi="仿宋_GB2312" w:cs="仿宋_GB2312" w:eastAsia="仿宋_GB2312"/>
                <w:sz w:val="22"/>
                <w:color w:val="000000"/>
              </w:rPr>
              <w:t>4.</w:t>
            </w:r>
            <w:r>
              <w:rPr>
                <w:rFonts w:ascii="仿宋_GB2312" w:hAnsi="仿宋_GB2312" w:cs="仿宋_GB2312" w:eastAsia="仿宋_GB2312"/>
                <w:sz w:val="22"/>
                <w:color w:val="000000"/>
              </w:rPr>
              <w:t>2</w:t>
            </w:r>
            <w:r>
              <w:rPr>
                <w:rFonts w:ascii="仿宋_GB2312" w:hAnsi="仿宋_GB2312" w:cs="仿宋_GB2312" w:eastAsia="仿宋_GB2312"/>
                <w:sz w:val="22"/>
                <w:color w:val="000000"/>
              </w:rPr>
              <w:t>本项目所属行业</w:t>
            </w:r>
            <w:r>
              <w:rPr>
                <w:rFonts w:ascii="仿宋_GB2312" w:hAnsi="仿宋_GB2312" w:cs="仿宋_GB2312" w:eastAsia="仿宋_GB2312"/>
                <w:sz w:val="22"/>
                <w:color w:val="000000"/>
              </w:rPr>
              <w:t>为：</w:t>
            </w:r>
            <w:r>
              <w:rPr>
                <w:rFonts w:ascii="仿宋_GB2312" w:hAnsi="仿宋_GB2312" w:cs="仿宋_GB2312" w:eastAsia="仿宋_GB2312"/>
                <w:sz w:val="22"/>
                <w:color w:val="000000"/>
              </w:rPr>
              <w:t>建筑业，划型标准为：营业收入</w:t>
            </w:r>
            <w:r>
              <w:rPr>
                <w:rFonts w:ascii="仿宋_GB2312" w:hAnsi="仿宋_GB2312" w:cs="仿宋_GB2312" w:eastAsia="仿宋_GB2312"/>
                <w:sz w:val="22"/>
                <w:color w:val="000000"/>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(一)质量要求：达到国家及行业现行建设工程施工质量验收规范及采购人要求的“合格”标准。 (二)质量标准或规范：①符合《绿色建筑和绿色建材政府采购需求标准》《建筑工程施工质量验收统一标准》GB50300-2013等相关国家及行业标准；②本工程的施工过程和成果必须符合国家有关工程建设标准强制性条文和国家或有关部门关于工程承包方面现行的标准、规范、规程、定额、办法、示例，以及陕西省关于工程承包方面的文件、规定；③承包人在施工过程中使用或参考上述标准、规范以外的技术标准、规范时，应征得采购人或采购人指定代表人的同意；④在施工过程中，如果国家或有关部门颁布了新的技术标准或规范，则承包人应采用新的标准或规范进行施工；⑤承包人按《建筑工程施工质量验收统一标准》GB50300-2013及国家、陕西省、西安市相关规定，完成验收后，进行工程竣工验收。凡涉及的相关规范，国家有最新标准的以最新标准为准，所有标准哪个标准高执行哪个标准 (三)验收标准和方法：现行的国家标准或国家行政部门颁布的法律法规、规章制度等，是项目验收的重要依据，采购人按照国家、省、市(行业)强制性标准及合同约定对承包人的施工(含材料及服务)进行检查或验收，承包人须接受采购人的各类检查或验收；若验收不通过或质量不合格，承包人应在一定期限内进行整改完善，以采购人要求的标准提供合格工程；若承包人在接受检查整改后，仍不能提供符合采购要求的质量标准，采购人有权按违约予以撤项并要求承包人承担相应的法律责任和经济损失。具体按拟定合同相关条款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(一)材料供应要求 (1)选用的主材、设备、辅材必须为国家合格产品且符合国家环保等相关标准，满足施工要求，质量可靠、进货渠道正常，并明确其品牌、规格、型号、产地，并附鉴定证书，对主要设备材料必须先提交样品，经鉴定确认后，方可订货，不得使用未经检验或不合格的设备、材料，若发生此种情况，采购人将依法追究承包人相关责任和由此造成的一切经济损失。 (2)承包人供应的材料应按合同规定按时、按质、按量供应，项目所需主要施工材料、设备等辅助材料均由承包人负责供应，必须满足设计要求和国家有关标准，并应具有合格证等质量证明资料，且经采购人确认后方可使用；采购人采用抽检办法责成承包人分批次进行检测，费用由承包人承担。 (3)因材料供应不及时或质量不合格所造成的损失(包括仓库保管费)由承包人自行承担。 (二)技术及服务要求 (1)承包人根据工程实际情况编制施工组织计划，制定工期进度安排、突发应急处理措施、施工质量控制等承包方案，并随投标文件一并提交采购人。 (2)严格按照国家和陕西省有关规定施工、规范施工，确保工程合格，如有更改须事先征得采购人有关方面的同意，并在采购人落实后实施，并出具书面说明。 (3)工程实施必须完全符合规定的技术、方案、质量、规格、材质等要求；根据实际需要，承包人应在工程施工实施期间进行巡查，若出现质量问题，应及时对工程出现的问题进行维修，因承包人原因导致工程质量达不到约定的质量标准，由承包人自行承担相关责任。 (4)施工过程中严格遵守有关施工规范和安全操作规程及采购人单位的管理规章制度，采取有效的安全保障措施，确保施工安全，包括悬挂警示标牌、装设围栏、配备安全人员等，做到安全、文明施工；所有施工人员需统一着装统一单位标识，严禁随意通行；如发生工伤及意外事故由承包人自行承担事故的全部费用和责任。 (5)承包人必须服从当地对治安、卫生、环保、社会保险等工程建设的统一管理，并按有关规定缴纳费用以及因违反相关规定而造成的罚款；施工方自行办理垃圾清理手续，遵守政府有关垃圾分类处理有关规定，承担自行处置不当导致的全部费用和责任。 (6)施工期间，负责施工区域内的安全、保卫及消防等工作，注意施工区域内人员安全,加强安全措施，并对施工人员进行安全教育，施工人员均应严格按照相关技术规范进行施工，做到安全施工且不影响交通；如因措施不力造成人员伤亡或财产损失等一切事故，由自行承担因此而导致的全部责任和损失。 (7)施工期间需采取必要措施确保现场正常运行，做好施工现场组织管理、安全、文明施工，维护现场秩序，做到工完场清、道路畅通，建筑垃圾不得随意堆放；根据施工现场采取不同的围挡方式进行围挡作业，做到封闭性施工并设有施工告示牌，严禁用进场材料做防护；承包人负责办理建筑垃圾外运有关手续，由供应商自行联系运至项目所在辖区地以外的建筑垃圾堆放场所并承担相应的费用；施工过程中当天产生的废渣、垃圾等应在当天施工结束后清理完毕，做到工完料尽场地清。 (8)合理安排作业时间，降低噪声污染、粉尘污染，确保施工现场周围的正常工作与休息，按国家有关施工时间规定进行施工，施工中避免给他人带来干扰。 (9)承包人根据项目特性及要求，成立履行合同所需的项目管理组织机构，项目组成员(不限于项目负责人、技术负责人、管理人员、安全专职人员、质检人员、资料员、专业的施工人员等)结构合理、分工明确，并保证项目组成员具有相应资格或职称证书，持证上岗；施工队伍稳定，确保整个工程按期限按质量顺利完工；未经采购人同意，不得擅自更换本工程在响应文件中指定的项目施工负责人(项目经理)及施工队伍。 (10)承包人根据项目特性及要求，自行配置履行合同所需的机械设备及工具，未经采购人书面同意擅自使用或损坏采购方设施设备，自行承担因此而导致的全部责任和损失。 (11)承包人应对工程过程中所出现的问题及时进行解决、调整，并做好记录，质量标准以达到采购文件中所规定的全部相关要求为准，如果发现与详细需求不符或达不到规定的性能指标，采购人有权拒绝付款或付款时间段推迟付款且不承担任何违约责任，承包人不得以此为由停止履行本项目的任意义务。 (12)承包人在工程缺陷责任期内，应按照有关法律法规规定和双方合同条款约定，承担本工程的质量保修责任，工程缺陷责任期过后，如出现质量问题，亦应积极协助解决，承包人的后续服务要完善、可靠、及时，并派遣相关技术人员配合采购人检查、维修。 (13)工程质量保修期内出现的质量问题由承包人负责，保修内容为由承包人负责的本工程全部质量问题(工程维修、设备维修、零部件更换、伴随服务等)，响应时间为正常工作日2小时内答复，6小时内到现场处理。节假日及法定休息日4小时内答复，12小时内到现场处理。 (14)其它未详之处均应遵照国家现行有关规范。</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磋商有效期：1.出现特殊情况需要延长磋商有效期的，采购代理机构或采购人可于磋商有效期满之前，以书面形式通知所有供应商延长磋商有效期。2.在磋商有效期内，供应商撤销响应文件的，应承担磋商文件和法律规定的责任。3.成交供应商的磋商有效期自动延长至合同终止为止。 (二)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(四)供应商的电子响应文件中的所有文字资料、图纸、数据、方案、证书、检测报告等响应内容应清晰可辨，表达意思统一，便于查找，供应商自行承担资料模糊不清、无法辨认的不利后果。 (五)文件中签名是指：手写签名或加盖签名章(含电子章、印章、签名章)，盖章是指加盖单位公章(含电子章)。 (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两套用于备案，纸质响应文件应通过专用制作软件直接打印(自定单双面、黑白/彩色)，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法定代表人身份证明/法定代表人委托授权书。</w:t>
            </w:r>
          </w:p>
        </w:tc>
        <w:tc>
          <w:tcPr>
            <w:tcW w:type="dxa" w:w="3322"/>
          </w:tcPr>
          <w:p>
            <w:pPr>
              <w:pStyle w:val="null3"/>
            </w:pPr>
            <w:r>
              <w:rPr>
                <w:rFonts w:ascii="仿宋_GB2312" w:hAnsi="仿宋_GB2312" w:cs="仿宋_GB2312" w:eastAsia="仿宋_GB2312"/>
              </w:rPr>
              <w:t>(说明：按照电子化全流程要求，投标(响应)文件递交时，投标(响应)文件递交(签到)人应为法定代表人或授权委托人，否则，按无效响应(投标)文件处理)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承接工程的供应商应为符合政策要求的小微企业或残疾人福利性单位或监狱企业。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供应商须具备建设部门颁发的装修装饰工程专业承包二级及以上资质，并具备有效的安全生产许可证。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投标人拟派项目负责人特殊资格(行政许可)要求</w:t>
            </w:r>
          </w:p>
        </w:tc>
        <w:tc>
          <w:tcPr>
            <w:tcW w:type="dxa" w:w="3322"/>
          </w:tcPr>
          <w:p>
            <w:pPr>
              <w:pStyle w:val="null3"/>
            </w:pPr>
            <w:r>
              <w:rPr>
                <w:rFonts w:ascii="仿宋_GB2312" w:hAnsi="仿宋_GB2312" w:cs="仿宋_GB2312" w:eastAsia="仿宋_GB2312"/>
              </w:rPr>
              <w:t>供应商拟派项目负责人须具备建筑工程专业二级及以上注册建造师执业资格，具备有效的安全生产考核合格证书(建安B证)，在本单位注册，且未担任其他在建工程项目的项目经理(提供承诺)。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其他特殊资格(行政许可)要求</w:t>
            </w:r>
          </w:p>
        </w:tc>
        <w:tc>
          <w:tcPr>
            <w:tcW w:type="dxa" w:w="3322"/>
          </w:tcPr>
          <w:p>
            <w:pPr>
              <w:pStyle w:val="null3"/>
            </w:pPr>
            <w:r>
              <w:rPr>
                <w:rFonts w:ascii="仿宋_GB2312" w:hAnsi="仿宋_GB2312" w:cs="仿宋_GB2312" w:eastAsia="仿宋_GB2312"/>
              </w:rPr>
              <w:t>供应商的基本信息及拟派项目负责人的基本信息在“陕西省住房和城乡建设厅”(http://js.shaanxi.gov.cn/)或“陕西政务服务网”(https://zwfw.shaanxi.gov.cn/sx/public/index)可查询且无不良行为记录，并在各级建设诚信信息平台未被列为投标受限制的行为人或被列为严重违法失信企业名单(提供承诺)。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(1.已标价工程量清单的扉页(仅指投标总价扉页)应由注册在本单位的造价人员签字并盖执业印章；2.已标价工程量清单的扉页(仅指投标总价扉页)，由受托第三方咨询公司编制的，扉页由受托咨询公司的注册造价师签字并盖执业印章，同时提供与受托第三方咨询公司委托咨询合同)。</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工期、质量标准、质量保修期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响应文件内容齐全、无遗漏，符合采购文件中实质性条款的规定，且未含有采购人不能接受的附加条件。</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根据施工部署中①施工目标；②施工准备；③管理机构及劳动力安排；④施工布置与安排；⑤施工进度；⑥工期保证等方案措施的响应程度。 说明：以上评分标准中每一项方案措施计3分，每项中每有一处有缺陷(备注：a.缺陷包括但不限于存在项目名称错误、地点区域错误、内容与本项目需求无关、方案内容矛盾或表述前后不一致、仅有框架或标题、适用的标准(方法)错误、明显复制其他项目内容等情形。b.独立一条不符合要求、一处文字错误、一处逻辑矛盾，计1处缺陷；同一自然段内多处同类瑕疵，合并计1处缺陷。)的扣0.5分，扣完为止。每缺一项内容，或单项内容直接复制其他项目的，或无针对性内容的，或仅列标题/框架的，或无具体落地措施的，该项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根据施工方案中①石材基层修整；②旧护栏拆除；③围墙水刨沙墙面粉刷；④铁艺造型护栏安装；⑤塑木造型墙安装等方案措施的响应程度。 说明：以上评分标准中每一项方案措施计3分，每项中每有一处有缺陷(备注：a.缺陷包括但不限于存在项目名称错误、地点区域错误、内容与本项目需求无关、方案内容矛盾或表述前后不一致、仅有框架或标题、适用的标准(方法)错误、明显复制其他项目内容等情形。b.独立一条不符合要求、一处文字错误、一处逻辑矛盾，计1处缺陷；同一自然段内多处同类瑕疵，合并计1处缺陷。)的扣0.5分，扣完为止。每缺一项内容，或单项内容直接复制其他项目的，或无针对性内容的，或仅列标题/框架的，或无具体落地措施的，该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安全、文明施工及环境保护等</w:t>
            </w:r>
          </w:p>
        </w:tc>
        <w:tc>
          <w:tcPr>
            <w:tcW w:type="dxa" w:w="2492"/>
          </w:tcPr>
          <w:p>
            <w:pPr>
              <w:pStyle w:val="null3"/>
            </w:pPr>
            <w:r>
              <w:rPr>
                <w:rFonts w:ascii="仿宋_GB2312" w:hAnsi="仿宋_GB2312" w:cs="仿宋_GB2312" w:eastAsia="仿宋_GB2312"/>
              </w:rPr>
              <w:t>根据安全、文明施工及环境保护中①安全施工；②文明施工；③环境保护；④成品保护等方案措施的响应程度。 说明：以上评分标准中每一项方案措施计3分，每项中每有一处有缺陷(备注：a.缺陷包括但不限于存在项目名称错误、地点区域错误、内容与本项目需求无关、方案内容矛盾或表述前后不一致、仅有框架或标题、适用的标准(方法)错误、明显复制其他项目内容等情形。b.独立一条不符合要求、一处文字错误、一处逻辑矛盾，计1处缺陷；同一自然段内多处同类瑕疵，合并计1处缺陷。)的扣0.5分，扣完为止。每缺一项内容，或单项内容直接复制其他项目的，或无针对性内容的，或仅列标题/框架的，或无具体落地措施的，该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主要管理</w:t>
            </w:r>
          </w:p>
        </w:tc>
        <w:tc>
          <w:tcPr>
            <w:tcW w:type="dxa" w:w="2492"/>
          </w:tcPr>
          <w:p>
            <w:pPr>
              <w:pStyle w:val="null3"/>
            </w:pPr>
            <w:r>
              <w:rPr>
                <w:rFonts w:ascii="仿宋_GB2312" w:hAnsi="仿宋_GB2312" w:cs="仿宋_GB2312" w:eastAsia="仿宋_GB2312"/>
              </w:rPr>
              <w:t>根据主要管理措施中①季节性施工；②质量控制；③突发、应急处理；④交付、验收；⑤后续(售后)服务等方案措施的响应程度。 说明：以上评分标准中每一项方案措施计3分，每项中每有一处有缺陷(备注：a.缺陷包括但不限于存在项目名称错误、地点区域错误、内容与本项目需求无关、方案内容矛盾或表述前后不一致、仅有框架或标题、适用的标准(方法)错误、明显复制其他项目内容等情形。b.独立一条不符合要求、一处文字错误、一处逻辑矛盾，计1处缺陷；同一自然段内多处同类瑕疵，合并计1处缺陷。)的扣0.5分，扣完为止。每缺一项内容，或单项内容直接复制其他项目的，或无针对性内容的，或仅列标题/框架的，或无具体落地措施的，该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供应商具有2023年1月1日至今(以合同签订日期为准)的类似(与本项目在标的、类型、功能等方面相同或相似)项目业绩，业绩以合同扫描(复印)件为依据，每提供1个业绩计2分，最多得10分。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30。 (最低报价不是中标(成交)的唯一依据)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