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AF147">
      <w:pPr>
        <w:pStyle w:val="9"/>
        <w:keepNext w:val="0"/>
        <w:keepLines w:val="0"/>
        <w:pageBreakBefore w:val="0"/>
        <w:widowControl/>
        <w:kinsoku/>
        <w:wordWrap/>
        <w:overflowPunct/>
        <w:topLinePunct w:val="0"/>
        <w:autoSpaceDE/>
        <w:autoSpaceDN/>
        <w:bidi w:val="0"/>
        <w:adjustRightInd/>
        <w:snapToGrid/>
        <w:spacing w:line="300" w:lineRule="auto"/>
        <w:jc w:val="center"/>
        <w:textAlignment w:val="auto"/>
        <w:outlineLvl w:val="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3AFC33FC">
      <w:pPr>
        <w:spacing w:before="240" w:beforeLines="100" w:line="360" w:lineRule="auto"/>
        <w:jc w:val="left"/>
        <w:rPr>
          <w:rFonts w:hint="eastAsia" w:ascii="仿宋" w:hAnsi="仿宋" w:eastAsia="仿宋" w:cs="仿宋"/>
          <w:bCs/>
          <w:color w:val="000000" w:themeColor="text1"/>
          <w:szCs w:val="21"/>
          <w:highlight w:val="none"/>
          <w:lang w:eastAsia="zh-CN"/>
          <w14:textFill>
            <w14:solidFill>
              <w14:schemeClr w14:val="tx1"/>
            </w14:solidFill>
          </w14:textFill>
        </w:rPr>
      </w:pPr>
      <w:bookmarkStart w:id="495" w:name="_GoBack"/>
      <w:bookmarkEnd w:id="495"/>
      <w:r>
        <w:rPr>
          <w:rFonts w:hint="eastAsia" w:ascii="仿宋" w:hAnsi="仿宋" w:eastAsia="仿宋" w:cs="仿宋"/>
          <w:bCs/>
          <w:color w:val="000000" w:themeColor="text1"/>
          <w:szCs w:val="21"/>
          <w:highlight w:val="none"/>
          <w:lang w:eastAsia="zh-CN"/>
          <w14:textFill>
            <w14:solidFill>
              <w14:schemeClr w14:val="tx1"/>
            </w14:solidFill>
          </w14:textFill>
        </w:rPr>
        <w:t>(</w:t>
      </w:r>
      <w:r>
        <w:rPr>
          <w:rFonts w:hint="eastAsia" w:ascii="仿宋" w:hAnsi="仿宋" w:eastAsia="仿宋" w:cs="仿宋"/>
          <w:bCs/>
          <w:color w:val="000000" w:themeColor="text1"/>
          <w:szCs w:val="21"/>
          <w:highlight w:val="none"/>
          <w14:textFill>
            <w14:solidFill>
              <w14:schemeClr w14:val="tx1"/>
            </w14:solidFill>
          </w14:textFill>
        </w:rPr>
        <w:t>GF—2017—0201</w:t>
      </w:r>
      <w:r>
        <w:rPr>
          <w:rFonts w:hint="eastAsia" w:ascii="仿宋" w:hAnsi="仿宋" w:eastAsia="仿宋" w:cs="仿宋"/>
          <w:bCs/>
          <w:color w:val="000000" w:themeColor="text1"/>
          <w:szCs w:val="21"/>
          <w:highlight w:val="none"/>
          <w:lang w:eastAsia="zh-CN"/>
          <w14:textFill>
            <w14:solidFill>
              <w14:schemeClr w14:val="tx1"/>
            </w14:solidFill>
          </w14:textFill>
        </w:rPr>
        <w:t>)</w:t>
      </w:r>
    </w:p>
    <w:p w14:paraId="3178B0F6">
      <w:pPr>
        <w:jc w:val="center"/>
        <w:rPr>
          <w:rFonts w:hint="eastAsia" w:ascii="仿宋" w:hAnsi="仿宋" w:eastAsia="仿宋" w:cs="仿宋"/>
          <w:b/>
          <w:color w:val="000000" w:themeColor="text1"/>
          <w:szCs w:val="21"/>
          <w:highlight w:val="none"/>
          <w14:textFill>
            <w14:solidFill>
              <w14:schemeClr w14:val="tx1"/>
            </w14:solidFill>
          </w14:textFill>
        </w:rPr>
      </w:pPr>
    </w:p>
    <w:p w14:paraId="6D15FAC8">
      <w:pPr>
        <w:jc w:val="center"/>
        <w:rPr>
          <w:rFonts w:hint="eastAsia" w:ascii="仿宋" w:hAnsi="仿宋" w:eastAsia="仿宋" w:cs="仿宋"/>
          <w:b/>
          <w:color w:val="000000" w:themeColor="text1"/>
          <w:szCs w:val="21"/>
          <w:highlight w:val="none"/>
          <w14:textFill>
            <w14:solidFill>
              <w14:schemeClr w14:val="tx1"/>
            </w14:solidFill>
          </w14:textFill>
        </w:rPr>
      </w:pPr>
    </w:p>
    <w:p w14:paraId="12E6D2BB">
      <w:pPr>
        <w:jc w:val="center"/>
        <w:rPr>
          <w:rFonts w:hint="eastAsia" w:ascii="仿宋" w:hAnsi="仿宋" w:eastAsia="仿宋" w:cs="仿宋"/>
          <w:b/>
          <w:color w:val="000000" w:themeColor="text1"/>
          <w:szCs w:val="21"/>
          <w:highlight w:val="none"/>
          <w14:textFill>
            <w14:solidFill>
              <w14:schemeClr w14:val="tx1"/>
            </w14:solidFill>
          </w14:textFill>
        </w:rPr>
      </w:pPr>
    </w:p>
    <w:p w14:paraId="385F3BBA">
      <w:pPr>
        <w:jc w:val="center"/>
        <w:rPr>
          <w:rFonts w:hint="eastAsia" w:ascii="仿宋" w:hAnsi="仿宋" w:eastAsia="仿宋" w:cs="仿宋"/>
          <w:b/>
          <w:color w:val="000000" w:themeColor="text1"/>
          <w:szCs w:val="21"/>
          <w:highlight w:val="none"/>
          <w14:textFill>
            <w14:solidFill>
              <w14:schemeClr w14:val="tx1"/>
            </w14:solidFill>
          </w14:textFill>
        </w:rPr>
      </w:pPr>
    </w:p>
    <w:p w14:paraId="05A3E428">
      <w:pPr>
        <w:pStyle w:val="6"/>
        <w:ind w:firstLine="210"/>
        <w:rPr>
          <w:rFonts w:hint="eastAsia" w:ascii="仿宋" w:hAnsi="仿宋" w:eastAsia="仿宋" w:cs="仿宋"/>
          <w:color w:val="000000" w:themeColor="text1"/>
          <w:highlight w:val="none"/>
          <w14:textFill>
            <w14:solidFill>
              <w14:schemeClr w14:val="tx1"/>
            </w14:solidFill>
          </w14:textFill>
        </w:rPr>
      </w:pPr>
    </w:p>
    <w:p w14:paraId="44D48FD9">
      <w:pPr>
        <w:pStyle w:val="6"/>
        <w:ind w:firstLine="210"/>
        <w:rPr>
          <w:rFonts w:hint="eastAsia" w:ascii="仿宋" w:hAnsi="仿宋" w:eastAsia="仿宋" w:cs="仿宋"/>
          <w:color w:val="000000" w:themeColor="text1"/>
          <w:highlight w:val="none"/>
          <w14:textFill>
            <w14:solidFill>
              <w14:schemeClr w14:val="tx1"/>
            </w14:solidFill>
          </w14:textFill>
        </w:rPr>
      </w:pPr>
    </w:p>
    <w:p w14:paraId="514153D5">
      <w:pPr>
        <w:pStyle w:val="6"/>
        <w:ind w:firstLine="210"/>
        <w:rPr>
          <w:rFonts w:hint="eastAsia" w:ascii="仿宋" w:hAnsi="仿宋" w:eastAsia="仿宋" w:cs="仿宋"/>
          <w:color w:val="000000" w:themeColor="text1"/>
          <w:highlight w:val="none"/>
          <w14:textFill>
            <w14:solidFill>
              <w14:schemeClr w14:val="tx1"/>
            </w14:solidFill>
          </w14:textFill>
        </w:rPr>
      </w:pPr>
    </w:p>
    <w:p w14:paraId="4A4E8C7E">
      <w:pPr>
        <w:pStyle w:val="6"/>
        <w:ind w:firstLine="0" w:firstLineChars="0"/>
        <w:rPr>
          <w:rFonts w:hint="eastAsia" w:ascii="仿宋" w:hAnsi="仿宋" w:eastAsia="仿宋" w:cs="仿宋"/>
          <w:color w:val="000000" w:themeColor="text1"/>
          <w:highlight w:val="none"/>
          <w14:textFill>
            <w14:solidFill>
              <w14:schemeClr w14:val="tx1"/>
            </w14:solidFill>
          </w14:textFill>
        </w:rPr>
      </w:pPr>
    </w:p>
    <w:p w14:paraId="5BBD21EE">
      <w:pPr>
        <w:pStyle w:val="6"/>
        <w:ind w:firstLine="210"/>
        <w:rPr>
          <w:rFonts w:hint="eastAsia" w:ascii="仿宋" w:hAnsi="仿宋" w:eastAsia="仿宋" w:cs="仿宋"/>
          <w:color w:val="000000" w:themeColor="text1"/>
          <w:highlight w:val="none"/>
          <w14:textFill>
            <w14:solidFill>
              <w14:schemeClr w14:val="tx1"/>
            </w14:solidFill>
          </w14:textFill>
        </w:rPr>
      </w:pPr>
    </w:p>
    <w:p w14:paraId="24AB15FB">
      <w:pPr>
        <w:spacing w:line="360" w:lineRule="auto"/>
        <w:jc w:val="center"/>
        <w:rPr>
          <w:rFonts w:hint="eastAsia" w:ascii="仿宋" w:hAnsi="仿宋" w:eastAsia="仿宋" w:cs="仿宋"/>
          <w:b/>
          <w:bCs/>
          <w:color w:val="000000" w:themeColor="text1"/>
          <w:kern w:val="0"/>
          <w:sz w:val="36"/>
          <w:szCs w:val="36"/>
          <w:highlight w:val="none"/>
          <w14:textFill>
            <w14:solidFill>
              <w14:schemeClr w14:val="tx1"/>
            </w14:solidFill>
          </w14:textFill>
        </w:rPr>
      </w:pPr>
      <w:bookmarkStart w:id="0" w:name="_Toc30654_WPSOffice_Level2"/>
      <w:r>
        <w:rPr>
          <w:rFonts w:hint="eastAsia" w:ascii="仿宋" w:hAnsi="仿宋" w:eastAsia="仿宋" w:cs="仿宋"/>
          <w:bCs/>
          <w:color w:val="000000" w:themeColor="text1"/>
          <w:kern w:val="0"/>
          <w:sz w:val="44"/>
          <w:szCs w:val="44"/>
          <w:highlight w:val="none"/>
          <w14:textFill>
            <w14:solidFill>
              <w14:schemeClr w14:val="tx1"/>
            </w14:solidFill>
          </w14:textFill>
        </w:rPr>
        <w:t>建设工程施工合同</w:t>
      </w:r>
      <w:bookmarkEnd w:id="0"/>
      <w:r>
        <w:rPr>
          <w:rFonts w:hint="eastAsia" w:ascii="仿宋" w:hAnsi="仿宋" w:eastAsia="仿宋" w:cs="仿宋"/>
          <w:bCs/>
          <w:color w:val="000000" w:themeColor="text1"/>
          <w:kern w:val="0"/>
          <w:sz w:val="44"/>
          <w:szCs w:val="44"/>
          <w:highlight w:val="none"/>
          <w14:textFill>
            <w14:solidFill>
              <w14:schemeClr w14:val="tx1"/>
            </w14:solidFill>
          </w14:textFill>
        </w:rPr>
        <w:br w:type="textWrapping"/>
      </w:r>
    </w:p>
    <w:p w14:paraId="6C7A28DE">
      <w:pPr>
        <w:widowControl/>
        <w:jc w:val="center"/>
        <w:rPr>
          <w:rFonts w:hint="eastAsia" w:ascii="仿宋" w:hAnsi="仿宋" w:eastAsia="仿宋" w:cs="仿宋"/>
          <w:b/>
          <w:bCs/>
          <w:color w:val="000000" w:themeColor="text1"/>
          <w:kern w:val="0"/>
          <w:sz w:val="36"/>
          <w:szCs w:val="36"/>
          <w:highlight w:val="none"/>
          <w14:textFill>
            <w14:solidFill>
              <w14:schemeClr w14:val="tx1"/>
            </w14:solidFill>
          </w14:textFill>
        </w:rPr>
      </w:pPr>
    </w:p>
    <w:p w14:paraId="1A3AD551">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774DF748">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368BB5E8">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44979B97">
      <w:pPr>
        <w:widowControl/>
        <w:rPr>
          <w:rFonts w:hint="eastAsia" w:ascii="仿宋" w:hAnsi="仿宋" w:eastAsia="仿宋" w:cs="仿宋"/>
          <w:b/>
          <w:bCs/>
          <w:color w:val="000000" w:themeColor="text1"/>
          <w:kern w:val="0"/>
          <w:sz w:val="32"/>
          <w:szCs w:val="32"/>
          <w:highlight w:val="none"/>
          <w14:textFill>
            <w14:solidFill>
              <w14:schemeClr w14:val="tx1"/>
            </w14:solidFill>
          </w14:textFill>
        </w:rPr>
      </w:pPr>
    </w:p>
    <w:p w14:paraId="6E406679">
      <w:pPr>
        <w:widowControl/>
        <w:ind w:firstLine="200"/>
        <w:jc w:val="center"/>
        <w:rPr>
          <w:rFonts w:hint="eastAsia" w:ascii="仿宋" w:hAnsi="仿宋" w:eastAsia="仿宋" w:cs="仿宋"/>
          <w:b/>
          <w:bCs/>
          <w:color w:val="000000" w:themeColor="text1"/>
          <w:kern w:val="0"/>
          <w:sz w:val="32"/>
          <w:szCs w:val="32"/>
          <w:highlight w:val="none"/>
          <w14:textFill>
            <w14:solidFill>
              <w14:schemeClr w14:val="tx1"/>
            </w14:solidFill>
          </w14:textFill>
        </w:rPr>
      </w:pPr>
    </w:p>
    <w:p w14:paraId="031B8112">
      <w:pPr>
        <w:ind w:right="2719" w:rightChars="1295" w:firstLine="3080" w:firstLineChars="1100"/>
        <w:jc w:val="right"/>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3714750</wp:posOffset>
                </wp:positionH>
                <wp:positionV relativeFrom="paragraph">
                  <wp:posOffset>131445</wp:posOffset>
                </wp:positionV>
                <wp:extent cx="657225" cy="514350"/>
                <wp:effectExtent l="4445" t="4445" r="5080" b="1460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57225" cy="514350"/>
                        </a:xfrm>
                        <a:prstGeom prst="rect">
                          <a:avLst/>
                        </a:prstGeom>
                        <a:noFill/>
                        <a:ln w="9525" cmpd="sng">
                          <a:solidFill>
                            <a:srgbClr val="FFFFFF"/>
                          </a:solidFill>
                          <a:miter lim="800000"/>
                        </a:ln>
                        <a:effectLst/>
                      </wps:spPr>
                      <wps:txbx>
                        <w:txbxContent>
                          <w:p w14:paraId="60C6A433">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92.5pt;margin-top:10.35pt;height:40.5pt;width:51.75pt;z-index:251659264;mso-width-relative:page;mso-height-relative:page;" filled="f" stroked="t" coordsize="21600,21600" o:gfxdata="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ATukm9kAAAAKAQAADwAAAAAA&#10;AAABACAAAAAiAAAAZHJzL2Rvd25yZXYueG1sUEsBAhQAFAAAAAgAh07iQCK2oJxLAgAAdgQAAA4A&#10;AAAAAAAAAQAgAAAAKAEAAGRycy9lMm9Eb2MueG1sUEsFBgAAAAAGAAYAWQEAAOUFAAAAAA==&#10;">
                <v:fill on="f" focussize="0,0"/>
                <v:stroke color="#FFFFFF" miterlimit="8" joinstyle="miter"/>
                <v:imagedata o:title=""/>
                <o:lock v:ext="edit" aspectratio="f"/>
                <v:textbox>
                  <w:txbxContent>
                    <w:p w14:paraId="60C6A433">
                      <w:pPr>
                        <w:rPr>
                          <w:b/>
                          <w:bCs/>
                          <w:sz w:val="32"/>
                        </w:rPr>
                      </w:pPr>
                      <w:r>
                        <w:rPr>
                          <w:rFonts w:hint="eastAsia"/>
                          <w:b/>
                          <w:bCs/>
                          <w:sz w:val="32"/>
                        </w:rPr>
                        <w:t>制定</w:t>
                      </w:r>
                    </w:p>
                  </w:txbxContent>
                </v:textbox>
              </v:shape>
            </w:pict>
          </mc:Fallback>
        </mc:AlternateContent>
      </w:r>
      <w:r>
        <w:rPr>
          <w:rFonts w:hint="eastAsia" w:ascii="仿宋" w:hAnsi="仿宋" w:eastAsia="仿宋" w:cs="仿宋"/>
          <w:b/>
          <w:color w:val="000000" w:themeColor="text1"/>
          <w:sz w:val="28"/>
          <w:szCs w:val="28"/>
          <w:highlight w:val="none"/>
          <w14:textFill>
            <w14:solidFill>
              <w14:schemeClr w14:val="tx1"/>
            </w14:solidFill>
          </w14:textFill>
        </w:rPr>
        <w:t>住房和城乡建设部</w:t>
      </w:r>
    </w:p>
    <w:p w14:paraId="25A61D9B">
      <w:pPr>
        <w:ind w:right="2719" w:rightChars="1295" w:firstLine="2406" w:firstLineChars="856"/>
        <w:jc w:val="right"/>
        <w:rPr>
          <w:rFonts w:hint="eastAsia" w:ascii="仿宋" w:hAnsi="仿宋" w:eastAsia="仿宋" w:cs="仿宋"/>
          <w:b/>
          <w:color w:val="000000" w:themeColor="text1"/>
          <w:sz w:val="28"/>
          <w:szCs w:val="28"/>
          <w:highlight w:val="none"/>
          <w14:textFill>
            <w14:solidFill>
              <w14:schemeClr w14:val="tx1"/>
            </w14:solidFill>
          </w14:textFill>
        </w:rPr>
      </w:pPr>
      <w:bookmarkStart w:id="1" w:name="_Toc30486_WPSOffice_Level2"/>
      <w:r>
        <w:rPr>
          <w:rFonts w:hint="eastAsia" w:ascii="仿宋" w:hAnsi="仿宋" w:eastAsia="仿宋" w:cs="仿宋"/>
          <w:b/>
          <w:color w:val="000000" w:themeColor="text1"/>
          <w:sz w:val="28"/>
          <w:szCs w:val="28"/>
          <w:highlight w:val="none"/>
          <w14:textFill>
            <w14:solidFill>
              <w14:schemeClr w14:val="tx1"/>
            </w14:solidFill>
          </w14:textFill>
        </w:rPr>
        <w:t>国家工商行政管理总局</w:t>
      </w:r>
      <w:bookmarkEnd w:id="1"/>
    </w:p>
    <w:p w14:paraId="0668A7EA">
      <w:pPr>
        <w:widowControl/>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71BBD50F">
      <w:pPr>
        <w:keepNext w:val="0"/>
        <w:keepLines w:val="0"/>
        <w:pageBreakBefore w:val="0"/>
        <w:widowControl w:val="0"/>
        <w:kinsoku/>
        <w:wordWrap/>
        <w:overflowPunct/>
        <w:topLinePunct w:val="0"/>
        <w:bidi w:val="0"/>
        <w:snapToGrid/>
        <w:spacing w:line="324" w:lineRule="auto"/>
        <w:jc w:val="center"/>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第一部分合同协议书</w:t>
      </w:r>
    </w:p>
    <w:p w14:paraId="3EF62964">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发包人</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全称</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w:t>
      </w:r>
    </w:p>
    <w:p w14:paraId="4FA35D49">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承包人</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全称</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w:t>
      </w:r>
    </w:p>
    <w:p w14:paraId="0C5A1787">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项目名称</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项目编号</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施工及有关事项协商一致，共同达成如下协议：</w:t>
      </w:r>
    </w:p>
    <w:p w14:paraId="748F0E58">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2" w:name="_Toc351203481"/>
      <w:r>
        <w:rPr>
          <w:rFonts w:hint="eastAsia" w:ascii="仿宋" w:hAnsi="仿宋" w:eastAsia="仿宋" w:cs="仿宋"/>
          <w:b/>
          <w:color w:val="000000" w:themeColor="text1"/>
          <w:sz w:val="20"/>
          <w:szCs w:val="20"/>
          <w:highlight w:val="none"/>
          <w14:textFill>
            <w14:solidFill>
              <w14:schemeClr w14:val="tx1"/>
            </w14:solidFill>
          </w14:textFill>
        </w:rPr>
        <w:t>一、工程概况</w:t>
      </w:r>
      <w:bookmarkEnd w:id="2"/>
    </w:p>
    <w:p w14:paraId="7577D63D">
      <w:pPr>
        <w:keepNext w:val="0"/>
        <w:keepLines w:val="0"/>
        <w:pageBreakBefore w:val="0"/>
        <w:widowControl w:val="0"/>
        <w:kinsoku/>
        <w:wordWrap/>
        <w:overflowPunct/>
        <w:topLinePunct w:val="0"/>
        <w:bidi w:val="0"/>
        <w:snapToGrid/>
        <w:spacing w:line="324" w:lineRule="auto"/>
        <w:ind w:firstLine="392" w:firstLineChars="196"/>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1.工程名称</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w:t>
      </w:r>
    </w:p>
    <w:p w14:paraId="5E378AEC">
      <w:pPr>
        <w:keepNext w:val="0"/>
        <w:keepLines w:val="0"/>
        <w:pageBreakBefore w:val="0"/>
        <w:widowControl w:val="0"/>
        <w:kinsoku/>
        <w:wordWrap/>
        <w:overflowPunct/>
        <w:topLinePunct w:val="0"/>
        <w:bidi w:val="0"/>
        <w:snapToGrid/>
        <w:spacing w:line="324" w:lineRule="auto"/>
        <w:ind w:firstLine="392" w:firstLineChars="196"/>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2.工程地点：</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w:t>
      </w:r>
    </w:p>
    <w:p w14:paraId="5627ADEF">
      <w:pPr>
        <w:keepNext w:val="0"/>
        <w:keepLines w:val="0"/>
        <w:pageBreakBefore w:val="0"/>
        <w:widowControl w:val="0"/>
        <w:kinsoku/>
        <w:wordWrap/>
        <w:overflowPunct/>
        <w:topLinePunct w:val="0"/>
        <w:bidi w:val="0"/>
        <w:snapToGrid/>
        <w:spacing w:line="324" w:lineRule="auto"/>
        <w:ind w:firstLine="392" w:firstLineChars="196"/>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lang w:val="en-US" w:eastAsia="zh-CN"/>
          <w14:textFill>
            <w14:solidFill>
              <w14:schemeClr w14:val="tx1"/>
            </w14:solidFill>
          </w14:textFill>
        </w:rPr>
        <w:t>3</w:t>
      </w:r>
      <w:r>
        <w:rPr>
          <w:rFonts w:hint="eastAsia" w:ascii="仿宋" w:hAnsi="仿宋" w:eastAsia="仿宋" w:cs="仿宋"/>
          <w:bCs/>
          <w:color w:val="000000" w:themeColor="text1"/>
          <w:sz w:val="20"/>
          <w:szCs w:val="20"/>
          <w:highlight w:val="none"/>
          <w14:textFill>
            <w14:solidFill>
              <w14:schemeClr w14:val="tx1"/>
            </w14:solidFill>
          </w14:textFill>
        </w:rPr>
        <w:t>.工程内容：</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w:t>
      </w:r>
    </w:p>
    <w:p w14:paraId="42C31198">
      <w:pPr>
        <w:keepNext w:val="0"/>
        <w:keepLines w:val="0"/>
        <w:pageBreakBefore w:val="0"/>
        <w:widowControl w:val="0"/>
        <w:kinsoku/>
        <w:wordWrap/>
        <w:overflowPunct/>
        <w:topLinePunct w:val="0"/>
        <w:bidi w:val="0"/>
        <w:snapToGrid/>
        <w:spacing w:line="324" w:lineRule="auto"/>
        <w:ind w:firstLine="392" w:firstLineChars="196"/>
        <w:textAlignment w:val="auto"/>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bCs/>
          <w:color w:val="000000" w:themeColor="text1"/>
          <w:sz w:val="20"/>
          <w:szCs w:val="20"/>
          <w:highlight w:val="none"/>
          <w:lang w:val="en-US" w:eastAsia="zh-CN"/>
          <w14:textFill>
            <w14:solidFill>
              <w14:schemeClr w14:val="tx1"/>
            </w14:solidFill>
          </w14:textFill>
        </w:rPr>
        <w:t>4</w:t>
      </w:r>
      <w:r>
        <w:rPr>
          <w:rFonts w:hint="eastAsia" w:ascii="仿宋" w:hAnsi="仿宋" w:eastAsia="仿宋" w:cs="仿宋"/>
          <w:bCs/>
          <w:color w:val="000000" w:themeColor="text1"/>
          <w:sz w:val="20"/>
          <w:szCs w:val="20"/>
          <w:highlight w:val="none"/>
          <w14:textFill>
            <w14:solidFill>
              <w14:schemeClr w14:val="tx1"/>
            </w14:solidFill>
          </w14:textFill>
        </w:rPr>
        <w:t>.工程承包范围：</w:t>
      </w:r>
      <w:r>
        <w:rPr>
          <w:rFonts w:hint="eastAsia" w:ascii="仿宋" w:hAnsi="仿宋" w:eastAsia="仿宋" w:cs="仿宋"/>
          <w:bCs/>
          <w:color w:val="000000" w:themeColor="text1"/>
          <w:sz w:val="20"/>
          <w:szCs w:val="20"/>
          <w:highlight w:val="none"/>
          <w:u w:val="single"/>
          <w14:textFill>
            <w14:solidFill>
              <w14:schemeClr w14:val="tx1"/>
            </w14:solidFill>
          </w14:textFill>
        </w:rPr>
        <w:t>工程量清单、答疑以及本</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采购</w:t>
      </w:r>
      <w:r>
        <w:rPr>
          <w:rFonts w:hint="eastAsia" w:ascii="仿宋" w:hAnsi="仿宋" w:eastAsia="仿宋" w:cs="仿宋"/>
          <w:bCs/>
          <w:color w:val="000000" w:themeColor="text1"/>
          <w:sz w:val="20"/>
          <w:szCs w:val="20"/>
          <w:highlight w:val="none"/>
          <w:u w:val="single"/>
          <w14:textFill>
            <w14:solidFill>
              <w14:schemeClr w14:val="tx1"/>
            </w14:solidFill>
          </w14:textFill>
        </w:rPr>
        <w:t>文件规定的全部内容。文字与清单不符时，以清单为准。</w:t>
      </w:r>
      <w:bookmarkStart w:id="3" w:name="_Toc351203482"/>
    </w:p>
    <w:p w14:paraId="50E85B5D">
      <w:pPr>
        <w:keepNext w:val="0"/>
        <w:keepLines w:val="0"/>
        <w:pageBreakBefore w:val="0"/>
        <w:widowControl w:val="0"/>
        <w:kinsoku/>
        <w:wordWrap/>
        <w:overflowPunct/>
        <w:topLinePunct w:val="0"/>
        <w:bidi w:val="0"/>
        <w:snapToGrid/>
        <w:spacing w:line="324" w:lineRule="auto"/>
        <w:ind w:firstLine="392" w:firstLineChars="196"/>
        <w:textAlignment w:val="auto"/>
        <w:rPr>
          <w:rFonts w:hint="eastAsia"/>
          <w:color w:val="000000" w:themeColor="text1"/>
          <w:highlight w:val="none"/>
          <w14:textFill>
            <w14:solidFill>
              <w14:schemeClr w14:val="tx1"/>
            </w14:solidFill>
          </w14:textFill>
        </w:rPr>
      </w:pPr>
      <w:r>
        <w:rPr>
          <w:rFonts w:hint="eastAsia" w:ascii="仿宋" w:hAnsi="仿宋" w:eastAsia="仿宋" w:cs="仿宋"/>
          <w:bCs/>
          <w:color w:val="000000" w:themeColor="text1"/>
          <w:sz w:val="20"/>
          <w:szCs w:val="20"/>
          <w:highlight w:val="none"/>
          <w:lang w:val="en-US" w:eastAsia="zh-CN"/>
          <w14:textFill>
            <w14:solidFill>
              <w14:schemeClr w14:val="tx1"/>
            </w14:solidFill>
          </w14:textFill>
        </w:rPr>
        <w:t>5</w:t>
      </w:r>
      <w:r>
        <w:rPr>
          <w:rFonts w:hint="eastAsia" w:ascii="仿宋" w:hAnsi="仿宋" w:eastAsia="仿宋" w:cs="仿宋"/>
          <w:bCs/>
          <w:color w:val="000000" w:themeColor="text1"/>
          <w:sz w:val="20"/>
          <w:szCs w:val="20"/>
          <w:highlight w:val="none"/>
          <w14:textFill>
            <w14:solidFill>
              <w14:schemeClr w14:val="tx1"/>
            </w14:solidFill>
          </w14:textFill>
        </w:rPr>
        <w:t>.</w:t>
      </w:r>
      <w:r>
        <w:rPr>
          <w:rFonts w:hint="eastAsia" w:ascii="仿宋" w:hAnsi="仿宋" w:eastAsia="仿宋" w:cs="仿宋"/>
          <w:bCs/>
          <w:color w:val="000000" w:themeColor="text1"/>
          <w:sz w:val="20"/>
          <w:szCs w:val="20"/>
          <w:highlight w:val="none"/>
          <w:lang w:val="en-US" w:eastAsia="zh-CN"/>
          <w14:textFill>
            <w14:solidFill>
              <w14:schemeClr w14:val="tx1"/>
            </w14:solidFill>
          </w14:textFill>
        </w:rPr>
        <w:t>其他相关</w:t>
      </w:r>
      <w:r>
        <w:rPr>
          <w:rFonts w:hint="eastAsia" w:ascii="仿宋" w:hAnsi="仿宋" w:eastAsia="仿宋" w:cs="仿宋"/>
          <w:bCs/>
          <w:color w:val="000000" w:themeColor="text1"/>
          <w:sz w:val="20"/>
          <w:szCs w:val="20"/>
          <w:highlight w:val="none"/>
          <w14:textFill>
            <w14:solidFill>
              <w14:schemeClr w14:val="tx1"/>
            </w14:solidFill>
          </w14:textFill>
        </w:rPr>
        <w:t>内容：。</w:t>
      </w:r>
    </w:p>
    <w:p w14:paraId="2378F6CC">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二、合同工期</w:t>
      </w:r>
      <w:bookmarkEnd w:id="3"/>
    </w:p>
    <w:p w14:paraId="02E1F5A9">
      <w:pPr>
        <w:keepNext w:val="0"/>
        <w:keepLines w:val="0"/>
        <w:pageBreakBefore w:val="0"/>
        <w:widowControl w:val="0"/>
        <w:kinsoku/>
        <w:wordWrap/>
        <w:overflowPunct/>
        <w:topLinePunct w:val="0"/>
        <w:bidi w:val="0"/>
        <w:snapToGrid/>
        <w:spacing w:line="324"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计划开工日期：</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p>
    <w:p w14:paraId="4CF18C80">
      <w:pPr>
        <w:keepNext w:val="0"/>
        <w:keepLines w:val="0"/>
        <w:pageBreakBefore w:val="0"/>
        <w:widowControl w:val="0"/>
        <w:kinsoku/>
        <w:wordWrap/>
        <w:overflowPunct/>
        <w:topLinePunct w:val="0"/>
        <w:bidi w:val="0"/>
        <w:snapToGrid/>
        <w:spacing w:line="324"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计划竣工日期：</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p>
    <w:p w14:paraId="3D58AA7A">
      <w:pPr>
        <w:keepNext w:val="0"/>
        <w:keepLines w:val="0"/>
        <w:pageBreakBefore w:val="0"/>
        <w:widowControl w:val="0"/>
        <w:kinsoku/>
        <w:wordWrap/>
        <w:overflowPunct/>
        <w:topLinePunct w:val="0"/>
        <w:bidi w:val="0"/>
        <w:snapToGrid/>
        <w:spacing w:line="324"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工期总日历天数：</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天。工期总日历天数与根据前述计划开竣工日期计算的工期天数不一致的，以工期总日历天数为准。</w:t>
      </w:r>
    </w:p>
    <w:p w14:paraId="4AF07A00">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 w:name="_Toc351203483"/>
      <w:r>
        <w:rPr>
          <w:rFonts w:hint="eastAsia" w:ascii="仿宋" w:hAnsi="仿宋" w:eastAsia="仿宋" w:cs="仿宋"/>
          <w:b/>
          <w:color w:val="000000" w:themeColor="text1"/>
          <w:sz w:val="20"/>
          <w:szCs w:val="20"/>
          <w:highlight w:val="none"/>
          <w14:textFill>
            <w14:solidFill>
              <w14:schemeClr w14:val="tx1"/>
            </w14:solidFill>
          </w14:textFill>
        </w:rPr>
        <w:t>三、质量标准</w:t>
      </w:r>
      <w:bookmarkEnd w:id="4"/>
    </w:p>
    <w:p w14:paraId="0AA625A3">
      <w:pPr>
        <w:keepNext w:val="0"/>
        <w:keepLines w:val="0"/>
        <w:pageBreakBefore w:val="0"/>
        <w:widowControl w:val="0"/>
        <w:kinsoku/>
        <w:wordWrap/>
        <w:overflowPunct/>
        <w:topLinePunct w:val="0"/>
        <w:bidi w:val="0"/>
        <w:snapToGrid/>
        <w:spacing w:line="324" w:lineRule="auto"/>
        <w:ind w:firstLine="459"/>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工程质量符合标准。</w:t>
      </w:r>
      <w:bookmarkStart w:id="5" w:name="_Toc351203484"/>
    </w:p>
    <w:p w14:paraId="0CC9FCD8">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四、签约合同价与合同价格形式</w:t>
      </w:r>
      <w:bookmarkEnd w:id="5"/>
      <w:r>
        <w:rPr>
          <w:rFonts w:hint="eastAsia" w:ascii="仿宋" w:hAnsi="仿宋" w:eastAsia="仿宋" w:cs="仿宋"/>
          <w:b/>
          <w:color w:val="000000" w:themeColor="text1"/>
          <w:sz w:val="20"/>
          <w:szCs w:val="20"/>
          <w:highlight w:val="none"/>
          <w14:textFill>
            <w14:solidFill>
              <w14:schemeClr w14:val="tx1"/>
            </w14:solidFill>
          </w14:textFill>
        </w:rPr>
        <w:tab/>
      </w:r>
    </w:p>
    <w:p w14:paraId="7CCB619B">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1.签约合同价为：</w:t>
      </w:r>
    </w:p>
    <w:p w14:paraId="280DA1B5">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人民币</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大写</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7D3F314">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其中：</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p>
    <w:p w14:paraId="47B3D7DD">
      <w:pPr>
        <w:keepNext w:val="0"/>
        <w:keepLines w:val="0"/>
        <w:pageBreakBefore w:val="0"/>
        <w:widowControl w:val="0"/>
        <w:kinsoku/>
        <w:wordWrap/>
        <w:overflowPunct/>
        <w:topLinePunct w:val="0"/>
        <w:bidi w:val="0"/>
        <w:snapToGrid/>
        <w:spacing w:line="324" w:lineRule="auto"/>
        <w:ind w:firstLine="1000" w:firstLineChars="5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p>
    <w:p w14:paraId="22CD68EE">
      <w:pPr>
        <w:keepNext w:val="0"/>
        <w:keepLines w:val="0"/>
        <w:pageBreakBefore w:val="0"/>
        <w:widowControl w:val="0"/>
        <w:kinsoku/>
        <w:wordWrap/>
        <w:overflowPunct/>
        <w:topLinePunct w:val="0"/>
        <w:bidi w:val="0"/>
        <w:snapToGrid/>
        <w:spacing w:line="324" w:lineRule="auto"/>
        <w:ind w:firstLine="1000" w:firstLineChars="5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4ECCCCAB">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2.合同价格形式：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B008071">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6" w:name="_Toc351203485"/>
      <w:r>
        <w:rPr>
          <w:rFonts w:hint="eastAsia" w:ascii="仿宋" w:hAnsi="仿宋" w:eastAsia="仿宋" w:cs="仿宋"/>
          <w:b/>
          <w:color w:val="000000" w:themeColor="text1"/>
          <w:sz w:val="20"/>
          <w:szCs w:val="20"/>
          <w:highlight w:val="none"/>
          <w14:textFill>
            <w14:solidFill>
              <w14:schemeClr w14:val="tx1"/>
            </w14:solidFill>
          </w14:textFill>
        </w:rPr>
        <w:t>五、</w:t>
      </w:r>
      <w:bookmarkEnd w:id="6"/>
      <w:r>
        <w:rPr>
          <w:rFonts w:hint="eastAsia" w:ascii="仿宋" w:hAnsi="仿宋" w:eastAsia="仿宋" w:cs="仿宋"/>
          <w:b/>
          <w:color w:val="000000" w:themeColor="text1"/>
          <w:sz w:val="20"/>
          <w:szCs w:val="20"/>
          <w:highlight w:val="none"/>
          <w14:textFill>
            <w14:solidFill>
              <w14:schemeClr w14:val="tx1"/>
            </w14:solidFill>
          </w14:textFill>
        </w:rPr>
        <w:t>项目经理</w:t>
      </w:r>
    </w:p>
    <w:p w14:paraId="030C4247">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承包人项目经理：</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C4F7571">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7" w:name="_Toc351203486"/>
      <w:r>
        <w:rPr>
          <w:rFonts w:hint="eastAsia" w:ascii="仿宋" w:hAnsi="仿宋" w:eastAsia="仿宋" w:cs="仿宋"/>
          <w:b/>
          <w:color w:val="000000" w:themeColor="text1"/>
          <w:sz w:val="20"/>
          <w:szCs w:val="20"/>
          <w:highlight w:val="none"/>
          <w14:textFill>
            <w14:solidFill>
              <w14:schemeClr w14:val="tx1"/>
            </w14:solidFill>
          </w14:textFill>
        </w:rPr>
        <w:t>六、合同文件构成</w:t>
      </w:r>
      <w:bookmarkEnd w:id="7"/>
    </w:p>
    <w:p w14:paraId="348BFE92">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本协议书与下列文件一起构成合同文件：</w:t>
      </w:r>
    </w:p>
    <w:p w14:paraId="6BF90DC8">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中标</w:t>
      </w:r>
      <w:r>
        <w:rPr>
          <w:rFonts w:hint="eastAsia" w:ascii="仿宋" w:hAnsi="仿宋" w:eastAsia="仿宋" w:cs="仿宋"/>
          <w:color w:val="000000" w:themeColor="text1"/>
          <w:sz w:val="20"/>
          <w:szCs w:val="20"/>
          <w:highlight w:val="none"/>
          <w:lang w:val="en-US" w:eastAsia="zh-CN"/>
          <w14:textFill>
            <w14:solidFill>
              <w14:schemeClr w14:val="tx1"/>
            </w14:solidFill>
          </w14:textFill>
        </w:rPr>
        <w:t>(成交)</w:t>
      </w:r>
      <w:r>
        <w:rPr>
          <w:rFonts w:hint="eastAsia" w:ascii="仿宋" w:hAnsi="仿宋" w:eastAsia="仿宋" w:cs="仿宋"/>
          <w:color w:val="000000" w:themeColor="text1"/>
          <w:sz w:val="20"/>
          <w:szCs w:val="20"/>
          <w:highlight w:val="none"/>
          <w14:textFill>
            <w14:solidFill>
              <w14:schemeClr w14:val="tx1"/>
            </w14:solidFill>
          </w14:textFill>
        </w:rPr>
        <w:t>通知书；</w:t>
      </w:r>
    </w:p>
    <w:p w14:paraId="33BB68A8">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投标</w:t>
      </w:r>
      <w:r>
        <w:rPr>
          <w:rFonts w:hint="eastAsia" w:ascii="仿宋" w:hAnsi="仿宋" w:eastAsia="仿宋" w:cs="仿宋"/>
          <w:color w:val="000000" w:themeColor="text1"/>
          <w:sz w:val="20"/>
          <w:szCs w:val="20"/>
          <w:highlight w:val="none"/>
          <w:lang w:val="en-US" w:eastAsia="zh-CN"/>
          <w14:textFill>
            <w14:solidFill>
              <w14:schemeClr w14:val="tx1"/>
            </w14:solidFill>
          </w14:textFill>
        </w:rPr>
        <w:t>(响应)</w:t>
      </w:r>
      <w:r>
        <w:rPr>
          <w:rFonts w:hint="eastAsia" w:ascii="仿宋" w:hAnsi="仿宋" w:eastAsia="仿宋" w:cs="仿宋"/>
          <w:color w:val="000000" w:themeColor="text1"/>
          <w:sz w:val="20"/>
          <w:szCs w:val="20"/>
          <w:highlight w:val="none"/>
          <w14:textFill>
            <w14:solidFill>
              <w14:schemeClr w14:val="tx1"/>
            </w14:solidFill>
          </w14:textFill>
        </w:rPr>
        <w:t>函及其附录</w:t>
      </w:r>
      <w:r>
        <w:rPr>
          <w:rFonts w:hint="eastAsia" w:ascii="仿宋" w:hAnsi="仿宋" w:eastAsia="仿宋" w:cs="仿宋"/>
          <w:color w:val="000000" w:themeColor="text1"/>
          <w:sz w:val="20"/>
          <w:szCs w:val="20"/>
          <w:highlight w:val="none"/>
          <w:lang w:val="en-US" w:eastAsia="zh-CN"/>
          <w14:textFill>
            <w14:solidFill>
              <w14:schemeClr w14:val="tx1"/>
            </w14:solidFill>
          </w14:textFill>
        </w:rPr>
        <w:t>(如有)</w:t>
      </w:r>
      <w:r>
        <w:rPr>
          <w:rFonts w:hint="eastAsia" w:ascii="仿宋" w:hAnsi="仿宋" w:eastAsia="仿宋" w:cs="仿宋"/>
          <w:color w:val="000000" w:themeColor="text1"/>
          <w:sz w:val="20"/>
          <w:szCs w:val="20"/>
          <w:highlight w:val="none"/>
          <w14:textFill>
            <w14:solidFill>
              <w14:schemeClr w14:val="tx1"/>
            </w14:solidFill>
          </w14:textFill>
        </w:rPr>
        <w:t>；</w:t>
      </w:r>
    </w:p>
    <w:p w14:paraId="329F7BE5">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专用合同条款及其附件；</w:t>
      </w:r>
    </w:p>
    <w:p w14:paraId="775A67C2">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4</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通用合同条款；</w:t>
      </w:r>
    </w:p>
    <w:p w14:paraId="66E87899">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5</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技术标准和要求；</w:t>
      </w:r>
    </w:p>
    <w:p w14:paraId="5B716952">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6</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图纸；</w:t>
      </w:r>
    </w:p>
    <w:p w14:paraId="6BDADE46">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7</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已标价工程量清单或预算书；</w:t>
      </w:r>
    </w:p>
    <w:p w14:paraId="3E3AC8D2">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8</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其他合同文件。</w:t>
      </w:r>
    </w:p>
    <w:p w14:paraId="0ADAA9AA">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在合同订立及履行过程中形成的与合同有关的文件均构成合同文件组成部分。</w:t>
      </w:r>
    </w:p>
    <w:p w14:paraId="36704A75">
      <w:pPr>
        <w:keepNext w:val="0"/>
        <w:keepLines w:val="0"/>
        <w:pageBreakBefore w:val="0"/>
        <w:widowControl w:val="0"/>
        <w:kinsoku/>
        <w:wordWrap/>
        <w:overflowPunct/>
        <w:topLinePunct w:val="0"/>
        <w:autoSpaceDE w:val="0"/>
        <w:autoSpaceDN w:val="0"/>
        <w:bidi w:val="0"/>
        <w:adjustRightInd w:val="0"/>
        <w:snapToGrid/>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2F9B6B5B">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 w:name="_Toc351203487"/>
      <w:r>
        <w:rPr>
          <w:rFonts w:hint="eastAsia" w:ascii="仿宋" w:hAnsi="仿宋" w:eastAsia="仿宋" w:cs="仿宋"/>
          <w:b/>
          <w:color w:val="000000" w:themeColor="text1"/>
          <w:sz w:val="20"/>
          <w:szCs w:val="20"/>
          <w:highlight w:val="none"/>
          <w14:textFill>
            <w14:solidFill>
              <w14:schemeClr w14:val="tx1"/>
            </w14:solidFill>
          </w14:textFill>
        </w:rPr>
        <w:t>七、承诺</w:t>
      </w:r>
      <w:bookmarkEnd w:id="8"/>
    </w:p>
    <w:p w14:paraId="558D55B8">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1.发包人承诺按照法律规定履行项目审批手续、筹集工程建设资金并按照合同约定的期限和方式支付合同价款。</w:t>
      </w:r>
    </w:p>
    <w:p w14:paraId="294B3F08">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7543F6E3">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3.发包人和承包人通过招投标形式签订合同的，双方理解并承诺不再就同一工程另行签订与合同实质性内容相背离的协议。</w:t>
      </w:r>
    </w:p>
    <w:p w14:paraId="25CE3CFA">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9" w:name="_Toc351203488"/>
      <w:r>
        <w:rPr>
          <w:rFonts w:hint="eastAsia" w:ascii="仿宋" w:hAnsi="仿宋" w:eastAsia="仿宋" w:cs="仿宋"/>
          <w:b/>
          <w:color w:val="000000" w:themeColor="text1"/>
          <w:sz w:val="20"/>
          <w:szCs w:val="20"/>
          <w:highlight w:val="none"/>
          <w14:textFill>
            <w14:solidFill>
              <w14:schemeClr w14:val="tx1"/>
            </w14:solidFill>
          </w14:textFill>
        </w:rPr>
        <w:t>八、词语含义</w:t>
      </w:r>
      <w:bookmarkEnd w:id="9"/>
    </w:p>
    <w:p w14:paraId="47ACAD0E">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本协议书中词语含义与第二部分通用合同条款中赋予的含义相同。</w:t>
      </w:r>
    </w:p>
    <w:p w14:paraId="4B69E4BA">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0" w:name="_Toc351203489"/>
      <w:r>
        <w:rPr>
          <w:rFonts w:hint="eastAsia" w:ascii="仿宋" w:hAnsi="仿宋" w:eastAsia="仿宋" w:cs="仿宋"/>
          <w:b/>
          <w:color w:val="000000" w:themeColor="text1"/>
          <w:sz w:val="20"/>
          <w:szCs w:val="20"/>
          <w:highlight w:val="none"/>
          <w14:textFill>
            <w14:solidFill>
              <w14:schemeClr w14:val="tx1"/>
            </w14:solidFill>
          </w14:textFill>
        </w:rPr>
        <w:t>九、签订时间</w:t>
      </w:r>
      <w:bookmarkEnd w:id="10"/>
    </w:p>
    <w:p w14:paraId="2E62FF24">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本合同于</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年</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月</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日签订。</w:t>
      </w:r>
    </w:p>
    <w:p w14:paraId="4D63D587">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1" w:name="_Toc351203490"/>
      <w:r>
        <w:rPr>
          <w:rFonts w:hint="eastAsia" w:ascii="仿宋" w:hAnsi="仿宋" w:eastAsia="仿宋" w:cs="仿宋"/>
          <w:b/>
          <w:color w:val="000000" w:themeColor="text1"/>
          <w:sz w:val="20"/>
          <w:szCs w:val="20"/>
          <w:highlight w:val="none"/>
          <w14:textFill>
            <w14:solidFill>
              <w14:schemeClr w14:val="tx1"/>
            </w14:solidFill>
          </w14:textFill>
        </w:rPr>
        <w:t>十、签订地点</w:t>
      </w:r>
      <w:bookmarkEnd w:id="11"/>
    </w:p>
    <w:p w14:paraId="274F1A74">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本合同在</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签订。</w:t>
      </w:r>
    </w:p>
    <w:p w14:paraId="5F85E7F8">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2" w:name="_Toc351203491"/>
      <w:r>
        <w:rPr>
          <w:rFonts w:hint="eastAsia" w:ascii="仿宋" w:hAnsi="仿宋" w:eastAsia="仿宋" w:cs="仿宋"/>
          <w:b/>
          <w:color w:val="000000" w:themeColor="text1"/>
          <w:sz w:val="20"/>
          <w:szCs w:val="20"/>
          <w:highlight w:val="none"/>
          <w14:textFill>
            <w14:solidFill>
              <w14:schemeClr w14:val="tx1"/>
            </w14:solidFill>
          </w14:textFill>
        </w:rPr>
        <w:t>十一、补充协议</w:t>
      </w:r>
      <w:bookmarkEnd w:id="12"/>
    </w:p>
    <w:p w14:paraId="26AB29EF">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合同未尽事宜，合同当事人另行签订补充协议，补充协议是合同的组成部分。</w:t>
      </w:r>
    </w:p>
    <w:p w14:paraId="3FAD2C77">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3" w:name="_Toc351203492"/>
      <w:r>
        <w:rPr>
          <w:rFonts w:hint="eastAsia" w:ascii="仿宋" w:hAnsi="仿宋" w:eastAsia="仿宋" w:cs="仿宋"/>
          <w:b/>
          <w:color w:val="000000" w:themeColor="text1"/>
          <w:sz w:val="20"/>
          <w:szCs w:val="20"/>
          <w:highlight w:val="none"/>
          <w14:textFill>
            <w14:solidFill>
              <w14:schemeClr w14:val="tx1"/>
            </w14:solidFill>
          </w14:textFill>
        </w:rPr>
        <w:t>十二、合同生效</w:t>
      </w:r>
      <w:bookmarkEnd w:id="13"/>
    </w:p>
    <w:p w14:paraId="7043065C">
      <w:pPr>
        <w:keepNext w:val="0"/>
        <w:keepLines w:val="0"/>
        <w:pageBreakBefore w:val="0"/>
        <w:widowControl w:val="0"/>
        <w:kinsoku/>
        <w:wordWrap/>
        <w:overflowPunct/>
        <w:topLinePunct w:val="0"/>
        <w:bidi w:val="0"/>
        <w:snapToGrid/>
        <w:spacing w:line="324"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本合同自</w:t>
      </w:r>
      <w:r>
        <w:rPr>
          <w:rFonts w:hint="eastAsia" w:ascii="仿宋" w:hAnsi="仿宋" w:eastAsia="仿宋" w:cs="仿宋"/>
          <w:bCs/>
          <w:color w:val="000000" w:themeColor="text1"/>
          <w:sz w:val="20"/>
          <w:szCs w:val="20"/>
          <w:highlight w:val="none"/>
          <w:u w:val="single"/>
          <w14:textFill>
            <w14:solidFill>
              <w14:schemeClr w14:val="tx1"/>
            </w14:solidFill>
          </w14:textFill>
        </w:rPr>
        <w:t>双方签字盖章后</w:t>
      </w:r>
      <w:r>
        <w:rPr>
          <w:rFonts w:hint="eastAsia" w:ascii="仿宋" w:hAnsi="仿宋" w:eastAsia="仿宋" w:cs="仿宋"/>
          <w:bCs/>
          <w:color w:val="000000" w:themeColor="text1"/>
          <w:sz w:val="20"/>
          <w:szCs w:val="20"/>
          <w:highlight w:val="none"/>
          <w14:textFill>
            <w14:solidFill>
              <w14:schemeClr w14:val="tx1"/>
            </w14:solidFill>
          </w14:textFill>
        </w:rPr>
        <w:t>生效。</w:t>
      </w:r>
    </w:p>
    <w:p w14:paraId="0DA0D9C5">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bCs/>
          <w:color w:val="000000" w:themeColor="text1"/>
          <w:sz w:val="20"/>
          <w:szCs w:val="20"/>
          <w:highlight w:val="none"/>
          <w14:textFill>
            <w14:solidFill>
              <w14:schemeClr w14:val="tx1"/>
            </w14:solidFill>
          </w14:textFill>
        </w:rPr>
      </w:pPr>
      <w:bookmarkStart w:id="14" w:name="_Toc351203493"/>
      <w:r>
        <w:rPr>
          <w:rFonts w:hint="eastAsia" w:ascii="仿宋" w:hAnsi="仿宋" w:eastAsia="仿宋" w:cs="仿宋"/>
          <w:b/>
          <w:color w:val="000000" w:themeColor="text1"/>
          <w:sz w:val="20"/>
          <w:szCs w:val="20"/>
          <w:highlight w:val="none"/>
          <w14:textFill>
            <w14:solidFill>
              <w14:schemeClr w14:val="tx1"/>
            </w14:solidFill>
          </w14:textFill>
        </w:rPr>
        <w:t>十三、合同份数</w:t>
      </w:r>
      <w:bookmarkEnd w:id="14"/>
    </w:p>
    <w:p w14:paraId="0B385D09">
      <w:pPr>
        <w:keepNext w:val="0"/>
        <w:keepLines w:val="0"/>
        <w:pageBreakBefore w:val="0"/>
        <w:widowControl w:val="0"/>
        <w:kinsoku/>
        <w:wordWrap/>
        <w:overflowPunct/>
        <w:topLinePunct w:val="0"/>
        <w:bidi w:val="0"/>
        <w:snapToGrid/>
        <w:spacing w:line="324" w:lineRule="auto"/>
        <w:ind w:left="210" w:leftChars="100" w:firstLine="200" w:firstLineChars="1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本合同一式份，均具有同等法律效力，发包人执</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份，承包人执</w:t>
      </w:r>
      <w:r>
        <w:rPr>
          <w:rFonts w:hint="eastAsia" w:ascii="仿宋" w:hAnsi="仿宋" w:eastAsia="仿宋" w:cs="仿宋"/>
          <w:bCs/>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w:t>
      </w:r>
    </w:p>
    <w:p w14:paraId="16309BBC">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发包人：(公章)</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承包人：(公章)</w:t>
      </w:r>
    </w:p>
    <w:p w14:paraId="35E2846A">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法定代表人或其委托代理人：</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法定代表人或其委托代理人：</w:t>
      </w:r>
    </w:p>
    <w:p w14:paraId="15F98B83">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签字</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签字</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48843082">
      <w:pPr>
        <w:keepNext w:val="0"/>
        <w:keepLines w:val="0"/>
        <w:pageBreakBefore w:val="0"/>
        <w:widowControl w:val="0"/>
        <w:tabs>
          <w:tab w:val="left" w:pos="4410"/>
        </w:tabs>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组织机构代码：</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组织机构代码：</w:t>
      </w:r>
    </w:p>
    <w:p w14:paraId="1809FFF7">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地址：</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地址：</w:t>
      </w:r>
    </w:p>
    <w:p w14:paraId="156AD50E">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邮政编码：</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邮政编码：</w:t>
      </w:r>
    </w:p>
    <w:p w14:paraId="7D6D1C19">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法定代表人：</w:t>
      </w:r>
    </w:p>
    <w:p w14:paraId="28C7E4EA">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委托代理人：</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委托代理人：</w:t>
      </w:r>
    </w:p>
    <w:p w14:paraId="1EA52412">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电话：</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电话：</w:t>
      </w:r>
    </w:p>
    <w:p w14:paraId="5A5CD585">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传真：</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传真：</w:t>
      </w:r>
    </w:p>
    <w:p w14:paraId="74BC92ED">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电子信箱：</w:t>
      </w:r>
    </w:p>
    <w:p w14:paraId="4667DDDA">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开户银行：</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开户银行：</w:t>
      </w:r>
    </w:p>
    <w:p w14:paraId="4412CB10">
      <w:pPr>
        <w:keepNext w:val="0"/>
        <w:keepLines w:val="0"/>
        <w:pageBreakBefore w:val="0"/>
        <w:widowControl w:val="0"/>
        <w:kinsoku/>
        <w:wordWrap/>
        <w:overflowPunct/>
        <w:topLinePunct w:val="0"/>
        <w:bidi w:val="0"/>
        <w:snapToGrid/>
        <w:spacing w:line="324"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账号：</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账号：</w:t>
      </w:r>
    </w:p>
    <w:p w14:paraId="3E226C8E">
      <w:pPr>
        <w:keepLines w:val="0"/>
        <w:pageBreakBefore w:val="0"/>
        <w:kinsoku/>
        <w:wordWrap/>
        <w:overflowPunct/>
        <w:topLinePunct w:val="0"/>
        <w:bidi w:val="0"/>
        <w:spacing w:line="300" w:lineRule="auto"/>
        <w:jc w:val="left"/>
        <w:textAlignment w:val="auto"/>
        <w:rPr>
          <w:rFonts w:hint="eastAsia" w:ascii="仿宋" w:hAnsi="仿宋" w:eastAsia="仿宋" w:cs="仿宋"/>
          <w:bCs/>
          <w:color w:val="000000" w:themeColor="text1"/>
          <w:kern w:val="0"/>
          <w:sz w:val="20"/>
          <w:szCs w:val="20"/>
          <w:highlight w:val="none"/>
          <w14:textFill>
            <w14:solidFill>
              <w14:schemeClr w14:val="tx1"/>
            </w14:solidFill>
          </w14:textFill>
        </w:rPr>
      </w:pPr>
    </w:p>
    <w:p w14:paraId="425FEFEC">
      <w:pPr>
        <w:keepLines w:val="0"/>
        <w:pageBreakBefore w:val="0"/>
        <w:widowControl/>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p>
    <w:p w14:paraId="3125F1FA">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第二部分通用合同条款</w:t>
      </w:r>
    </w:p>
    <w:p w14:paraId="678D6441">
      <w:pPr>
        <w:keepLines w:val="0"/>
        <w:pageBreakBefore w:val="0"/>
        <w:kinsoku/>
        <w:wordWrap/>
        <w:overflowPunct/>
        <w:topLinePunct w:val="0"/>
        <w:bidi w:val="0"/>
        <w:spacing w:line="300" w:lineRule="auto"/>
        <w:ind w:firstLine="200"/>
        <w:jc w:val="center"/>
        <w:textAlignment w:val="auto"/>
        <w:rPr>
          <w:rFonts w:hint="eastAsia" w:ascii="仿宋" w:hAnsi="仿宋" w:eastAsia="仿宋" w:cs="仿宋"/>
          <w:color w:val="000000" w:themeColor="text1"/>
          <w:kern w:val="0"/>
          <w:sz w:val="20"/>
          <w:szCs w:val="20"/>
          <w:highlight w:val="none"/>
          <w14:textFill>
            <w14:solidFill>
              <w14:schemeClr w14:val="tx1"/>
            </w14:solidFill>
          </w14:textFill>
        </w:rPr>
      </w:pPr>
    </w:p>
    <w:p w14:paraId="4EA5A63E">
      <w:pPr>
        <w:keepLines w:val="0"/>
        <w:pageBreakBefore w:val="0"/>
        <w:tabs>
          <w:tab w:val="left" w:pos="0"/>
        </w:tabs>
        <w:kinsoku/>
        <w:wordWrap/>
        <w:overflowPunct/>
        <w:topLinePunct w:val="0"/>
        <w:bidi w:val="0"/>
        <w:adjustRightInd w:val="0"/>
        <w:snapToGrid w:val="0"/>
        <w:spacing w:line="300" w:lineRule="auto"/>
        <w:textAlignment w:val="auto"/>
        <w:rPr>
          <w:rFonts w:hint="eastAsia" w:ascii="仿宋" w:hAnsi="仿宋" w:eastAsia="仿宋" w:cs="仿宋"/>
          <w:color w:val="000000" w:themeColor="text1"/>
          <w:kern w:val="0"/>
          <w:sz w:val="20"/>
          <w:szCs w:val="20"/>
          <w:highlight w:val="none"/>
          <w14:textFill>
            <w14:solidFill>
              <w14:schemeClr w14:val="tx1"/>
            </w14:solidFill>
          </w14:textFill>
        </w:rPr>
      </w:pPr>
    </w:p>
    <w:p w14:paraId="7DFB010F">
      <w:pPr>
        <w:keepLines w:val="0"/>
        <w:pageBreakBefore w:val="0"/>
        <w:tabs>
          <w:tab w:val="left" w:pos="0"/>
        </w:tabs>
        <w:kinsoku/>
        <w:wordWrap/>
        <w:overflowPunct/>
        <w:topLinePunct w:val="0"/>
        <w:bidi w:val="0"/>
        <w:adjustRightInd w:val="0"/>
        <w:snapToGrid w:val="0"/>
        <w:spacing w:line="300" w:lineRule="auto"/>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详见</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GF—2017—0201</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建设工程施工合同示范文本通用合同条款</w:t>
      </w:r>
    </w:p>
    <w:p w14:paraId="601982E3">
      <w:pPr>
        <w:keepLines w:val="0"/>
        <w:pageBreakBefore w:val="0"/>
        <w:widowControl/>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p>
    <w:p w14:paraId="3A35CF2A">
      <w:pPr>
        <w:keepNext w:val="0"/>
        <w:keepLines w:val="0"/>
        <w:pageBreakBefore w:val="0"/>
        <w:kinsoku/>
        <w:wordWrap/>
        <w:overflowPunct/>
        <w:topLinePunct w:val="0"/>
        <w:bidi w:val="0"/>
        <w:spacing w:line="324"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第三部分专用合同条款</w:t>
      </w:r>
    </w:p>
    <w:p w14:paraId="25BC7519">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5" w:name="_Toc296891244"/>
      <w:bookmarkStart w:id="16" w:name="_Toc297216205"/>
      <w:bookmarkStart w:id="17" w:name="_Toc296346705"/>
      <w:bookmarkStart w:id="18" w:name="_Toc297048390"/>
      <w:bookmarkStart w:id="19" w:name="_Toc292559409"/>
      <w:bookmarkStart w:id="20" w:name="_Toc312677504"/>
      <w:bookmarkStart w:id="21" w:name="_Toc297120504"/>
      <w:bookmarkStart w:id="22" w:name="_Toc296347203"/>
      <w:bookmarkStart w:id="23" w:name="_Toc304295571"/>
      <w:bookmarkStart w:id="24" w:name="_Toc312678030"/>
      <w:bookmarkStart w:id="25" w:name="_Toc296503204"/>
      <w:bookmarkStart w:id="26" w:name="_Toc296944543"/>
      <w:bookmarkStart w:id="27" w:name="_Toc318581175"/>
      <w:bookmarkStart w:id="28" w:name="_Toc297123546"/>
      <w:bookmarkStart w:id="29" w:name="_Toc292559914"/>
      <w:bookmarkStart w:id="30" w:name="_Toc303539152"/>
      <w:bookmarkStart w:id="31" w:name="_Toc296891032"/>
      <w:bookmarkStart w:id="32" w:name="_Toc300934995"/>
      <w:bookmarkStart w:id="33" w:name="_Toc267251433"/>
      <w:bookmarkStart w:id="34" w:name="_Toc267251440"/>
      <w:bookmarkStart w:id="35" w:name="_Toc267251441"/>
      <w:bookmarkStart w:id="36" w:name="_Toc267251439"/>
      <w:bookmarkStart w:id="37" w:name="_Toc267251437"/>
      <w:bookmarkStart w:id="38" w:name="_Toc267251435"/>
      <w:bookmarkStart w:id="39" w:name="_Toc296891033"/>
      <w:bookmarkStart w:id="40" w:name="_Toc304295579"/>
      <w:bookmarkStart w:id="41" w:name="_Toc312678040"/>
      <w:bookmarkStart w:id="42" w:name="_Toc351203644"/>
      <w:bookmarkStart w:id="43" w:name="_Toc297120505"/>
      <w:bookmarkStart w:id="44" w:name="_Toc296944544"/>
      <w:bookmarkStart w:id="45" w:name="_Toc296503205"/>
      <w:bookmarkStart w:id="46" w:name="_Toc297216211"/>
      <w:bookmarkStart w:id="47" w:name="_Toc296891245"/>
      <w:bookmarkStart w:id="48" w:name="_Toc296347204"/>
      <w:bookmarkStart w:id="49" w:name="_Toc297123552"/>
      <w:bookmarkStart w:id="50" w:name="_Toc297048391"/>
      <w:bookmarkStart w:id="51" w:name="_Toc300935002"/>
      <w:bookmarkStart w:id="52" w:name="_Toc292559410"/>
      <w:bookmarkStart w:id="53" w:name="_Toc296346706"/>
      <w:bookmarkStart w:id="54" w:name="_Toc292559915"/>
      <w:bookmarkStart w:id="55" w:name="_Toc303539159"/>
      <w:bookmarkStart w:id="56" w:name="_Toc267251442"/>
      <w:r>
        <w:rPr>
          <w:rFonts w:hint="eastAsia" w:ascii="仿宋" w:hAnsi="仿宋" w:eastAsia="仿宋" w:cs="仿宋"/>
          <w:b/>
          <w:color w:val="000000" w:themeColor="text1"/>
          <w:sz w:val="20"/>
          <w:szCs w:val="20"/>
          <w:highlight w:val="none"/>
          <w14:textFill>
            <w14:solidFill>
              <w14:schemeClr w14:val="tx1"/>
            </w14:solidFill>
          </w14:textFill>
        </w:rPr>
        <w:t>1. 一般约定</w:t>
      </w:r>
    </w:p>
    <w:p w14:paraId="02D860A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 词语定义</w:t>
      </w:r>
    </w:p>
    <w:p w14:paraId="353551A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1.1.1合同</w:t>
      </w:r>
    </w:p>
    <w:p w14:paraId="78A11F59">
      <w:pPr>
        <w:keepNext w:val="0"/>
        <w:keepLines w:val="0"/>
        <w:pageBreakBefore w:val="0"/>
        <w:kinsoku/>
        <w:wordWrap/>
        <w:overflowPunct/>
        <w:topLinePunct w:val="0"/>
        <w:bidi w:val="0"/>
        <w:spacing w:line="324" w:lineRule="auto"/>
        <w:ind w:firstLine="392" w:firstLineChars="196"/>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1.1.1.10其他合同文件包括：</w:t>
      </w:r>
      <w:r>
        <w:rPr>
          <w:rFonts w:hint="eastAsia" w:ascii="仿宋" w:hAnsi="仿宋" w:eastAsia="仿宋" w:cs="仿宋"/>
          <w:color w:val="000000" w:themeColor="text1"/>
          <w:sz w:val="20"/>
          <w:szCs w:val="20"/>
          <w:highlight w:val="none"/>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采购文件及附件7、标准、规范及有关技术文件 8、施工投标文件及附件9、工程量清单10、工程报价单或预算书。</w:t>
      </w:r>
    </w:p>
    <w:p w14:paraId="26DB182D">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 工程和设备</w:t>
      </w:r>
    </w:p>
    <w:p w14:paraId="098A708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1.1.3.7 作为施工现场组成部分的其他场所包括：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无    </w:t>
      </w:r>
      <w:r>
        <w:rPr>
          <w:rFonts w:hint="eastAsia" w:ascii="仿宋" w:hAnsi="仿宋" w:eastAsia="仿宋" w:cs="仿宋"/>
          <w:color w:val="000000" w:themeColor="text1"/>
          <w:sz w:val="20"/>
          <w:szCs w:val="20"/>
          <w:highlight w:val="none"/>
          <w14:textFill>
            <w14:solidFill>
              <w14:schemeClr w14:val="tx1"/>
            </w14:solidFill>
          </w14:textFill>
        </w:rPr>
        <w:t>。</w:t>
      </w:r>
    </w:p>
    <w:p w14:paraId="2215D3C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1.1.3.9 永久占地包括：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用地红线内         </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1324E95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1.1.3.10 临时占地包括：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施工过程中的临时用房，生产用地等</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2FF2162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1.3法律 </w:t>
      </w:r>
    </w:p>
    <w:p w14:paraId="3636A52C">
      <w:pPr>
        <w:keepNext w:val="0"/>
        <w:keepLines w:val="0"/>
        <w:pageBreakBefore w:val="0"/>
        <w:kinsoku/>
        <w:wordWrap/>
        <w:overflowPunct/>
        <w:topLinePunct w:val="0"/>
        <w:autoSpaceDE w:val="0"/>
        <w:autoSpaceDN w:val="0"/>
        <w:bidi w:val="0"/>
        <w:adjustRightInd w:val="0"/>
        <w:spacing w:line="324" w:lineRule="auto"/>
        <w:ind w:firstLine="566" w:firstLineChars="283"/>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适用于合同的其他规范性文件：</w:t>
      </w:r>
      <w:r>
        <w:rPr>
          <w:rFonts w:hint="eastAsia" w:ascii="仿宋" w:hAnsi="仿宋" w:eastAsia="仿宋" w:cs="仿宋"/>
          <w:color w:val="000000" w:themeColor="text1"/>
          <w:sz w:val="20"/>
          <w:szCs w:val="20"/>
          <w:highlight w:val="none"/>
          <w:u w:val="single"/>
          <w14:textFill>
            <w14:solidFill>
              <w14:schemeClr w14:val="tx1"/>
            </w14:solidFill>
          </w14:textFill>
        </w:rPr>
        <w:t>《中华人民共和国建筑法</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中华人民共和国民法典</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陕西省建设工程工程量清单计价规则》</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20</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25</w:t>
      </w:r>
      <w:r>
        <w:rPr>
          <w:rFonts w:hint="eastAsia" w:ascii="仿宋" w:hAnsi="仿宋" w:eastAsia="仿宋" w:cs="仿宋"/>
          <w:color w:val="000000" w:themeColor="text1"/>
          <w:sz w:val="20"/>
          <w:szCs w:val="20"/>
          <w:highlight w:val="none"/>
          <w:u w:val="single"/>
          <w14:textFill>
            <w14:solidFill>
              <w14:schemeClr w14:val="tx1"/>
            </w14:solidFill>
          </w14:textFill>
        </w:rPr>
        <w:t>版</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、中华人民共和国《工程建设标准强制性条文》、现行《建筑工程质量验收统一标准</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建筑工程施工及验收规范》等国家、部门及地方现行及后续的有关</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法律法规</w:t>
      </w:r>
      <w:r>
        <w:rPr>
          <w:rFonts w:hint="eastAsia" w:ascii="仿宋" w:hAnsi="仿宋" w:eastAsia="仿宋" w:cs="仿宋"/>
          <w:color w:val="000000" w:themeColor="text1"/>
          <w:sz w:val="20"/>
          <w:szCs w:val="20"/>
          <w:highlight w:val="none"/>
          <w:u w:val="single"/>
          <w14:textFill>
            <w14:solidFill>
              <w14:schemeClr w14:val="tx1"/>
            </w14:solidFill>
          </w14:textFill>
        </w:rPr>
        <w:t>、规章、规范性文件等</w:t>
      </w:r>
      <w:r>
        <w:rPr>
          <w:rFonts w:hint="eastAsia" w:ascii="仿宋" w:hAnsi="仿宋" w:eastAsia="仿宋" w:cs="仿宋"/>
          <w:color w:val="000000" w:themeColor="text1"/>
          <w:sz w:val="20"/>
          <w:szCs w:val="20"/>
          <w:highlight w:val="none"/>
          <w14:textFill>
            <w14:solidFill>
              <w14:schemeClr w14:val="tx1"/>
            </w14:solidFill>
          </w14:textFill>
        </w:rPr>
        <w:t>。</w:t>
      </w:r>
    </w:p>
    <w:p w14:paraId="04718FC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 标准和规范</w:t>
      </w:r>
    </w:p>
    <w:p w14:paraId="14F6A94B">
      <w:pPr>
        <w:keepNext w:val="0"/>
        <w:keepLines w:val="0"/>
        <w:pageBreakBefore w:val="0"/>
        <w:kinsoku/>
        <w:wordWrap/>
        <w:overflowPunct/>
        <w:topLinePunct w:val="0"/>
        <w:bidi w:val="0"/>
        <w:spacing w:line="324" w:lineRule="auto"/>
        <w:ind w:firstLine="566" w:firstLineChars="283"/>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1.4.1适用于工程的标准规范包括：</w:t>
      </w:r>
      <w:r>
        <w:rPr>
          <w:rFonts w:hint="eastAsia" w:ascii="仿宋" w:hAnsi="仿宋" w:eastAsia="仿宋" w:cs="仿宋"/>
          <w:color w:val="000000" w:themeColor="text1"/>
          <w:sz w:val="20"/>
          <w:szCs w:val="20"/>
          <w:highlight w:val="none"/>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hint="eastAsia" w:ascii="仿宋" w:hAnsi="仿宋" w:eastAsia="仿宋" w:cs="仿宋"/>
          <w:color w:val="000000" w:themeColor="text1"/>
          <w:sz w:val="20"/>
          <w:szCs w:val="20"/>
          <w:highlight w:val="none"/>
          <w14:textFill>
            <w14:solidFill>
              <w14:schemeClr w14:val="tx1"/>
            </w14:solidFill>
          </w14:textFill>
        </w:rPr>
        <w:t>。</w:t>
      </w:r>
    </w:p>
    <w:p w14:paraId="2D65C22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 合同文件的优先顺序</w:t>
      </w:r>
    </w:p>
    <w:p w14:paraId="69FCF65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合同文件组成及优先顺序为：</w:t>
      </w:r>
      <w:r>
        <w:rPr>
          <w:rFonts w:hint="eastAsia" w:ascii="仿宋" w:hAnsi="仿宋" w:eastAsia="仿宋" w:cs="仿宋"/>
          <w:color w:val="000000" w:themeColor="text1"/>
          <w:sz w:val="20"/>
          <w:szCs w:val="20"/>
          <w:highlight w:val="none"/>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采购文件及附件；7、标准、规范及有关技术文件；8、施工投标文件及附件；9、工程量清单；10、工程报价单或预算书，以及其他合同文件</w:t>
      </w:r>
      <w:r>
        <w:rPr>
          <w:rFonts w:hint="eastAsia" w:ascii="仿宋" w:hAnsi="仿宋" w:eastAsia="仿宋" w:cs="仿宋"/>
          <w:color w:val="000000" w:themeColor="text1"/>
          <w:sz w:val="20"/>
          <w:szCs w:val="20"/>
          <w:highlight w:val="none"/>
          <w14:textFill>
            <w14:solidFill>
              <w14:schemeClr w14:val="tx1"/>
            </w14:solidFill>
          </w14:textFill>
        </w:rPr>
        <w:t>。</w:t>
      </w:r>
    </w:p>
    <w:p w14:paraId="266A6D3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 图纸和承包人文件</w:t>
      </w:r>
      <w:r>
        <w:rPr>
          <w:rFonts w:hint="eastAsia" w:ascii="仿宋" w:hAnsi="仿宋" w:eastAsia="仿宋" w:cs="仿宋"/>
          <w:color w:val="000000" w:themeColor="text1"/>
          <w:sz w:val="20"/>
          <w:szCs w:val="20"/>
          <w:highlight w:val="none"/>
          <w14:textFill>
            <w14:solidFill>
              <w14:schemeClr w14:val="tx1"/>
            </w14:solidFill>
          </w14:textFill>
        </w:rPr>
        <w:tab/>
      </w:r>
    </w:p>
    <w:p w14:paraId="6F6A33F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 图纸的提供：</w:t>
      </w:r>
    </w:p>
    <w:p w14:paraId="0850D48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发包人向承包人提供图纸的期限：</w:t>
      </w:r>
      <w:r>
        <w:rPr>
          <w:rFonts w:hint="eastAsia" w:ascii="仿宋" w:hAnsi="仿宋" w:eastAsia="仿宋" w:cs="仿宋"/>
          <w:color w:val="000000" w:themeColor="text1"/>
          <w:sz w:val="20"/>
          <w:szCs w:val="20"/>
          <w:highlight w:val="none"/>
          <w:u w:val="single"/>
          <w14:textFill>
            <w14:solidFill>
              <w14:schemeClr w14:val="tx1"/>
            </w14:solidFill>
          </w14:textFill>
        </w:rPr>
        <w:t>在合同签订后5日内；</w:t>
      </w:r>
    </w:p>
    <w:p w14:paraId="70188D4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发包人向承包人提供图纸的数量：</w:t>
      </w:r>
      <w:r>
        <w:rPr>
          <w:rFonts w:hint="eastAsia" w:ascii="仿宋" w:hAnsi="仿宋" w:eastAsia="仿宋" w:cs="仿宋"/>
          <w:color w:val="000000" w:themeColor="text1"/>
          <w:sz w:val="20"/>
          <w:szCs w:val="20"/>
          <w:highlight w:val="none"/>
          <w:u w:val="single"/>
          <w14:textFill>
            <w14:solidFill>
              <w14:schemeClr w14:val="tx1"/>
            </w14:solidFill>
          </w14:textFill>
        </w:rPr>
        <w:t>四套，标准图由承包人自备；</w:t>
      </w:r>
    </w:p>
    <w:p w14:paraId="6BCF5DC1">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发包人向承包人提供图纸的内容：</w:t>
      </w:r>
      <w:r>
        <w:rPr>
          <w:rFonts w:hint="eastAsia" w:ascii="仿宋" w:hAnsi="仿宋" w:eastAsia="仿宋" w:cs="仿宋"/>
          <w:color w:val="000000" w:themeColor="text1"/>
          <w:sz w:val="20"/>
          <w:szCs w:val="20"/>
          <w:highlight w:val="none"/>
          <w:u w:val="single"/>
          <w14:textFill>
            <w14:solidFill>
              <w14:schemeClr w14:val="tx1"/>
            </w14:solidFill>
          </w14:textFill>
        </w:rPr>
        <w:t>施工图</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包括水、电、暖、结构、建筑等</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w:t>
      </w:r>
    </w:p>
    <w:p w14:paraId="17AF307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1.6.4 承包人文件</w:t>
      </w:r>
    </w:p>
    <w:p w14:paraId="1FBA8E6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需要由承包人提供的文件，包括：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施工组织设计</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施工方案</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、工期进度计划、安全文明施工措施、人员安排等 </w:t>
      </w:r>
      <w:r>
        <w:rPr>
          <w:rFonts w:hint="eastAsia" w:ascii="仿宋" w:hAnsi="仿宋" w:eastAsia="仿宋" w:cs="仿宋"/>
          <w:color w:val="000000" w:themeColor="text1"/>
          <w:sz w:val="20"/>
          <w:szCs w:val="20"/>
          <w:highlight w:val="none"/>
          <w14:textFill>
            <w14:solidFill>
              <w14:schemeClr w14:val="tx1"/>
            </w14:solidFill>
          </w14:textFill>
        </w:rPr>
        <w:t>；</w:t>
      </w:r>
    </w:p>
    <w:p w14:paraId="66D5397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承包人提供的文件的期限为：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开工前5日内 </w:t>
      </w:r>
      <w:r>
        <w:rPr>
          <w:rFonts w:hint="eastAsia" w:ascii="仿宋" w:hAnsi="仿宋" w:eastAsia="仿宋" w:cs="仿宋"/>
          <w:color w:val="000000" w:themeColor="text1"/>
          <w:sz w:val="20"/>
          <w:szCs w:val="20"/>
          <w:highlight w:val="none"/>
          <w14:textFill>
            <w14:solidFill>
              <w14:schemeClr w14:val="tx1"/>
            </w14:solidFill>
          </w14:textFill>
        </w:rPr>
        <w:t>；</w:t>
      </w:r>
    </w:p>
    <w:p w14:paraId="4BF1ADF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承包人提供的文件的数量为：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不少于5份   </w:t>
      </w:r>
      <w:r>
        <w:rPr>
          <w:rFonts w:hint="eastAsia" w:ascii="仿宋" w:hAnsi="仿宋" w:eastAsia="仿宋" w:cs="仿宋"/>
          <w:color w:val="000000" w:themeColor="text1"/>
          <w:sz w:val="20"/>
          <w:szCs w:val="20"/>
          <w:highlight w:val="none"/>
          <w14:textFill>
            <w14:solidFill>
              <w14:schemeClr w14:val="tx1"/>
            </w14:solidFill>
          </w14:textFill>
        </w:rPr>
        <w:t>；</w:t>
      </w:r>
    </w:p>
    <w:p w14:paraId="234CA66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承包人提供的文件的形式为：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纸质文件及电子文档    </w:t>
      </w:r>
      <w:r>
        <w:rPr>
          <w:rFonts w:hint="eastAsia" w:ascii="仿宋" w:hAnsi="仿宋" w:eastAsia="仿宋" w:cs="仿宋"/>
          <w:color w:val="000000" w:themeColor="text1"/>
          <w:sz w:val="20"/>
          <w:szCs w:val="20"/>
          <w:highlight w:val="none"/>
          <w14:textFill>
            <w14:solidFill>
              <w14:schemeClr w14:val="tx1"/>
            </w14:solidFill>
          </w14:textFill>
        </w:rPr>
        <w:t>；</w:t>
      </w:r>
    </w:p>
    <w:p w14:paraId="11128B8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发包人审批承包人文件的期限：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接到承包人文件后7日内</w:t>
      </w:r>
      <w:r>
        <w:rPr>
          <w:rFonts w:hint="eastAsia" w:ascii="仿宋" w:hAnsi="仿宋" w:eastAsia="仿宋" w:cs="仿宋"/>
          <w:color w:val="000000" w:themeColor="text1"/>
          <w:sz w:val="20"/>
          <w:szCs w:val="20"/>
          <w:highlight w:val="none"/>
          <w14:textFill>
            <w14:solidFill>
              <w14:schemeClr w14:val="tx1"/>
            </w14:solidFill>
          </w14:textFill>
        </w:rPr>
        <w:t>。</w:t>
      </w:r>
    </w:p>
    <w:p w14:paraId="09CB65B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1.6.5 现场图纸准备</w:t>
      </w:r>
    </w:p>
    <w:p w14:paraId="0022C46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关于现场图纸准备的约定：</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p>
    <w:p w14:paraId="2CF8EEA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 联络</w:t>
      </w:r>
    </w:p>
    <w:p w14:paraId="1056B6C6">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1.7.1发包人和承包人应当在</w:t>
      </w:r>
      <w:r>
        <w:rPr>
          <w:rFonts w:hint="eastAsia" w:ascii="仿宋" w:hAnsi="仿宋" w:eastAsia="仿宋" w:cs="仿宋"/>
          <w:color w:val="000000" w:themeColor="text1"/>
          <w:sz w:val="20"/>
          <w:szCs w:val="20"/>
          <w:highlight w:val="none"/>
          <w:u w:val="single"/>
          <w14:textFill>
            <w14:solidFill>
              <w14:schemeClr w14:val="tx1"/>
            </w14:solidFill>
          </w14:textFill>
        </w:rPr>
        <w:t>7</w:t>
      </w:r>
      <w:r>
        <w:rPr>
          <w:rFonts w:hint="eastAsia" w:ascii="仿宋" w:hAnsi="仿宋" w:eastAsia="仿宋" w:cs="仿宋"/>
          <w:color w:val="000000" w:themeColor="text1"/>
          <w:kern w:val="0"/>
          <w:sz w:val="20"/>
          <w:szCs w:val="20"/>
          <w:highlight w:val="none"/>
          <w14:textFill>
            <w14:solidFill>
              <w14:schemeClr w14:val="tx1"/>
            </w14:solidFill>
          </w14:textFill>
        </w:rPr>
        <w:t>天内将与合同有关的通知、批准、证明、证书、指示、指令、要求、请求、同意、意见、确定和决定等书面函件送达对方当事人。</w:t>
      </w:r>
    </w:p>
    <w:p w14:paraId="4818CB6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1.10 交通运输</w:t>
      </w:r>
    </w:p>
    <w:p w14:paraId="1B0CAF5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Start w:id="57" w:name="_Toc318581155"/>
      <w:bookmarkStart w:id="58" w:name="_Toc304295521"/>
      <w:bookmarkStart w:id="59" w:name="_Toc303539100"/>
      <w:bookmarkStart w:id="60" w:name="_Toc300934943"/>
      <w:bookmarkStart w:id="61" w:name="_Toc312677986"/>
      <w:r>
        <w:rPr>
          <w:rFonts w:hint="eastAsia" w:ascii="仿宋" w:hAnsi="仿宋" w:eastAsia="仿宋" w:cs="仿宋"/>
          <w:color w:val="000000" w:themeColor="text1"/>
          <w:sz w:val="20"/>
          <w:szCs w:val="20"/>
          <w:highlight w:val="none"/>
          <w14:textFill>
            <w14:solidFill>
              <w14:schemeClr w14:val="tx1"/>
            </w14:solidFill>
          </w14:textFill>
        </w:rPr>
        <w:t>.10.1 出入现场的权利</w:t>
      </w:r>
    </w:p>
    <w:p w14:paraId="410E8C18">
      <w:pPr>
        <w:keepNext w:val="0"/>
        <w:keepLines w:val="0"/>
        <w:pageBreakBefore w:val="0"/>
        <w:kinsoku/>
        <w:wordWrap/>
        <w:overflowPunct/>
        <w:topLinePunct w:val="0"/>
        <w:bidi w:val="0"/>
        <w:spacing w:line="324" w:lineRule="auto"/>
        <w:ind w:left="596" w:leftChars="284"/>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关于出入现场的权利的约定：</w:t>
      </w:r>
      <w:r>
        <w:rPr>
          <w:rFonts w:hint="eastAsia" w:ascii="仿宋" w:hAnsi="仿宋" w:eastAsia="仿宋" w:cs="仿宋"/>
          <w:color w:val="000000" w:themeColor="text1"/>
          <w:sz w:val="20"/>
          <w:szCs w:val="20"/>
          <w:highlight w:val="none"/>
          <w:u w:val="single"/>
          <w14:textFill>
            <w14:solidFill>
              <w14:schemeClr w14:val="tx1"/>
            </w14:solidFill>
          </w14:textFill>
        </w:rPr>
        <w:t>承包人负责现场管理，发包人遵守承包人现场管理的规定</w:t>
      </w:r>
      <w:r>
        <w:rPr>
          <w:rFonts w:hint="eastAsia" w:ascii="仿宋" w:hAnsi="仿宋" w:eastAsia="仿宋" w:cs="仿宋"/>
          <w:color w:val="000000" w:themeColor="text1"/>
          <w:sz w:val="20"/>
          <w:szCs w:val="20"/>
          <w:highlight w:val="none"/>
          <w14:textFill>
            <w14:solidFill>
              <w14:schemeClr w14:val="tx1"/>
            </w14:solidFill>
          </w14:textFill>
        </w:rPr>
        <w:t>。</w:t>
      </w:r>
    </w:p>
    <w:bookmarkEnd w:id="57"/>
    <w:bookmarkEnd w:id="58"/>
    <w:bookmarkEnd w:id="59"/>
    <w:bookmarkEnd w:id="60"/>
    <w:bookmarkEnd w:id="61"/>
    <w:p w14:paraId="2048995E">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Start w:id="62" w:name="_Toc318581156"/>
      <w:bookmarkStart w:id="63" w:name="_Toc304295522"/>
      <w:bookmarkStart w:id="64" w:name="_Toc300934944"/>
      <w:bookmarkStart w:id="65" w:name="_Toc312677987"/>
      <w:bookmarkStart w:id="66" w:name="_Toc303539101"/>
      <w:r>
        <w:rPr>
          <w:rFonts w:hint="eastAsia" w:ascii="仿宋" w:hAnsi="仿宋" w:eastAsia="仿宋" w:cs="仿宋"/>
          <w:color w:val="000000" w:themeColor="text1"/>
          <w:sz w:val="20"/>
          <w:szCs w:val="20"/>
          <w:highlight w:val="none"/>
          <w14:textFill>
            <w14:solidFill>
              <w14:schemeClr w14:val="tx1"/>
            </w14:solidFill>
          </w14:textFill>
        </w:rPr>
        <w:t>.10.3 场内交通</w:t>
      </w:r>
    </w:p>
    <w:p w14:paraId="14F2E457">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关于场外交通和场内交通的边界的约定：</w:t>
      </w:r>
      <w:r>
        <w:rPr>
          <w:rFonts w:hint="eastAsia" w:ascii="仿宋" w:hAnsi="仿宋" w:eastAsia="仿宋" w:cs="仿宋"/>
          <w:color w:val="000000" w:themeColor="text1"/>
          <w:sz w:val="20"/>
          <w:szCs w:val="20"/>
          <w:highlight w:val="none"/>
          <w:u w:val="single"/>
          <w14:textFill>
            <w14:solidFill>
              <w14:schemeClr w14:val="tx1"/>
            </w14:solidFill>
          </w14:textFill>
        </w:rPr>
        <w:t>施工围墙以外为场外交通，施工围墙以内为场内交通，但施工大门至公共道路处为场内交通</w:t>
      </w:r>
      <w:r>
        <w:rPr>
          <w:rFonts w:hint="eastAsia" w:ascii="仿宋" w:hAnsi="仿宋" w:eastAsia="仿宋" w:cs="仿宋"/>
          <w:color w:val="000000" w:themeColor="text1"/>
          <w:sz w:val="20"/>
          <w:szCs w:val="20"/>
          <w:highlight w:val="none"/>
          <w14:textFill>
            <w14:solidFill>
              <w14:schemeClr w14:val="tx1"/>
            </w14:solidFill>
          </w14:textFill>
        </w:rPr>
        <w:t>。</w:t>
      </w:r>
    </w:p>
    <w:p w14:paraId="3F37CD7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关于发包人向承包人免费提供满足工程施工需要的场内道路和交通设施的约定：</w:t>
      </w:r>
      <w:r>
        <w:rPr>
          <w:rFonts w:hint="eastAsia" w:ascii="仿宋" w:hAnsi="仿宋" w:eastAsia="仿宋" w:cs="仿宋"/>
          <w:color w:val="000000" w:themeColor="text1"/>
          <w:sz w:val="20"/>
          <w:szCs w:val="20"/>
          <w:highlight w:val="none"/>
          <w:u w:val="single"/>
          <w14:textFill>
            <w14:solidFill>
              <w14:schemeClr w14:val="tx1"/>
            </w14:solidFill>
          </w14:textFill>
        </w:rPr>
        <w:t>场内道路的施工及交通设施由承包人负责，场外道路设施由发包人承担。</w:t>
      </w:r>
      <w:bookmarkEnd w:id="62"/>
      <w:bookmarkEnd w:id="63"/>
      <w:bookmarkEnd w:id="64"/>
      <w:bookmarkEnd w:id="65"/>
      <w:bookmarkEnd w:id="66"/>
      <w:bookmarkStart w:id="67" w:name="_Toc318581157"/>
    </w:p>
    <w:p w14:paraId="28152306">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1.10.4超大件和超重件的运输</w:t>
      </w:r>
    </w:p>
    <w:p w14:paraId="2842ADA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运输超大件或超重件所需的道路和桥梁临时加固改造费用和其他有关费用由</w:t>
      </w:r>
      <w:r>
        <w:rPr>
          <w:rFonts w:hint="eastAsia" w:ascii="仿宋" w:hAnsi="仿宋" w:eastAsia="仿宋" w:cs="仿宋"/>
          <w:color w:val="000000" w:themeColor="text1"/>
          <w:sz w:val="20"/>
          <w:szCs w:val="20"/>
          <w:highlight w:val="none"/>
          <w:u w:val="single"/>
          <w14:textFill>
            <w14:solidFill>
              <w14:schemeClr w14:val="tx1"/>
            </w14:solidFill>
          </w14:textFill>
        </w:rPr>
        <w:t>承包人</w:t>
      </w:r>
      <w:r>
        <w:rPr>
          <w:rFonts w:hint="eastAsia" w:ascii="仿宋" w:hAnsi="仿宋" w:eastAsia="仿宋" w:cs="仿宋"/>
          <w:color w:val="000000" w:themeColor="text1"/>
          <w:sz w:val="20"/>
          <w:szCs w:val="20"/>
          <w:highlight w:val="none"/>
          <w14:textFill>
            <w14:solidFill>
              <w14:schemeClr w14:val="tx1"/>
            </w14:solidFill>
          </w14:textFill>
        </w:rPr>
        <w:t>承担。</w:t>
      </w:r>
    </w:p>
    <w:bookmarkEnd w:id="67"/>
    <w:p w14:paraId="3148586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 知识产权</w:t>
      </w:r>
    </w:p>
    <w:p w14:paraId="1C54E99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发包人</w:t>
      </w:r>
      <w:r>
        <w:rPr>
          <w:rFonts w:hint="eastAsia" w:ascii="仿宋" w:hAnsi="仿宋" w:eastAsia="仿宋" w:cs="仿宋"/>
          <w:color w:val="000000" w:themeColor="text1"/>
          <w:sz w:val="20"/>
          <w:szCs w:val="20"/>
          <w:highlight w:val="none"/>
          <w14:textFill>
            <w14:solidFill>
              <w14:schemeClr w14:val="tx1"/>
            </w14:solidFill>
          </w14:textFill>
        </w:rPr>
        <w:t>。</w:t>
      </w:r>
    </w:p>
    <w:p w14:paraId="21C24006">
      <w:pPr>
        <w:keepNext w:val="0"/>
        <w:keepLines w:val="0"/>
        <w:pageBreakBefore w:val="0"/>
        <w:kinsoku/>
        <w:wordWrap/>
        <w:overflowPunct/>
        <w:topLinePunct w:val="0"/>
        <w:bidi w:val="0"/>
        <w:spacing w:line="324" w:lineRule="auto"/>
        <w:ind w:firstLine="566" w:firstLineChars="283"/>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承包人对上述文件复制应经发包人同意并记录，按受控文件要求进行管理，不得外传、外借。</w:t>
      </w:r>
    </w:p>
    <w:p w14:paraId="2BEE705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1.11.2 关于承包人为实施工程所编制文件的著作权的归属：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发包人</w:t>
      </w:r>
      <w:r>
        <w:rPr>
          <w:rFonts w:hint="eastAsia" w:ascii="仿宋" w:hAnsi="仿宋" w:eastAsia="仿宋" w:cs="仿宋"/>
          <w:color w:val="000000" w:themeColor="text1"/>
          <w:sz w:val="20"/>
          <w:szCs w:val="20"/>
          <w:highlight w:val="none"/>
          <w14:textFill>
            <w14:solidFill>
              <w14:schemeClr w14:val="tx1"/>
            </w14:solidFill>
          </w14:textFill>
        </w:rPr>
        <w:t>。</w:t>
      </w:r>
    </w:p>
    <w:p w14:paraId="670C624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关于承包人提供的上述文件的使用限制的要求：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承包人对上述文件复制应经发包人同意并记录，按受控文件要求进行管理，不得外传、外借</w:t>
      </w:r>
      <w:r>
        <w:rPr>
          <w:rFonts w:hint="eastAsia" w:ascii="仿宋" w:hAnsi="仿宋" w:eastAsia="仿宋" w:cs="仿宋"/>
          <w:color w:val="000000" w:themeColor="text1"/>
          <w:sz w:val="20"/>
          <w:szCs w:val="20"/>
          <w:highlight w:val="none"/>
          <w14:textFill>
            <w14:solidFill>
              <w14:schemeClr w14:val="tx1"/>
            </w14:solidFill>
          </w14:textFill>
        </w:rPr>
        <w:t>。</w:t>
      </w:r>
    </w:p>
    <w:p w14:paraId="049464E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1.11.4 承包人在施工过程中所采用的专利、专有技术、技术秘密的使用费的承担方式：</w:t>
      </w:r>
      <w:r>
        <w:rPr>
          <w:rFonts w:hint="eastAsia" w:ascii="仿宋" w:hAnsi="仿宋" w:eastAsia="仿宋" w:cs="仿宋"/>
          <w:color w:val="000000" w:themeColor="text1"/>
          <w:sz w:val="20"/>
          <w:szCs w:val="20"/>
          <w:highlight w:val="none"/>
          <w:u w:val="single"/>
          <w14:textFill>
            <w14:solidFill>
              <w14:schemeClr w14:val="tx1"/>
            </w14:solidFill>
          </w14:textFill>
        </w:rPr>
        <w:t>承包人自行承担</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5B99A88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1.13工程量清单错误的修正</w:t>
      </w:r>
    </w:p>
    <w:p w14:paraId="466D3C56">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出现工程量清单错误时，是否调整合同价格：</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是  </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0D1D7AD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允许调整合同价格的工程量偏差范围：</w:t>
      </w:r>
      <w:r>
        <w:rPr>
          <w:rFonts w:hint="eastAsia" w:ascii="仿宋" w:hAnsi="仿宋" w:eastAsia="仿宋" w:cs="仿宋"/>
          <w:color w:val="000000" w:themeColor="text1"/>
          <w:sz w:val="20"/>
          <w:szCs w:val="20"/>
          <w:highlight w:val="none"/>
          <w:u w:val="single"/>
          <w14:textFill>
            <w14:solidFill>
              <w14:schemeClr w14:val="tx1"/>
            </w14:solidFill>
          </w14:textFill>
        </w:rPr>
        <w:t>工程量据实调整。</w:t>
      </w:r>
    </w:p>
    <w:p w14:paraId="535DB479">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当实际验收的工程数量与招标所发清单工程数量有偏差时，超出合同约定范围部分按实调整价款，工程量偏差在1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0</w:t>
      </w:r>
      <w:r>
        <w:rPr>
          <w:rFonts w:hint="eastAsia" w:ascii="仿宋" w:hAnsi="仿宋" w:eastAsia="仿宋" w:cs="仿宋"/>
          <w:color w:val="000000" w:themeColor="text1"/>
          <w:sz w:val="20"/>
          <w:szCs w:val="20"/>
          <w:highlight w:val="none"/>
          <w:u w:val="single"/>
          <w14:textFill>
            <w14:solidFill>
              <w14:schemeClr w14:val="tx1"/>
            </w14:solidFill>
          </w14:textFill>
        </w:rPr>
        <w:t>%以内时</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含1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0</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综合单价不变，超过1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0</w:t>
      </w:r>
      <w:r>
        <w:rPr>
          <w:rFonts w:hint="eastAsia" w:ascii="仿宋" w:hAnsi="仿宋" w:eastAsia="仿宋" w:cs="仿宋"/>
          <w:color w:val="000000" w:themeColor="text1"/>
          <w:sz w:val="20"/>
          <w:szCs w:val="20"/>
          <w:highlight w:val="none"/>
          <w:u w:val="single"/>
          <w14:textFill>
            <w14:solidFill>
              <w14:schemeClr w14:val="tx1"/>
            </w14:solidFill>
          </w14:textFill>
        </w:rPr>
        <w:t>%以外</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的数</w:t>
      </w:r>
      <w:r>
        <w:rPr>
          <w:rFonts w:hint="eastAsia" w:ascii="仿宋" w:hAnsi="仿宋" w:eastAsia="仿宋" w:cs="仿宋"/>
          <w:color w:val="000000" w:themeColor="text1"/>
          <w:sz w:val="20"/>
          <w:szCs w:val="20"/>
          <w:highlight w:val="none"/>
          <w:u w:val="single"/>
          <w14:textFill>
            <w14:solidFill>
              <w14:schemeClr w14:val="tx1"/>
            </w14:solidFill>
          </w14:textFill>
        </w:rPr>
        <w:t>量偏差综合单价双方协商，其综合单价由承包人提出、发包人确认。</w:t>
      </w:r>
    </w:p>
    <w:p w14:paraId="6807F4A4">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68" w:name="_Toc351203634"/>
      <w:bookmarkStart w:id="69" w:name="_Toc7658"/>
      <w:bookmarkStart w:id="70" w:name="_Toc19823"/>
      <w:r>
        <w:rPr>
          <w:rFonts w:hint="eastAsia" w:ascii="仿宋" w:hAnsi="仿宋" w:eastAsia="仿宋" w:cs="仿宋"/>
          <w:b/>
          <w:color w:val="000000" w:themeColor="text1"/>
          <w:sz w:val="20"/>
          <w:szCs w:val="20"/>
          <w:highlight w:val="none"/>
          <w14:textFill>
            <w14:solidFill>
              <w14:schemeClr w14:val="tx1"/>
            </w14:solidFill>
          </w14:textFill>
        </w:rPr>
        <w:t>2</w:t>
      </w:r>
      <w:bookmarkStart w:id="71" w:name="_Toc296346658"/>
      <w:bookmarkStart w:id="72" w:name="_Toc292559867"/>
      <w:bookmarkStart w:id="73" w:name="_Toc296890985"/>
      <w:bookmarkStart w:id="74" w:name="_Toc296347156"/>
      <w:bookmarkStart w:id="75" w:name="_Toc297120457"/>
      <w:bookmarkStart w:id="76" w:name="_Toc296891197"/>
      <w:bookmarkStart w:id="77" w:name="_Toc297048343"/>
      <w:bookmarkStart w:id="78" w:name="_Toc292559362"/>
      <w:bookmarkStart w:id="79" w:name="_Toc296503157"/>
      <w:bookmarkStart w:id="80" w:name="_Toc296944496"/>
      <w:r>
        <w:rPr>
          <w:rFonts w:hint="eastAsia" w:ascii="仿宋" w:hAnsi="仿宋" w:eastAsia="仿宋" w:cs="仿宋"/>
          <w:b/>
          <w:color w:val="000000" w:themeColor="text1"/>
          <w:sz w:val="20"/>
          <w:szCs w:val="20"/>
          <w:highlight w:val="none"/>
          <w14:textFill>
            <w14:solidFill>
              <w14:schemeClr w14:val="tx1"/>
            </w14:solidFill>
          </w14:textFill>
        </w:rPr>
        <w:t>. 发包人</w:t>
      </w:r>
      <w:bookmarkEnd w:id="68"/>
      <w:bookmarkEnd w:id="69"/>
      <w:bookmarkEnd w:id="70"/>
    </w:p>
    <w:bookmarkEnd w:id="71"/>
    <w:bookmarkEnd w:id="72"/>
    <w:bookmarkEnd w:id="73"/>
    <w:bookmarkEnd w:id="74"/>
    <w:bookmarkEnd w:id="75"/>
    <w:bookmarkEnd w:id="76"/>
    <w:bookmarkEnd w:id="77"/>
    <w:bookmarkEnd w:id="78"/>
    <w:bookmarkEnd w:id="79"/>
    <w:bookmarkEnd w:id="80"/>
    <w:p w14:paraId="799A051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2.2 发包人代表</w:t>
      </w:r>
    </w:p>
    <w:p w14:paraId="16AD2089">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w:t>
      </w:r>
    </w:p>
    <w:p w14:paraId="052C30A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    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0BEE0E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身份证号：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4480CC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职    务：</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5AE63C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CC73A4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045943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通信地址：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ED5F7D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发包人对发包人代表的授权范围如下：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负责施工全过程的安全、进度、质量及现场费用控制管理、协调现场各种关系等。</w:t>
      </w:r>
    </w:p>
    <w:p w14:paraId="4CCCCC0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2.4 施工现场、施工条件和基础资料的提供</w:t>
      </w:r>
    </w:p>
    <w:p w14:paraId="00FE80CF">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2.4.1 提供施工现场</w:t>
      </w:r>
    </w:p>
    <w:p w14:paraId="06D6379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关于发包人移交施工现场的期限要求：</w:t>
      </w:r>
      <w:r>
        <w:rPr>
          <w:rFonts w:hint="eastAsia" w:ascii="仿宋" w:hAnsi="仿宋" w:eastAsia="仿宋" w:cs="仿宋"/>
          <w:color w:val="000000" w:themeColor="text1"/>
          <w:sz w:val="20"/>
          <w:szCs w:val="20"/>
          <w:highlight w:val="none"/>
          <w:u w:val="single"/>
          <w14:textFill>
            <w14:solidFill>
              <w14:schemeClr w14:val="tx1"/>
            </w14:solidFill>
          </w14:textFill>
        </w:rPr>
        <w:t xml:space="preserve">按通用条款执行 </w:t>
      </w:r>
      <w:r>
        <w:rPr>
          <w:rFonts w:hint="eastAsia" w:ascii="仿宋" w:hAnsi="仿宋" w:eastAsia="仿宋" w:cs="仿宋"/>
          <w:color w:val="000000" w:themeColor="text1"/>
          <w:sz w:val="20"/>
          <w:szCs w:val="20"/>
          <w:highlight w:val="none"/>
          <w14:textFill>
            <w14:solidFill>
              <w14:schemeClr w14:val="tx1"/>
            </w14:solidFill>
          </w14:textFill>
        </w:rPr>
        <w:t>。</w:t>
      </w:r>
    </w:p>
    <w:p w14:paraId="2D55B82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2.4.2 提供施工条件</w:t>
      </w:r>
    </w:p>
    <w:p w14:paraId="3BFE610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关于发包人应负责提供施工所需要的条件，包括：</w:t>
      </w:r>
    </w:p>
    <w:p w14:paraId="6DDC9E71">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a、工程开工前，发包人负责将水准点与</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坐标</w:t>
      </w:r>
      <w:r>
        <w:rPr>
          <w:rFonts w:hint="eastAsia" w:ascii="仿宋" w:hAnsi="仿宋" w:eastAsia="仿宋" w:cs="仿宋"/>
          <w:color w:val="000000" w:themeColor="text1"/>
          <w:sz w:val="20"/>
          <w:szCs w:val="20"/>
          <w:highlight w:val="none"/>
          <w:u w:val="single"/>
          <w14:textFill>
            <w14:solidFill>
              <w14:schemeClr w14:val="tx1"/>
            </w14:solidFill>
          </w14:textFill>
        </w:rPr>
        <w:t>控制点以书面形式交给承包人，并进行现场交验，承包人正式放线后，由发包人负责及时请城建管理部门进行验线。</w:t>
      </w:r>
    </w:p>
    <w:p w14:paraId="2AA6EDB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6D00B117">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c、通讯线路和设备由承包人自行解决并承担其费用。</w:t>
      </w:r>
    </w:p>
    <w:p w14:paraId="3A5EB9C7">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1" w:name="_Toc351203635"/>
      <w:bookmarkStart w:id="82" w:name="_Toc8492"/>
      <w:bookmarkStart w:id="83" w:name="_Toc6293"/>
      <w:r>
        <w:rPr>
          <w:rFonts w:hint="eastAsia" w:ascii="仿宋" w:hAnsi="仿宋" w:eastAsia="仿宋" w:cs="仿宋"/>
          <w:b/>
          <w:color w:val="000000" w:themeColor="text1"/>
          <w:sz w:val="20"/>
          <w:szCs w:val="20"/>
          <w:highlight w:val="none"/>
          <w14:textFill>
            <w14:solidFill>
              <w14:schemeClr w14:val="tx1"/>
            </w14:solidFill>
          </w14:textFill>
        </w:rPr>
        <w:t>3</w:t>
      </w:r>
      <w:bookmarkStart w:id="84" w:name="_Toc292559868"/>
      <w:bookmarkStart w:id="85" w:name="_Toc292559363"/>
      <w:bookmarkStart w:id="86" w:name="_Toc296347157"/>
      <w:bookmarkStart w:id="87" w:name="_Toc296891198"/>
      <w:bookmarkStart w:id="88" w:name="_Toc297048344"/>
      <w:bookmarkStart w:id="89" w:name="_Toc296503158"/>
      <w:bookmarkStart w:id="90" w:name="_Toc297120458"/>
      <w:bookmarkStart w:id="91" w:name="_Toc296346659"/>
      <w:bookmarkStart w:id="92" w:name="_Toc296890986"/>
      <w:bookmarkStart w:id="93" w:name="_Toc296944497"/>
      <w:r>
        <w:rPr>
          <w:rFonts w:hint="eastAsia" w:ascii="仿宋" w:hAnsi="仿宋" w:eastAsia="仿宋" w:cs="仿宋"/>
          <w:b/>
          <w:color w:val="000000" w:themeColor="text1"/>
          <w:sz w:val="20"/>
          <w:szCs w:val="20"/>
          <w:highlight w:val="none"/>
          <w14:textFill>
            <w14:solidFill>
              <w14:schemeClr w14:val="tx1"/>
            </w14:solidFill>
          </w14:textFill>
        </w:rPr>
        <w:t>. 承包人</w:t>
      </w:r>
      <w:bookmarkEnd w:id="81"/>
      <w:bookmarkEnd w:id="82"/>
      <w:bookmarkEnd w:id="83"/>
    </w:p>
    <w:bookmarkEnd w:id="84"/>
    <w:bookmarkEnd w:id="85"/>
    <w:bookmarkEnd w:id="86"/>
    <w:bookmarkEnd w:id="87"/>
    <w:bookmarkEnd w:id="88"/>
    <w:bookmarkEnd w:id="89"/>
    <w:bookmarkEnd w:id="90"/>
    <w:bookmarkEnd w:id="91"/>
    <w:bookmarkEnd w:id="92"/>
    <w:bookmarkEnd w:id="93"/>
    <w:p w14:paraId="7FC298E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 承包人的一般义务</w:t>
      </w:r>
    </w:p>
    <w:p w14:paraId="61520A8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5</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承包人提交的竣工资料的内容：</w:t>
      </w:r>
      <w:r>
        <w:rPr>
          <w:rFonts w:hint="eastAsia" w:ascii="仿宋" w:hAnsi="仿宋" w:eastAsia="仿宋" w:cs="仿宋"/>
          <w:color w:val="000000" w:themeColor="text1"/>
          <w:sz w:val="20"/>
          <w:szCs w:val="20"/>
          <w:highlight w:val="none"/>
          <w:u w:val="single"/>
          <w14:textFill>
            <w14:solidFill>
              <w14:schemeClr w14:val="tx1"/>
            </w14:solidFill>
          </w14:textFill>
        </w:rPr>
        <w:t>竣工验收后一个月内，提交竣工图及完整资料文件。</w:t>
      </w:r>
    </w:p>
    <w:p w14:paraId="3279C97D">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承包人需要提交的竣工资料套数：</w:t>
      </w:r>
      <w:r>
        <w:rPr>
          <w:rFonts w:hint="eastAsia" w:ascii="仿宋" w:hAnsi="仿宋" w:eastAsia="仿宋" w:cs="仿宋"/>
          <w:color w:val="000000" w:themeColor="text1"/>
          <w:sz w:val="20"/>
          <w:szCs w:val="20"/>
          <w:highlight w:val="none"/>
          <w:u w:val="single"/>
          <w14:textFill>
            <w14:solidFill>
              <w14:schemeClr w14:val="tx1"/>
            </w14:solidFill>
          </w14:textFill>
        </w:rPr>
        <w:t xml:space="preserve">  不少于4套     </w:t>
      </w:r>
      <w:r>
        <w:rPr>
          <w:rFonts w:hint="eastAsia" w:ascii="仿宋" w:hAnsi="仿宋" w:eastAsia="仿宋" w:cs="仿宋"/>
          <w:color w:val="000000" w:themeColor="text1"/>
          <w:sz w:val="20"/>
          <w:szCs w:val="20"/>
          <w:highlight w:val="none"/>
          <w14:textFill>
            <w14:solidFill>
              <w14:schemeClr w14:val="tx1"/>
            </w14:solidFill>
          </w14:textFill>
        </w:rPr>
        <w:t>。</w:t>
      </w:r>
    </w:p>
    <w:p w14:paraId="22B0F9E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承包人提交的竣工资料的费用承担：</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承包人承担    </w:t>
      </w:r>
      <w:r>
        <w:rPr>
          <w:rFonts w:hint="eastAsia" w:ascii="仿宋" w:hAnsi="仿宋" w:eastAsia="仿宋" w:cs="仿宋"/>
          <w:color w:val="000000" w:themeColor="text1"/>
          <w:sz w:val="20"/>
          <w:szCs w:val="20"/>
          <w:highlight w:val="none"/>
          <w14:textFill>
            <w14:solidFill>
              <w14:schemeClr w14:val="tx1"/>
            </w14:solidFill>
          </w14:textFill>
        </w:rPr>
        <w:t>。</w:t>
      </w:r>
    </w:p>
    <w:p w14:paraId="77FA0092">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承包人提交的竣工资料移交时间：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竣工验收后一个月内 </w:t>
      </w:r>
      <w:r>
        <w:rPr>
          <w:rFonts w:hint="eastAsia" w:ascii="仿宋" w:hAnsi="仿宋" w:eastAsia="仿宋" w:cs="仿宋"/>
          <w:color w:val="000000" w:themeColor="text1"/>
          <w:sz w:val="20"/>
          <w:szCs w:val="20"/>
          <w:highlight w:val="none"/>
          <w14:textFill>
            <w14:solidFill>
              <w14:schemeClr w14:val="tx1"/>
            </w14:solidFill>
          </w14:textFill>
        </w:rPr>
        <w:t>。</w:t>
      </w:r>
    </w:p>
    <w:p w14:paraId="15F56541">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承包人提交的竣工资料形式要求：</w:t>
      </w:r>
      <w:r>
        <w:rPr>
          <w:rFonts w:hint="eastAsia" w:ascii="仿宋" w:hAnsi="仿宋" w:eastAsia="仿宋" w:cs="仿宋"/>
          <w:color w:val="000000" w:themeColor="text1"/>
          <w:sz w:val="20"/>
          <w:szCs w:val="20"/>
          <w:highlight w:val="none"/>
          <w:u w:val="single"/>
          <w14:textFill>
            <w14:solidFill>
              <w14:schemeClr w14:val="tx1"/>
            </w14:solidFill>
          </w14:textFill>
        </w:rPr>
        <w:t xml:space="preserve">   纸质文件及电子文档  </w:t>
      </w:r>
      <w:r>
        <w:rPr>
          <w:rFonts w:hint="eastAsia" w:ascii="仿宋" w:hAnsi="仿宋" w:eastAsia="仿宋" w:cs="仿宋"/>
          <w:color w:val="000000" w:themeColor="text1"/>
          <w:sz w:val="20"/>
          <w:szCs w:val="20"/>
          <w:highlight w:val="none"/>
          <w14:textFill>
            <w14:solidFill>
              <w14:schemeClr w14:val="tx1"/>
            </w14:solidFill>
          </w14:textFill>
        </w:rPr>
        <w:t>。</w:t>
      </w:r>
    </w:p>
    <w:p w14:paraId="33142B2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10</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承包人应履行的其他义务：</w:t>
      </w:r>
    </w:p>
    <w:p w14:paraId="578DAE95">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a、承担施工安全保卫工作及非夜间施工照明的责任和要求：</w:t>
      </w:r>
      <w:r>
        <w:rPr>
          <w:rFonts w:hint="eastAsia" w:ascii="仿宋" w:hAnsi="仿宋" w:eastAsia="仿宋" w:cs="仿宋"/>
          <w:color w:val="000000" w:themeColor="text1"/>
          <w:sz w:val="20"/>
          <w:szCs w:val="20"/>
          <w:highlight w:val="none"/>
          <w:u w:val="single"/>
          <w14:textFill>
            <w14:solidFill>
              <w14:schemeClr w14:val="tx1"/>
            </w14:solidFill>
          </w14:textFill>
        </w:rPr>
        <w:t>根据工程需要，提供和维修非夜间施工使用的照明、</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围栏</w:t>
      </w:r>
      <w:r>
        <w:rPr>
          <w:rFonts w:hint="eastAsia" w:ascii="仿宋" w:hAnsi="仿宋" w:eastAsia="仿宋" w:cs="仿宋"/>
          <w:color w:val="000000" w:themeColor="text1"/>
          <w:sz w:val="20"/>
          <w:szCs w:val="20"/>
          <w:highlight w:val="none"/>
          <w:u w:val="single"/>
          <w14:textFill>
            <w14:solidFill>
              <w14:schemeClr w14:val="tx1"/>
            </w14:solidFill>
          </w14:textFill>
        </w:rPr>
        <w:t xml:space="preserve">设计；负责施工现场安全保护。  </w:t>
      </w:r>
    </w:p>
    <w:p w14:paraId="41923EFD">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b、需承包人办理的有关施工场地交通、环卫和施工噪音管理等手续：</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施工场地交通、环卫和施工噪音管理在开工前完成。 </w:t>
      </w:r>
    </w:p>
    <w:p w14:paraId="54A2C676">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c、已完工程成品保护的特殊要求及费用承担：</w:t>
      </w:r>
      <w:r>
        <w:rPr>
          <w:rFonts w:hint="eastAsia" w:ascii="仿宋" w:hAnsi="仿宋" w:eastAsia="仿宋" w:cs="仿宋"/>
          <w:color w:val="000000" w:themeColor="text1"/>
          <w:sz w:val="20"/>
          <w:szCs w:val="20"/>
          <w:highlight w:val="none"/>
          <w:u w:val="single"/>
          <w14:textFill>
            <w14:solidFill>
              <w14:schemeClr w14:val="tx1"/>
            </w14:solidFill>
          </w14:textFill>
        </w:rPr>
        <w:t>已完成工程未正式向发包人移交之前，承包人应当按照专用条款约定负责对已完工程的保护工作</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包括发包人对工程某些特殊部位和部分设施、设备保护提出的特殊要求</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，费用由承包人承担。在此期间发生的损坏由承包人自费负责予以修复。 </w:t>
      </w:r>
    </w:p>
    <w:p w14:paraId="503C6DA2">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d、施工场地周围以下管线和邻近建筑物、构筑物</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含文物保护建筑</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、古树名木的保护要求及费用承担：</w:t>
      </w:r>
      <w:r>
        <w:rPr>
          <w:rFonts w:hint="eastAsia" w:ascii="仿宋" w:hAnsi="仿宋" w:eastAsia="仿宋" w:cs="仿宋"/>
          <w:color w:val="000000" w:themeColor="text1"/>
          <w:sz w:val="20"/>
          <w:szCs w:val="20"/>
          <w:highlight w:val="none"/>
          <w:u w:val="single"/>
          <w14:textFill>
            <w14:solidFill>
              <w14:schemeClr w14:val="tx1"/>
            </w14:solidFill>
          </w14:textFill>
        </w:rPr>
        <w:t>工程竣工移交前由承包人负责。由于施工方法不当造成损失、损坏发生的费用由承包方承担。</w:t>
      </w:r>
    </w:p>
    <w:p w14:paraId="67A7D28B">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e、施工场地清洁卫生的要求：</w:t>
      </w:r>
      <w:r>
        <w:rPr>
          <w:rFonts w:hint="eastAsia" w:ascii="仿宋" w:hAnsi="仿宋" w:eastAsia="仿宋" w:cs="仿宋"/>
          <w:color w:val="000000" w:themeColor="text1"/>
          <w:sz w:val="20"/>
          <w:szCs w:val="20"/>
          <w:highlight w:val="none"/>
          <w:u w:val="single"/>
          <w14:textFill>
            <w14:solidFill>
              <w14:schemeClr w14:val="tx1"/>
            </w14:solidFill>
          </w14:textFill>
        </w:rPr>
        <w:t>参照省、市级文明工地要求并符合创卫标准，做到工完场清、构件、材料、设施分类堆放，做好标志、道路清洁、给排水畅通。</w:t>
      </w:r>
    </w:p>
    <w:p w14:paraId="3EF6128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f、双方约定承包人应做的其他工作：</w:t>
      </w:r>
      <w:r>
        <w:rPr>
          <w:rFonts w:hint="eastAsia" w:ascii="仿宋" w:hAnsi="仿宋" w:eastAsia="仿宋" w:cs="仿宋"/>
          <w:color w:val="000000" w:themeColor="text1"/>
          <w:sz w:val="20"/>
          <w:szCs w:val="20"/>
          <w:highlight w:val="none"/>
          <w:u w:val="single"/>
          <w14:textFill>
            <w14:solidFill>
              <w14:schemeClr w14:val="tx1"/>
            </w14:solidFill>
          </w14:textFill>
        </w:rPr>
        <w:t>主动与发包人配合共同办理施工许可证等有关手续的工作。按时足额支付农民工工资。</w:t>
      </w:r>
    </w:p>
    <w:p w14:paraId="0AE0BFC9">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 项目经理</w:t>
      </w:r>
    </w:p>
    <w:p w14:paraId="67CDCED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 xml:space="preserve">3.2.1 </w:t>
      </w:r>
      <w:r>
        <w:rPr>
          <w:rFonts w:hint="eastAsia" w:ascii="仿宋" w:hAnsi="仿宋" w:eastAsia="仿宋" w:cs="仿宋"/>
          <w:color w:val="000000" w:themeColor="text1"/>
          <w:sz w:val="20"/>
          <w:szCs w:val="20"/>
          <w:highlight w:val="none"/>
          <w14:textFill>
            <w14:solidFill>
              <w14:schemeClr w14:val="tx1"/>
            </w14:solidFill>
          </w14:textFill>
        </w:rPr>
        <w:t>项目经理：</w:t>
      </w:r>
    </w:p>
    <w:p w14:paraId="6B3E9D1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    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59C849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身份证号：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8F4770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建造师执业资格等级：</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6B40EC6">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建造师注册证书号：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AE5BAE1">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建造师执业印章号：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57C9B89">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安全生产考核合格证书号：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D54FD4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3B372C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292DBC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通信地址：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4F200A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承包人对项目经理的授权范围如下：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施工现场的进度、安全、质量、费用等项目管理工作</w:t>
      </w:r>
      <w:r>
        <w:rPr>
          <w:rFonts w:hint="eastAsia" w:ascii="仿宋" w:hAnsi="仿宋" w:eastAsia="仿宋" w:cs="仿宋"/>
          <w:color w:val="000000" w:themeColor="text1"/>
          <w:sz w:val="20"/>
          <w:szCs w:val="20"/>
          <w:highlight w:val="none"/>
          <w14:textFill>
            <w14:solidFill>
              <w14:schemeClr w14:val="tx1"/>
            </w14:solidFill>
          </w14:textFill>
        </w:rPr>
        <w:t>。</w:t>
      </w:r>
    </w:p>
    <w:p w14:paraId="3B75E490">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关于项目经理每月在施工现场的时间要求：</w:t>
      </w:r>
      <w:r>
        <w:rPr>
          <w:rFonts w:hint="eastAsia" w:ascii="仿宋" w:hAnsi="仿宋" w:eastAsia="仿宋" w:cs="仿宋"/>
          <w:color w:val="000000" w:themeColor="text1"/>
          <w:sz w:val="20"/>
          <w:szCs w:val="20"/>
          <w:highlight w:val="none"/>
          <w:u w:val="single"/>
          <w14:textFill>
            <w14:solidFill>
              <w14:schemeClr w14:val="tx1"/>
            </w14:solidFill>
          </w14:textFill>
        </w:rPr>
        <w:t>项目经理必须坚守工地，每周在现场工作日不少于5天，每少一天罚款</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00元，外出连续等于或超过三天以上时，必须事先取得发包人的许可。</w:t>
      </w:r>
    </w:p>
    <w:p w14:paraId="28D1B7E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承包人未提交劳动合同，以及没有为项目经理缴纳社会保险证明的违约责任：</w:t>
      </w:r>
      <w:r>
        <w:rPr>
          <w:rFonts w:hint="eastAsia" w:ascii="仿宋" w:hAnsi="仿宋" w:eastAsia="仿宋" w:cs="仿宋"/>
          <w:color w:val="000000" w:themeColor="text1"/>
          <w:sz w:val="20"/>
          <w:szCs w:val="20"/>
          <w:highlight w:val="none"/>
          <w:u w:val="single"/>
          <w14:textFill>
            <w14:solidFill>
              <w14:schemeClr w14:val="tx1"/>
            </w14:solidFill>
          </w14:textFill>
        </w:rPr>
        <w:t>由承包人自行承担。</w:t>
      </w:r>
    </w:p>
    <w:p w14:paraId="1779770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项目经理未经批准，擅自离开施工现场的违约责任：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发包人有权按照</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00元/天进行处罚。</w:t>
      </w:r>
    </w:p>
    <w:p w14:paraId="31F8014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3.2.3 承包人擅自更换项目经理的违约责任：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视为承包人违约，发包人有权取消合同</w:t>
      </w:r>
      <w:r>
        <w:rPr>
          <w:rFonts w:hint="eastAsia" w:ascii="仿宋" w:hAnsi="仿宋" w:eastAsia="仿宋" w:cs="仿宋"/>
          <w:color w:val="000000" w:themeColor="text1"/>
          <w:sz w:val="20"/>
          <w:szCs w:val="20"/>
          <w:highlight w:val="none"/>
          <w14:textFill>
            <w14:solidFill>
              <w14:schemeClr w14:val="tx1"/>
            </w14:solidFill>
          </w14:textFill>
        </w:rPr>
        <w:t>。</w:t>
      </w:r>
    </w:p>
    <w:p w14:paraId="60E0E290">
      <w:pPr>
        <w:keepNext w:val="0"/>
        <w:keepLines w:val="0"/>
        <w:pageBreakBefore w:val="0"/>
        <w:kinsoku/>
        <w:wordWrap/>
        <w:overflowPunct/>
        <w:topLinePunct w:val="0"/>
        <w:bidi w:val="0"/>
        <w:spacing w:line="324"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    3.2.4 承包人无正当理由拒绝更换项目经理的违约责任：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视为承包人违约，发包人有权取消合同</w:t>
      </w:r>
      <w:r>
        <w:rPr>
          <w:rFonts w:hint="eastAsia" w:ascii="仿宋" w:hAnsi="仿宋" w:eastAsia="仿宋" w:cs="仿宋"/>
          <w:color w:val="000000" w:themeColor="text1"/>
          <w:sz w:val="20"/>
          <w:szCs w:val="20"/>
          <w:highlight w:val="none"/>
          <w14:textFill>
            <w14:solidFill>
              <w14:schemeClr w14:val="tx1"/>
            </w14:solidFill>
          </w14:textFill>
        </w:rPr>
        <w:t>。</w:t>
      </w:r>
    </w:p>
    <w:p w14:paraId="393BC1B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 承包人人员</w:t>
      </w:r>
    </w:p>
    <w:p w14:paraId="1D706E46">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3.3.1 承包人提交项目管理机构及施工现场管理人员安排报告的期限：</w:t>
      </w:r>
      <w:r>
        <w:rPr>
          <w:rFonts w:hint="eastAsia" w:ascii="仿宋" w:hAnsi="仿宋" w:eastAsia="仿宋" w:cs="仿宋"/>
          <w:color w:val="000000" w:themeColor="text1"/>
          <w:sz w:val="20"/>
          <w:szCs w:val="20"/>
          <w:highlight w:val="none"/>
          <w:u w:val="single"/>
          <w14:textFill>
            <w14:solidFill>
              <w14:schemeClr w14:val="tx1"/>
            </w14:solidFill>
          </w14:textFill>
        </w:rPr>
        <w:t>合同签订后7日内</w:t>
      </w:r>
      <w:r>
        <w:rPr>
          <w:rFonts w:hint="eastAsia" w:ascii="仿宋" w:hAnsi="仿宋" w:eastAsia="仿宋" w:cs="仿宋"/>
          <w:color w:val="000000" w:themeColor="text1"/>
          <w:sz w:val="20"/>
          <w:szCs w:val="20"/>
          <w:highlight w:val="none"/>
          <w14:textFill>
            <w14:solidFill>
              <w14:schemeClr w14:val="tx1"/>
            </w14:solidFill>
          </w14:textFill>
        </w:rPr>
        <w:t>。</w:t>
      </w:r>
    </w:p>
    <w:p w14:paraId="7E0DE65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3.3.3 承包人无正当理由拒绝撤换主要施工管理人员的违约责任：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视为承包人违约，发包人有权解除合同</w:t>
      </w:r>
      <w:r>
        <w:rPr>
          <w:rFonts w:hint="eastAsia" w:ascii="仿宋" w:hAnsi="仿宋" w:eastAsia="仿宋" w:cs="仿宋"/>
          <w:color w:val="000000" w:themeColor="text1"/>
          <w:sz w:val="20"/>
          <w:szCs w:val="20"/>
          <w:highlight w:val="none"/>
          <w14:textFill>
            <w14:solidFill>
              <w14:schemeClr w14:val="tx1"/>
            </w14:solidFill>
          </w14:textFill>
        </w:rPr>
        <w:t>。</w:t>
      </w:r>
    </w:p>
    <w:p w14:paraId="387BC34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3.3.4 承包人主要施工管理人员离开施工现场的批准要求：</w:t>
      </w:r>
      <w:r>
        <w:rPr>
          <w:rFonts w:hint="eastAsia" w:ascii="仿宋" w:hAnsi="仿宋" w:eastAsia="仿宋" w:cs="仿宋"/>
          <w:color w:val="000000" w:themeColor="text1"/>
          <w:sz w:val="20"/>
          <w:szCs w:val="20"/>
          <w:highlight w:val="none"/>
          <w:u w:val="single"/>
          <w14:textFill>
            <w14:solidFill>
              <w14:schemeClr w14:val="tx1"/>
            </w14:solidFill>
          </w14:textFill>
        </w:rPr>
        <w:t>必须事先取得发包人的许可</w:t>
      </w:r>
      <w:r>
        <w:rPr>
          <w:rFonts w:hint="eastAsia" w:ascii="仿宋" w:hAnsi="仿宋" w:eastAsia="仿宋" w:cs="仿宋"/>
          <w:color w:val="000000" w:themeColor="text1"/>
          <w:sz w:val="20"/>
          <w:szCs w:val="20"/>
          <w:highlight w:val="none"/>
          <w14:textFill>
            <w14:solidFill>
              <w14:schemeClr w14:val="tx1"/>
            </w14:solidFill>
          </w14:textFill>
        </w:rPr>
        <w:t>。</w:t>
      </w:r>
    </w:p>
    <w:p w14:paraId="0521A6A6">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3.3.5承包人擅自更换主要施工管理人员的违约责任：</w:t>
      </w:r>
      <w:r>
        <w:rPr>
          <w:rFonts w:hint="eastAsia" w:ascii="仿宋" w:hAnsi="仿宋" w:eastAsia="仿宋" w:cs="仿宋"/>
          <w:color w:val="000000" w:themeColor="text1"/>
          <w:sz w:val="20"/>
          <w:szCs w:val="20"/>
          <w:highlight w:val="none"/>
          <w:u w:val="single"/>
          <w14:textFill>
            <w14:solidFill>
              <w14:schemeClr w14:val="tx1"/>
            </w14:solidFill>
          </w14:textFill>
        </w:rPr>
        <w:t>视为承包人违约，发包人有权根据情况扣除承包人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1</w:t>
      </w:r>
      <w:r>
        <w:rPr>
          <w:rFonts w:hint="eastAsia" w:ascii="仿宋" w:hAnsi="仿宋" w:eastAsia="仿宋" w:cs="仿宋"/>
          <w:color w:val="000000" w:themeColor="text1"/>
          <w:sz w:val="20"/>
          <w:szCs w:val="20"/>
          <w:highlight w:val="none"/>
          <w:u w:val="single"/>
          <w14:textFill>
            <w14:solidFill>
              <w14:schemeClr w14:val="tx1"/>
            </w14:solidFill>
          </w14:textFill>
        </w:rPr>
        <w:t>000元-</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sz w:val="20"/>
          <w:szCs w:val="20"/>
          <w:highlight w:val="none"/>
          <w:u w:val="single"/>
          <w14:textFill>
            <w14:solidFill>
              <w14:schemeClr w14:val="tx1"/>
            </w14:solidFill>
          </w14:textFill>
        </w:rPr>
        <w:t>000元/人违约金</w:t>
      </w:r>
      <w:r>
        <w:rPr>
          <w:rFonts w:hint="eastAsia" w:ascii="仿宋" w:hAnsi="仿宋" w:eastAsia="仿宋" w:cs="仿宋"/>
          <w:color w:val="000000" w:themeColor="text1"/>
          <w:sz w:val="20"/>
          <w:szCs w:val="20"/>
          <w:highlight w:val="none"/>
          <w14:textFill>
            <w14:solidFill>
              <w14:schemeClr w14:val="tx1"/>
            </w14:solidFill>
          </w14:textFill>
        </w:rPr>
        <w:t>。</w:t>
      </w:r>
    </w:p>
    <w:p w14:paraId="3CFED59F">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承包人主要施工管理人员擅自离开施工现场的违约责任：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发包人有权按照</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 xml:space="preserve">00元/人/天进行处罚  </w:t>
      </w:r>
      <w:r>
        <w:rPr>
          <w:rFonts w:hint="eastAsia" w:ascii="仿宋" w:hAnsi="仿宋" w:eastAsia="仿宋" w:cs="仿宋"/>
          <w:color w:val="000000" w:themeColor="text1"/>
          <w:sz w:val="20"/>
          <w:szCs w:val="20"/>
          <w:highlight w:val="none"/>
          <w14:textFill>
            <w14:solidFill>
              <w14:schemeClr w14:val="tx1"/>
            </w14:solidFill>
          </w14:textFill>
        </w:rPr>
        <w:t>。</w:t>
      </w:r>
    </w:p>
    <w:p w14:paraId="0638A18F">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bookmarkStart w:id="94" w:name="_Toc312677988"/>
      <w:bookmarkStart w:id="95" w:name="_Toc296890987"/>
      <w:bookmarkStart w:id="96" w:name="_Toc297216151"/>
      <w:bookmarkStart w:id="97" w:name="_Toc296346660"/>
      <w:bookmarkStart w:id="98" w:name="_Toc296944498"/>
      <w:bookmarkStart w:id="99" w:name="_Toc303539102"/>
      <w:bookmarkStart w:id="100" w:name="_Toc297120459"/>
      <w:bookmarkStart w:id="101" w:name="_Toc296347158"/>
      <w:bookmarkStart w:id="102" w:name="_Toc297123492"/>
      <w:bookmarkStart w:id="103" w:name="_Toc292559364"/>
      <w:bookmarkStart w:id="104" w:name="_Toc296891199"/>
      <w:bookmarkStart w:id="105" w:name="_Toc300934945"/>
      <w:bookmarkStart w:id="106" w:name="_Toc297048345"/>
      <w:bookmarkStart w:id="107" w:name="_Toc304295523"/>
      <w:bookmarkStart w:id="108" w:name="_Toc296503159"/>
      <w:bookmarkStart w:id="109" w:name="_Toc292559869"/>
      <w:r>
        <w:rPr>
          <w:rFonts w:hint="eastAsia" w:ascii="仿宋" w:hAnsi="仿宋" w:eastAsia="仿宋" w:cs="仿宋"/>
          <w:color w:val="000000" w:themeColor="text1"/>
          <w:sz w:val="20"/>
          <w:szCs w:val="20"/>
          <w:highlight w:val="none"/>
          <w14:textFill>
            <w14:solidFill>
              <w14:schemeClr w14:val="tx1"/>
            </w14:solidFill>
          </w14:textFill>
        </w:rPr>
        <w:t>.5 分包</w:t>
      </w: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325E09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bookmarkStart w:id="110" w:name="_Toc297120460"/>
      <w:bookmarkStart w:id="111" w:name="_Toc304295524"/>
      <w:bookmarkStart w:id="112" w:name="_Toc296503160"/>
      <w:bookmarkStart w:id="113" w:name="_Toc297123493"/>
      <w:bookmarkStart w:id="114" w:name="_Toc292559365"/>
      <w:bookmarkStart w:id="115" w:name="_Toc296944499"/>
      <w:bookmarkStart w:id="116" w:name="_Toc297216152"/>
      <w:bookmarkStart w:id="117" w:name="_Toc296891200"/>
      <w:bookmarkStart w:id="118" w:name="_Toc303539103"/>
      <w:bookmarkStart w:id="119" w:name="_Toc300934946"/>
      <w:bookmarkStart w:id="120" w:name="_Toc296890988"/>
      <w:bookmarkStart w:id="121" w:name="_Toc292559870"/>
      <w:bookmarkStart w:id="122" w:name="_Toc318581158"/>
      <w:bookmarkStart w:id="123" w:name="_Toc296346661"/>
      <w:bookmarkStart w:id="124" w:name="_Toc312677989"/>
      <w:bookmarkStart w:id="125" w:name="_Toc297048346"/>
      <w:bookmarkStart w:id="126" w:name="_Toc296347159"/>
      <w:r>
        <w:rPr>
          <w:rFonts w:hint="eastAsia" w:ascii="仿宋" w:hAnsi="仿宋" w:eastAsia="仿宋" w:cs="仿宋"/>
          <w:color w:val="000000" w:themeColor="text1"/>
          <w:sz w:val="20"/>
          <w:szCs w:val="20"/>
          <w:highlight w:val="none"/>
          <w14:textFill>
            <w14:solidFill>
              <w14:schemeClr w14:val="tx1"/>
            </w14:solidFill>
          </w14:textFill>
        </w:rPr>
        <w:t>.5.1 分包的一般约定</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66F54D6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u w:val="single"/>
          <w14:textFill>
            <w14:solidFill>
              <w14:schemeClr w14:val="tx1"/>
            </w14:solidFill>
          </w14:textFill>
        </w:rPr>
        <w:t>承包人不得将其承包的全部工程转包给第三人，或将其承包的全部工程肢解后以分包的名义转包给第三人</w:t>
      </w:r>
      <w:r>
        <w:rPr>
          <w:rFonts w:hint="eastAsia" w:ascii="仿宋" w:hAnsi="仿宋" w:eastAsia="仿宋" w:cs="仿宋"/>
          <w:color w:val="000000" w:themeColor="text1"/>
          <w:sz w:val="20"/>
          <w:szCs w:val="20"/>
          <w:highlight w:val="none"/>
          <w14:textFill>
            <w14:solidFill>
              <w14:schemeClr w14:val="tx1"/>
            </w14:solidFill>
          </w14:textFill>
        </w:rPr>
        <w:t>。</w:t>
      </w:r>
      <w:bookmarkStart w:id="127" w:name="_Toc296346662"/>
      <w:bookmarkStart w:id="128" w:name="_Toc300934947"/>
      <w:bookmarkStart w:id="129" w:name="_Toc296503161"/>
      <w:bookmarkStart w:id="130" w:name="_Toc297123494"/>
      <w:bookmarkStart w:id="131" w:name="_Toc297120461"/>
      <w:bookmarkStart w:id="132" w:name="_Toc296891201"/>
      <w:bookmarkStart w:id="133" w:name="_Toc296347160"/>
      <w:bookmarkStart w:id="134" w:name="_Toc296890989"/>
      <w:bookmarkStart w:id="135" w:name="_Toc297216153"/>
      <w:bookmarkStart w:id="136" w:name="_Toc297048347"/>
      <w:bookmarkStart w:id="137" w:name="_Toc304295525"/>
      <w:bookmarkStart w:id="138" w:name="_Toc296944500"/>
      <w:bookmarkStart w:id="139" w:name="_Toc303539104"/>
    </w:p>
    <w:bookmarkEnd w:id="127"/>
    <w:bookmarkEnd w:id="128"/>
    <w:bookmarkEnd w:id="129"/>
    <w:bookmarkEnd w:id="130"/>
    <w:bookmarkEnd w:id="131"/>
    <w:bookmarkEnd w:id="132"/>
    <w:bookmarkEnd w:id="133"/>
    <w:bookmarkEnd w:id="134"/>
    <w:bookmarkEnd w:id="135"/>
    <w:bookmarkEnd w:id="136"/>
    <w:bookmarkEnd w:id="137"/>
    <w:bookmarkEnd w:id="138"/>
    <w:bookmarkEnd w:id="139"/>
    <w:p w14:paraId="5E8012DF">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3.6 工程照管与成品、半成品保护</w:t>
      </w:r>
    </w:p>
    <w:p w14:paraId="2EA05987">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承包人负责照管工程及工程相关的材料、工程设备的起始时间：</w:t>
      </w:r>
      <w:r>
        <w:rPr>
          <w:rFonts w:hint="eastAsia" w:ascii="仿宋" w:hAnsi="仿宋" w:eastAsia="仿宋" w:cs="仿宋"/>
          <w:color w:val="000000" w:themeColor="text1"/>
          <w:kern w:val="0"/>
          <w:sz w:val="20"/>
          <w:szCs w:val="20"/>
          <w:highlight w:val="none"/>
          <w:u w:val="single"/>
          <w14:textFill>
            <w14:solidFill>
              <w14:schemeClr w14:val="tx1"/>
            </w14:solidFill>
          </w14:textFill>
        </w:rPr>
        <w:t>项目正式开工至项目移交竣工验收并交付使用</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34469DDF">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40" w:name="_Toc267251418"/>
      <w:bookmarkStart w:id="141" w:name="_Toc18393"/>
      <w:bookmarkStart w:id="142" w:name="_Toc351203637"/>
      <w:bookmarkStart w:id="143" w:name="_Toc26627"/>
      <w:r>
        <w:rPr>
          <w:rFonts w:hint="eastAsia" w:ascii="仿宋" w:hAnsi="仿宋" w:eastAsia="仿宋" w:cs="仿宋"/>
          <w:b/>
          <w:color w:val="000000" w:themeColor="text1"/>
          <w:sz w:val="20"/>
          <w:szCs w:val="20"/>
          <w:highlight w:val="none"/>
          <w14:textFill>
            <w14:solidFill>
              <w14:schemeClr w14:val="tx1"/>
            </w14:solidFill>
          </w14:textFill>
        </w:rPr>
        <w:t>5</w:t>
      </w:r>
      <w:bookmarkEnd w:id="140"/>
      <w:bookmarkStart w:id="144" w:name="_Toc296890991"/>
      <w:bookmarkStart w:id="145" w:name="_Toc292559872"/>
      <w:bookmarkStart w:id="146" w:name="_Toc297120463"/>
      <w:bookmarkStart w:id="147" w:name="_Toc292559367"/>
      <w:bookmarkStart w:id="148" w:name="_Toc296503163"/>
      <w:bookmarkStart w:id="149" w:name="_Toc296346664"/>
      <w:bookmarkStart w:id="150" w:name="_Toc297048349"/>
      <w:bookmarkStart w:id="151" w:name="_Toc296944502"/>
      <w:bookmarkStart w:id="152" w:name="_Toc296891203"/>
      <w:bookmarkStart w:id="153" w:name="_Toc296347162"/>
      <w:r>
        <w:rPr>
          <w:rFonts w:hint="eastAsia" w:ascii="仿宋" w:hAnsi="仿宋" w:eastAsia="仿宋" w:cs="仿宋"/>
          <w:b/>
          <w:color w:val="000000" w:themeColor="text1"/>
          <w:sz w:val="20"/>
          <w:szCs w:val="20"/>
          <w:highlight w:val="none"/>
          <w14:textFill>
            <w14:solidFill>
              <w14:schemeClr w14:val="tx1"/>
            </w14:solidFill>
          </w14:textFill>
        </w:rPr>
        <w:t>. 工程质量</w:t>
      </w:r>
      <w:bookmarkEnd w:id="141"/>
      <w:bookmarkEnd w:id="142"/>
      <w:bookmarkEnd w:id="143"/>
    </w:p>
    <w:p w14:paraId="339975B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 质量要求</w:t>
      </w:r>
    </w:p>
    <w:p w14:paraId="7625BD86">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54" w:name="_Toc318581164"/>
      <w:bookmarkStart w:id="155" w:name="_Toc300934949"/>
      <w:bookmarkStart w:id="156" w:name="_Toc297123496"/>
      <w:bookmarkStart w:id="157" w:name="_Toc304295527"/>
      <w:bookmarkStart w:id="158" w:name="_Toc312677997"/>
      <w:bookmarkStart w:id="159" w:name="_Toc297216155"/>
      <w:bookmarkStart w:id="160" w:name="_Toc303539106"/>
      <w:r>
        <w:rPr>
          <w:rFonts w:hint="eastAsia" w:ascii="仿宋" w:hAnsi="仿宋" w:eastAsia="仿宋" w:cs="仿宋"/>
          <w:color w:val="000000" w:themeColor="text1"/>
          <w:sz w:val="20"/>
          <w:szCs w:val="20"/>
          <w:highlight w:val="none"/>
          <w14:textFill>
            <w14:solidFill>
              <w14:schemeClr w14:val="tx1"/>
            </w14:solidFill>
          </w14:textFill>
        </w:rPr>
        <w:t>5.1.1 特殊质量标准和要求：</w:t>
      </w:r>
      <w:r>
        <w:rPr>
          <w:rFonts w:hint="eastAsia" w:ascii="仿宋" w:hAnsi="仿宋" w:eastAsia="仿宋" w:cs="仿宋"/>
          <w:color w:val="000000" w:themeColor="text1"/>
          <w:sz w:val="20"/>
          <w:szCs w:val="20"/>
          <w:highlight w:val="none"/>
          <w:u w:val="single"/>
          <w14:textFill>
            <w14:solidFill>
              <w14:schemeClr w14:val="tx1"/>
            </w14:solidFill>
          </w14:textFill>
        </w:rPr>
        <w:t>达到国家现行施工验收规范“合格”标准，本工程参照省、市级“文明工地”标准。</w:t>
      </w:r>
    </w:p>
    <w:p w14:paraId="6E8DAA00">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61" w:name="_Toc351203638"/>
      <w:bookmarkStart w:id="162" w:name="_Toc23896"/>
      <w:bookmarkStart w:id="163" w:name="_Toc5851"/>
      <w:r>
        <w:rPr>
          <w:rFonts w:hint="eastAsia" w:ascii="仿宋" w:hAnsi="仿宋" w:eastAsia="仿宋" w:cs="仿宋"/>
          <w:b/>
          <w:color w:val="000000" w:themeColor="text1"/>
          <w:sz w:val="20"/>
          <w:szCs w:val="20"/>
          <w:highlight w:val="none"/>
          <w14:textFill>
            <w14:solidFill>
              <w14:schemeClr w14:val="tx1"/>
            </w14:solidFill>
          </w14:textFill>
        </w:rPr>
        <w:t>6. 安全文明施工与环境保护</w:t>
      </w:r>
      <w:bookmarkEnd w:id="161"/>
      <w:bookmarkEnd w:id="162"/>
      <w:bookmarkEnd w:id="163"/>
    </w:p>
    <w:p w14:paraId="6035B83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6.1安全文明施工</w:t>
      </w:r>
    </w:p>
    <w:p w14:paraId="4D9AB55C">
      <w:pPr>
        <w:pStyle w:val="5"/>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6.1.1 项目安全生产的达标目标及相应事项的约定：</w:t>
      </w:r>
      <w:r>
        <w:rPr>
          <w:rFonts w:hint="eastAsia" w:ascii="仿宋" w:hAnsi="仿宋" w:eastAsia="仿宋" w:cs="仿宋"/>
          <w:color w:val="000000" w:themeColor="text1"/>
          <w:sz w:val="20"/>
          <w:szCs w:val="20"/>
          <w:highlight w:val="none"/>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做好</w:t>
      </w:r>
      <w:r>
        <w:rPr>
          <w:rFonts w:hint="eastAsia" w:ascii="仿宋" w:hAnsi="仿宋" w:eastAsia="仿宋" w:cs="仿宋"/>
          <w:color w:val="000000" w:themeColor="text1"/>
          <w:sz w:val="20"/>
          <w:szCs w:val="20"/>
          <w:highlight w:val="none"/>
          <w:u w:val="single"/>
          <w14:textFill>
            <w14:solidFill>
              <w14:schemeClr w14:val="tx1"/>
            </w14:solidFill>
          </w14:textFill>
        </w:rPr>
        <w:t>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5CE70284">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676B57DE">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建立与工程规模相适应的、以项目经理为第一责任人的施工现场安全文明生产管理机构，配备相应监管人员，赋予监管权力，确保对施工现场安全文明生产实施有效管理。</w:t>
      </w:r>
    </w:p>
    <w:p w14:paraId="635E3E1F">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施工现场实行封闭式管理，保证安全文明生产经费的投入。安全文明生产设施、设备按标准设置，配套齐备，牢固可靠。</w:t>
      </w:r>
    </w:p>
    <w:p w14:paraId="297BD42A">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强化安全文明生产教育培训，严格实行三级安全教育制度，做到全员持证上岗。在日常监管和各级检查的基础上，严格执行汇检制度，发现隐患立即进行整改，不留死角。</w:t>
      </w:r>
    </w:p>
    <w:p w14:paraId="4300EA85">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4</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施工现场使用的建筑材料、构配件、安全防护用品、安全设施、机具、机械设备和电气装置等，必须符合建筑施工安全和其他有关技术规范、标准的要求，并按规定进行检测检验。否则，一律不投入使用。</w:t>
      </w:r>
    </w:p>
    <w:p w14:paraId="69954136">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5</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现场运入运出各类建筑材料必须使用密封车辆运输，加强路面保洁，规范</w:t>
      </w:r>
      <w:r>
        <w:rPr>
          <w:rFonts w:hint="eastAsia" w:ascii="仿宋" w:hAnsi="仿宋" w:eastAsia="仿宋" w:cs="仿宋"/>
          <w:color w:val="000000" w:themeColor="text1"/>
          <w:sz w:val="20"/>
          <w:szCs w:val="20"/>
          <w:highlight w:val="none"/>
          <w:lang w:eastAsia="zh-CN"/>
          <w14:textFill>
            <w14:solidFill>
              <w14:schemeClr w14:val="tx1"/>
            </w14:solidFill>
          </w14:textFill>
        </w:rPr>
        <w:t>砂石</w:t>
      </w:r>
      <w:r>
        <w:rPr>
          <w:rFonts w:hint="eastAsia" w:ascii="仿宋" w:hAnsi="仿宋" w:eastAsia="仿宋" w:cs="仿宋"/>
          <w:color w:val="000000" w:themeColor="text1"/>
          <w:sz w:val="20"/>
          <w:szCs w:val="20"/>
          <w:highlight w:val="none"/>
          <w14:textFill>
            <w14:solidFill>
              <w14:schemeClr w14:val="tx1"/>
            </w14:solidFill>
          </w14:textFill>
        </w:rPr>
        <w:t>料堆场，不定时洒水控制扬尘。</w:t>
      </w:r>
    </w:p>
    <w:p w14:paraId="4060EA96">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6</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7DC78AD2">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7</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保证施工现场及周围人居环境良好，施工区、办公区、生活区原则上应明显分开或进行隔断。按规定设置食堂、饮水处、厕所、浴室并符合卫生要求。</w:t>
      </w:r>
    </w:p>
    <w:p w14:paraId="1DE658A4">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8</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按规定设置现场标志牌</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五牌一图</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和安全警示标志，对涉及社会公众安全的，要在显著位置设置警示牌，并采取相应保护措施。</w:t>
      </w:r>
    </w:p>
    <w:p w14:paraId="0B970187">
      <w:pPr>
        <w:keepNext w:val="0"/>
        <w:keepLines w:val="0"/>
        <w:pageBreakBefore w:val="0"/>
        <w:kinsoku/>
        <w:wordWrap/>
        <w:overflowPunct/>
        <w:topLinePunct w:val="0"/>
        <w:bidi w:val="0"/>
        <w:snapToGrid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9</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重大安全事故按有关规定及时准确上报，并进行调查处理。</w:t>
      </w:r>
    </w:p>
    <w:p w14:paraId="5441816B">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10</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自觉接受并积极配合建设单位的督促检查；建筑安全监管部门的监督管理，依法接受国家安全监察。</w:t>
      </w:r>
    </w:p>
    <w:p w14:paraId="580AFFC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lang w:val="zh-CN"/>
          <w14:textFill>
            <w14:solidFill>
              <w14:schemeClr w14:val="tx1"/>
            </w14:solidFill>
          </w14:textFill>
        </w:rPr>
        <w:t xml:space="preserve">办公场所要求： </w:t>
      </w:r>
    </w:p>
    <w:p w14:paraId="6D1DFEF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为保证服务的质量及便捷性，乙方应在辖区设置固定项目管理部，必须配备满足项目开展的办公室、物资材料仓储室、机械设备停放场以及相应的生活区。</w:t>
      </w:r>
    </w:p>
    <w:p w14:paraId="294DFB5A">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12</w:t>
      </w:r>
      <w:r>
        <w:rPr>
          <w:rFonts w:hint="eastAsia" w:ascii="仿宋" w:hAnsi="仿宋" w:eastAsia="仿宋" w:cs="仿宋"/>
          <w:color w:val="000000" w:themeColor="text1"/>
          <w:sz w:val="20"/>
          <w:szCs w:val="20"/>
          <w:highlight w:val="none"/>
          <w:lang w:val="zh-CN"/>
          <w14:textFill>
            <w14:solidFill>
              <w14:schemeClr w14:val="tx1"/>
            </w14:solidFill>
          </w14:textFill>
        </w:rPr>
        <w:t>)项目团队成员配备要求：</w:t>
      </w:r>
    </w:p>
    <w:p w14:paraId="05AC3CE0">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乙方应成立项目管理组织机构，要求项目组成员结构合理、分工明确，并保证项目组成员具有相应资格或职称证书，持证上岗。项目组人员必须包含项目负责人、技术负责人、技术管理人员、安全专职人员、质检人员、资料员、专业的维修人员。项目所需的机械设备及工具都为乙方自备，甲方不提供任何机械设备及工具。</w:t>
      </w:r>
    </w:p>
    <w:p w14:paraId="656B6E43">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13</w:t>
      </w:r>
      <w:r>
        <w:rPr>
          <w:rFonts w:hint="eastAsia" w:ascii="仿宋" w:hAnsi="仿宋" w:eastAsia="仿宋" w:cs="仿宋"/>
          <w:color w:val="000000" w:themeColor="text1"/>
          <w:sz w:val="20"/>
          <w:szCs w:val="20"/>
          <w:highlight w:val="none"/>
          <w:lang w:val="zh-CN"/>
          <w14:textFill>
            <w14:solidFill>
              <w14:schemeClr w14:val="tx1"/>
            </w14:solidFill>
          </w14:textFill>
        </w:rPr>
        <w:t>)安全文明施工要求：</w:t>
      </w:r>
    </w:p>
    <w:p w14:paraId="490A32D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必须做好施工现场组织管理、文明施工，维护现场秩序，做到工完场清、道路畅通。根据施工现场采取不同的围挡方式进行围挡作业，并设有市政设施抢修施工告示牌，严禁用土头垃圾堆做防护。维修过程中当天产生的土堆、废渣、垃圾等应在当天维修结束后清理完毕，做到工完料尽场地清。建筑垃圾不得随意倾倒，由乙方自行联系运至辖区以外的建筑垃圾堆放场所并承担相应的费用。夜间应尽量减少噪声对周边居民以及企业的影响。</w:t>
      </w:r>
    </w:p>
    <w:p w14:paraId="2C516E1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乙方对自有的施工人员人身及财产安全负责，对自己的人和机械设备购买保险及相应的劳保用具。</w:t>
      </w:r>
    </w:p>
    <w:p w14:paraId="0CEB88D7">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6.1.4 关于治安保卫的特别约定：</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施工现场内外由本项目承包人提供的生产区、办公区、生活区治安保卫工作由承包人全面负责；</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上述区域内若发生群殴、械斗等群体性</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突发</w:t>
      </w:r>
      <w:r>
        <w:rPr>
          <w:rFonts w:hint="eastAsia" w:ascii="仿宋" w:hAnsi="仿宋" w:eastAsia="仿宋" w:cs="仿宋"/>
          <w:color w:val="000000" w:themeColor="text1"/>
          <w:sz w:val="20"/>
          <w:szCs w:val="20"/>
          <w:highlight w:val="none"/>
          <w:u w:val="single"/>
          <w14:textFill>
            <w14:solidFill>
              <w14:schemeClr w14:val="tx1"/>
            </w14:solidFill>
          </w14:textFill>
        </w:rPr>
        <w:t>治安事件的，每发生一起承包人对发包人支付违约金</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000元。</w:t>
      </w:r>
    </w:p>
    <w:p w14:paraId="1C3AAD7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关于编制施工场地治安管理计划的约定：</w:t>
      </w:r>
      <w:r>
        <w:rPr>
          <w:rFonts w:hint="eastAsia" w:ascii="仿宋" w:hAnsi="仿宋" w:eastAsia="仿宋" w:cs="仿宋"/>
          <w:color w:val="000000" w:themeColor="text1"/>
          <w:sz w:val="20"/>
          <w:szCs w:val="20"/>
          <w:highlight w:val="none"/>
          <w:u w:val="single"/>
          <w14:textFill>
            <w14:solidFill>
              <w14:schemeClr w14:val="tx1"/>
            </w14:solidFill>
          </w14:textFill>
        </w:rPr>
        <w:t>由承包人在工程开工后7天内编制施工场地治安管理计划</w:t>
      </w:r>
      <w:r>
        <w:rPr>
          <w:rFonts w:hint="eastAsia" w:ascii="仿宋" w:hAnsi="仿宋" w:eastAsia="仿宋" w:cs="仿宋"/>
          <w:color w:val="000000" w:themeColor="text1"/>
          <w:sz w:val="20"/>
          <w:szCs w:val="20"/>
          <w:highlight w:val="none"/>
          <w14:textFill>
            <w14:solidFill>
              <w14:schemeClr w14:val="tx1"/>
            </w14:solidFill>
          </w14:textFill>
        </w:rPr>
        <w:t>。</w:t>
      </w:r>
    </w:p>
    <w:p w14:paraId="6DE973FB">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6.1.5 文明施工</w:t>
      </w:r>
    </w:p>
    <w:p w14:paraId="041BF59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合同当事人对文明施工的要求：</w:t>
      </w:r>
      <w:r>
        <w:rPr>
          <w:rFonts w:hint="eastAsia" w:ascii="仿宋" w:hAnsi="仿宋" w:eastAsia="仿宋" w:cs="仿宋"/>
          <w:color w:val="000000" w:themeColor="text1"/>
          <w:sz w:val="20"/>
          <w:szCs w:val="20"/>
          <w:highlight w:val="none"/>
          <w:u w:val="single"/>
          <w14:textFill>
            <w14:solidFill>
              <w14:schemeClr w14:val="tx1"/>
            </w14:solidFill>
          </w14:textFill>
        </w:rPr>
        <w:t>参照陕西省和西安市对文明工地的要求。</w:t>
      </w:r>
    </w:p>
    <w:p w14:paraId="3DE9D0BD">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6.1.6 关于安全文明施工费支付比例和支付期限的约定：</w:t>
      </w:r>
      <w:r>
        <w:rPr>
          <w:rFonts w:hint="eastAsia" w:ascii="仿宋" w:hAnsi="仿宋" w:eastAsia="仿宋" w:cs="仿宋"/>
          <w:color w:val="000000" w:themeColor="text1"/>
          <w:sz w:val="20"/>
          <w:szCs w:val="20"/>
          <w:highlight w:val="none"/>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7E8C1DB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6.1.9安全生产责任：</w:t>
      </w:r>
      <w:r>
        <w:rPr>
          <w:rFonts w:hint="eastAsia" w:ascii="仿宋" w:hAnsi="仿宋" w:eastAsia="仿宋" w:cs="仿宋"/>
          <w:color w:val="000000" w:themeColor="text1"/>
          <w:sz w:val="20"/>
          <w:szCs w:val="20"/>
          <w:highlight w:val="none"/>
          <w:u w:val="single"/>
          <w14:textFill>
            <w14:solidFill>
              <w14:schemeClr w14:val="tx1"/>
            </w14:solidFill>
          </w14:textFill>
        </w:rPr>
        <w:t>施工现场发生的一切安全事故由承包人承担全部责任及损失。</w:t>
      </w:r>
    </w:p>
    <w:bookmarkEnd w:id="154"/>
    <w:bookmarkEnd w:id="155"/>
    <w:bookmarkEnd w:id="156"/>
    <w:bookmarkEnd w:id="157"/>
    <w:bookmarkEnd w:id="158"/>
    <w:bookmarkEnd w:id="159"/>
    <w:bookmarkEnd w:id="160"/>
    <w:p w14:paraId="36859AE2">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64" w:name="_Toc29349"/>
      <w:bookmarkStart w:id="165" w:name="_Toc351203639"/>
      <w:bookmarkStart w:id="166" w:name="_Toc24747"/>
      <w:r>
        <w:rPr>
          <w:rFonts w:hint="eastAsia" w:ascii="仿宋" w:hAnsi="仿宋" w:eastAsia="仿宋" w:cs="仿宋"/>
          <w:b/>
          <w:color w:val="000000" w:themeColor="text1"/>
          <w:sz w:val="20"/>
          <w:szCs w:val="20"/>
          <w:highlight w:val="none"/>
          <w14:textFill>
            <w14:solidFill>
              <w14:schemeClr w14:val="tx1"/>
            </w14:solidFill>
          </w14:textFill>
        </w:rPr>
        <w:t>7. 工期和进度</w:t>
      </w:r>
      <w:bookmarkEnd w:id="164"/>
      <w:bookmarkEnd w:id="165"/>
      <w:bookmarkEnd w:id="166"/>
    </w:p>
    <w:p w14:paraId="58C216A9">
      <w:pPr>
        <w:keepNext w:val="0"/>
        <w:keepLines w:val="0"/>
        <w:pageBreakBefore w:val="0"/>
        <w:kinsoku/>
        <w:wordWrap/>
        <w:overflowPunct/>
        <w:topLinePunct w:val="0"/>
        <w:autoSpaceDE w:val="0"/>
        <w:autoSpaceDN w:val="0"/>
        <w:bidi w:val="0"/>
        <w:adjustRightInd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7.1.2 </w:t>
      </w:r>
      <w:r>
        <w:rPr>
          <w:rFonts w:hint="eastAsia" w:ascii="仿宋" w:hAnsi="仿宋" w:eastAsia="仿宋" w:cs="仿宋"/>
          <w:color w:val="000000" w:themeColor="text1"/>
          <w:kern w:val="0"/>
          <w:sz w:val="20"/>
          <w:szCs w:val="20"/>
          <w:highlight w:val="none"/>
          <w14:textFill>
            <w14:solidFill>
              <w14:schemeClr w14:val="tx1"/>
            </w14:solidFill>
          </w14:textFill>
        </w:rPr>
        <w:t>施工组织设计的提交和修改</w:t>
      </w:r>
    </w:p>
    <w:p w14:paraId="1FD1D48A">
      <w:pPr>
        <w:keepNext w:val="0"/>
        <w:keepLines w:val="0"/>
        <w:pageBreakBefore w:val="0"/>
        <w:kinsoku/>
        <w:wordWrap/>
        <w:overflowPunct/>
        <w:topLinePunct w:val="0"/>
        <w:autoSpaceDE w:val="0"/>
        <w:autoSpaceDN w:val="0"/>
        <w:bidi w:val="0"/>
        <w:adjustRightInd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承包人提交详细施工组织设计的期限的约定：</w:t>
      </w:r>
      <w:r>
        <w:rPr>
          <w:rFonts w:hint="eastAsia" w:ascii="仿宋" w:hAnsi="仿宋" w:eastAsia="仿宋" w:cs="仿宋"/>
          <w:color w:val="000000" w:themeColor="text1"/>
          <w:kern w:val="0"/>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 xml:space="preserve">合同签订7天内     </w:t>
      </w:r>
      <w:r>
        <w:rPr>
          <w:rFonts w:hint="eastAsia" w:ascii="仿宋" w:hAnsi="仿宋" w:eastAsia="仿宋" w:cs="仿宋"/>
          <w:color w:val="000000" w:themeColor="text1"/>
          <w:sz w:val="20"/>
          <w:szCs w:val="20"/>
          <w:highlight w:val="none"/>
          <w14:textFill>
            <w14:solidFill>
              <w14:schemeClr w14:val="tx1"/>
            </w14:solidFill>
          </w14:textFill>
        </w:rPr>
        <w:t>。</w:t>
      </w:r>
    </w:p>
    <w:p w14:paraId="10E60D31">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发包人在收到详细的施工组织设计后确认或提出修改意见的期限：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71A4574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67" w:name="_Toc297123514"/>
      <w:bookmarkStart w:id="168" w:name="_Toc303539123"/>
      <w:bookmarkStart w:id="169" w:name="_Toc300934966"/>
      <w:bookmarkStart w:id="170" w:name="_Toc304295541"/>
      <w:bookmarkStart w:id="171" w:name="_Toc312678005"/>
      <w:bookmarkStart w:id="172" w:name="_Toc297216173"/>
      <w:bookmarkStart w:id="173" w:name="_Toc312677479"/>
      <w:r>
        <w:rPr>
          <w:rFonts w:hint="eastAsia" w:ascii="仿宋" w:hAnsi="仿宋" w:eastAsia="仿宋" w:cs="仿宋"/>
          <w:color w:val="000000" w:themeColor="text1"/>
          <w:sz w:val="20"/>
          <w:szCs w:val="20"/>
          <w:highlight w:val="none"/>
          <w14:textFill>
            <w14:solidFill>
              <w14:schemeClr w14:val="tx1"/>
            </w14:solidFill>
          </w14:textFill>
        </w:rPr>
        <w:t>.2 施工进度计划</w:t>
      </w:r>
    </w:p>
    <w:p w14:paraId="0F600E6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7.2.2 施工进度计划的修订</w:t>
      </w:r>
    </w:p>
    <w:p w14:paraId="3B2C2EEE">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发包人在收到修订的施工进度计划后确认或提出修改意见的期限：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7FF68B6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7.3 开工</w:t>
      </w:r>
    </w:p>
    <w:p w14:paraId="7942C26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7.3.1 开工准备</w:t>
      </w:r>
    </w:p>
    <w:p w14:paraId="7F24EEC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关于承包人提交</w:t>
      </w:r>
      <w:r>
        <w:rPr>
          <w:rFonts w:hint="eastAsia" w:ascii="仿宋" w:hAnsi="仿宋" w:eastAsia="仿宋" w:cs="仿宋"/>
          <w:color w:val="000000" w:themeColor="text1"/>
          <w:kern w:val="0"/>
          <w:sz w:val="20"/>
          <w:szCs w:val="20"/>
          <w:highlight w:val="none"/>
          <w14:textFill>
            <w14:solidFill>
              <w14:schemeClr w14:val="tx1"/>
            </w14:solidFill>
          </w14:textFill>
        </w:rPr>
        <w:t>工程开工报审表的期限：</w:t>
      </w:r>
      <w:r>
        <w:rPr>
          <w:rFonts w:hint="eastAsia" w:ascii="仿宋" w:hAnsi="仿宋" w:eastAsia="仿宋" w:cs="仿宋"/>
          <w:color w:val="000000" w:themeColor="text1"/>
          <w:sz w:val="20"/>
          <w:szCs w:val="20"/>
          <w:highlight w:val="none"/>
          <w:u w:val="single"/>
          <w14:textFill>
            <w14:solidFill>
              <w14:schemeClr w14:val="tx1"/>
            </w14:solidFill>
          </w14:textFill>
        </w:rPr>
        <w:t>合同签订后5天内，但不得晚于通用条款7.3.2项[开工通知]载明的开工日期前10天</w:t>
      </w:r>
      <w:r>
        <w:rPr>
          <w:rFonts w:hint="eastAsia" w:ascii="仿宋" w:hAnsi="仿宋" w:eastAsia="仿宋" w:cs="仿宋"/>
          <w:color w:val="000000" w:themeColor="text1"/>
          <w:sz w:val="20"/>
          <w:szCs w:val="20"/>
          <w:highlight w:val="none"/>
          <w14:textFill>
            <w14:solidFill>
              <w14:schemeClr w14:val="tx1"/>
            </w14:solidFill>
          </w14:textFill>
        </w:rPr>
        <w:t>。</w:t>
      </w:r>
    </w:p>
    <w:p w14:paraId="24C5B8EA">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关于承包人应完成的其他开工准备工作及期限：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扬尘治理专项方案，合同签订后15个日历天内    </w:t>
      </w:r>
      <w:r>
        <w:rPr>
          <w:rFonts w:hint="eastAsia" w:ascii="仿宋" w:hAnsi="仿宋" w:eastAsia="仿宋" w:cs="仿宋"/>
          <w:color w:val="000000" w:themeColor="text1"/>
          <w:sz w:val="20"/>
          <w:szCs w:val="20"/>
          <w:highlight w:val="none"/>
          <w14:textFill>
            <w14:solidFill>
              <w14:schemeClr w14:val="tx1"/>
            </w14:solidFill>
          </w14:textFill>
        </w:rPr>
        <w:t>。</w:t>
      </w:r>
    </w:p>
    <w:bookmarkEnd w:id="167"/>
    <w:bookmarkEnd w:id="168"/>
    <w:bookmarkEnd w:id="169"/>
    <w:bookmarkEnd w:id="170"/>
    <w:bookmarkEnd w:id="171"/>
    <w:bookmarkEnd w:id="172"/>
    <w:bookmarkEnd w:id="173"/>
    <w:p w14:paraId="5D4CD859">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74" w:name="_Toc312677484"/>
      <w:bookmarkStart w:id="175" w:name="_Toc297123516"/>
      <w:bookmarkStart w:id="176" w:name="_Toc297216175"/>
      <w:bookmarkStart w:id="177" w:name="_Toc312678010"/>
      <w:bookmarkStart w:id="178" w:name="_Toc303539125"/>
      <w:bookmarkStart w:id="179" w:name="_Toc304295546"/>
      <w:bookmarkStart w:id="180" w:name="_Toc300934968"/>
      <w:r>
        <w:rPr>
          <w:rFonts w:hint="eastAsia" w:ascii="仿宋" w:hAnsi="仿宋" w:eastAsia="仿宋" w:cs="仿宋"/>
          <w:color w:val="000000" w:themeColor="text1"/>
          <w:sz w:val="20"/>
          <w:szCs w:val="20"/>
          <w:highlight w:val="none"/>
          <w14:textFill>
            <w14:solidFill>
              <w14:schemeClr w14:val="tx1"/>
            </w14:solidFill>
          </w14:textFill>
        </w:rPr>
        <w:t>.5 工期延误</w:t>
      </w:r>
    </w:p>
    <w:bookmarkEnd w:id="174"/>
    <w:bookmarkEnd w:id="175"/>
    <w:bookmarkEnd w:id="176"/>
    <w:bookmarkEnd w:id="177"/>
    <w:bookmarkEnd w:id="178"/>
    <w:bookmarkEnd w:id="179"/>
    <w:bookmarkEnd w:id="180"/>
    <w:p w14:paraId="21C3BB20">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81" w:name="_Toc312678014"/>
      <w:bookmarkStart w:id="182" w:name="_Toc318581171"/>
      <w:r>
        <w:rPr>
          <w:rFonts w:hint="eastAsia" w:ascii="仿宋" w:hAnsi="仿宋" w:eastAsia="仿宋" w:cs="仿宋"/>
          <w:color w:val="000000" w:themeColor="text1"/>
          <w:sz w:val="20"/>
          <w:szCs w:val="20"/>
          <w:highlight w:val="none"/>
          <w14:textFill>
            <w14:solidFill>
              <w14:schemeClr w14:val="tx1"/>
            </w14:solidFill>
          </w14:textFill>
        </w:rPr>
        <w:t>7.5.1 因发包人原因导致工期延误</w:t>
      </w:r>
    </w:p>
    <w:p w14:paraId="7AC2063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7</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因发包人原因导致工期延误的其他情形：</w:t>
      </w:r>
      <w:r>
        <w:rPr>
          <w:rFonts w:hint="eastAsia" w:ascii="仿宋" w:hAnsi="仿宋" w:eastAsia="仿宋" w:cs="仿宋"/>
          <w:color w:val="000000" w:themeColor="text1"/>
          <w:sz w:val="20"/>
          <w:szCs w:val="20"/>
          <w:highlight w:val="none"/>
          <w:u w:val="single"/>
          <w14:textFill>
            <w14:solidFill>
              <w14:schemeClr w14:val="tx1"/>
            </w14:solidFill>
          </w14:textFill>
        </w:rPr>
        <w:t xml:space="preserve"> 不可抗力，此延误工期须在发生后7天内办理延期申请，逾期不予认可</w:t>
      </w:r>
      <w:r>
        <w:rPr>
          <w:rFonts w:hint="eastAsia" w:ascii="仿宋" w:hAnsi="仿宋" w:eastAsia="仿宋" w:cs="仿宋"/>
          <w:color w:val="000000" w:themeColor="text1"/>
          <w:sz w:val="20"/>
          <w:szCs w:val="20"/>
          <w:highlight w:val="none"/>
          <w14:textFill>
            <w14:solidFill>
              <w14:schemeClr w14:val="tx1"/>
            </w14:solidFill>
          </w14:textFill>
        </w:rPr>
        <w:t>。</w:t>
      </w:r>
    </w:p>
    <w:p w14:paraId="3563838B">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83" w:name="_Toc312677486"/>
      <w:bookmarkStart w:id="184" w:name="_Toc312678012"/>
      <w:bookmarkStart w:id="185" w:name="_Toc318581169"/>
      <w:bookmarkStart w:id="186" w:name="_Toc297216177"/>
      <w:bookmarkStart w:id="187" w:name="_Toc303539127"/>
      <w:bookmarkStart w:id="188" w:name="_Toc300934970"/>
      <w:bookmarkStart w:id="189" w:name="_Toc304295548"/>
      <w:bookmarkStart w:id="190" w:name="_Toc297123518"/>
      <w:r>
        <w:rPr>
          <w:rFonts w:hint="eastAsia" w:ascii="仿宋" w:hAnsi="仿宋" w:eastAsia="仿宋" w:cs="仿宋"/>
          <w:color w:val="000000" w:themeColor="text1"/>
          <w:sz w:val="20"/>
          <w:szCs w:val="20"/>
          <w:highlight w:val="none"/>
          <w14:textFill>
            <w14:solidFill>
              <w14:schemeClr w14:val="tx1"/>
            </w14:solidFill>
          </w14:textFill>
        </w:rPr>
        <w:t>.5.2 因承包人原因导致工期延误</w:t>
      </w:r>
    </w:p>
    <w:bookmarkEnd w:id="183"/>
    <w:bookmarkEnd w:id="184"/>
    <w:bookmarkEnd w:id="185"/>
    <w:p w14:paraId="3913E3F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w:t>
      </w:r>
      <w:bookmarkStart w:id="191" w:name="_Toc312678013"/>
      <w:bookmarkStart w:id="192" w:name="_Toc312677487"/>
      <w:bookmarkStart w:id="193" w:name="_Toc318581170"/>
      <w:r>
        <w:rPr>
          <w:rFonts w:hint="eastAsia" w:ascii="仿宋" w:hAnsi="仿宋" w:eastAsia="仿宋" w:cs="仿宋"/>
          <w:color w:val="000000" w:themeColor="text1"/>
          <w:sz w:val="20"/>
          <w:szCs w:val="20"/>
          <w:highlight w:val="none"/>
          <w14:textFill>
            <w14:solidFill>
              <w14:schemeClr w14:val="tx1"/>
            </w14:solidFill>
          </w14:textFill>
        </w:rPr>
        <w:t>承包人原因造成工期延误，逾期竣工违约金的计算方法为：</w:t>
      </w:r>
      <w:bookmarkEnd w:id="186"/>
      <w:bookmarkEnd w:id="187"/>
      <w:bookmarkEnd w:id="188"/>
      <w:bookmarkEnd w:id="189"/>
      <w:bookmarkEnd w:id="190"/>
      <w:bookmarkEnd w:id="191"/>
      <w:bookmarkEnd w:id="192"/>
      <w:r>
        <w:rPr>
          <w:rFonts w:hint="eastAsia" w:ascii="仿宋" w:hAnsi="仿宋" w:eastAsia="仿宋" w:cs="仿宋"/>
          <w:color w:val="000000" w:themeColor="text1"/>
          <w:sz w:val="20"/>
          <w:szCs w:val="20"/>
          <w:highlight w:val="none"/>
          <w:u w:val="single"/>
          <w14:textFill>
            <w14:solidFill>
              <w14:schemeClr w14:val="tx1"/>
            </w14:solidFill>
          </w14:textFill>
        </w:rPr>
        <w:t>按投标工期提前无奖励。1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承包人工期每推迟一天除按合同价的万分之二处罚外，若影响发包人使用时，还应按合同总价的5‰向发包人支付使用违约金。2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因工程量变化引起的工期变化，本工程不予调整即总工期不变。</w:t>
      </w:r>
    </w:p>
    <w:bookmarkEnd w:id="193"/>
    <w:p w14:paraId="162C865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因承包人原因造成工期延误，逾期竣工违约金的上限：</w:t>
      </w:r>
      <w:r>
        <w:rPr>
          <w:rFonts w:hint="eastAsia" w:ascii="仿宋" w:hAnsi="仿宋" w:eastAsia="仿宋" w:cs="仿宋"/>
          <w:color w:val="000000" w:themeColor="text1"/>
          <w:sz w:val="20"/>
          <w:szCs w:val="20"/>
          <w:highlight w:val="none"/>
          <w:u w:val="single"/>
          <w14:textFill>
            <w14:solidFill>
              <w14:schemeClr w14:val="tx1"/>
            </w14:solidFill>
          </w14:textFill>
        </w:rPr>
        <w:t>无上限</w:t>
      </w:r>
      <w:r>
        <w:rPr>
          <w:rFonts w:hint="eastAsia" w:ascii="仿宋" w:hAnsi="仿宋" w:eastAsia="仿宋" w:cs="仿宋"/>
          <w:color w:val="000000" w:themeColor="text1"/>
          <w:sz w:val="20"/>
          <w:szCs w:val="20"/>
          <w:highlight w:val="none"/>
          <w14:textFill>
            <w14:solidFill>
              <w14:schemeClr w14:val="tx1"/>
            </w14:solidFill>
          </w14:textFill>
        </w:rPr>
        <w:t>。</w:t>
      </w:r>
    </w:p>
    <w:bookmarkEnd w:id="181"/>
    <w:bookmarkEnd w:id="182"/>
    <w:p w14:paraId="65C69AD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bookmarkStart w:id="194" w:name="_Toc297216180"/>
      <w:bookmarkStart w:id="195" w:name="_Toc303539130"/>
      <w:bookmarkStart w:id="196" w:name="_Toc312678017"/>
      <w:bookmarkStart w:id="197" w:name="_Toc300934973"/>
      <w:bookmarkStart w:id="198" w:name="_Toc297123521"/>
      <w:bookmarkStart w:id="199" w:name="_Toc304295551"/>
      <w:r>
        <w:rPr>
          <w:rFonts w:hint="eastAsia" w:ascii="仿宋" w:hAnsi="仿宋" w:eastAsia="仿宋" w:cs="仿宋"/>
          <w:color w:val="000000" w:themeColor="text1"/>
          <w:sz w:val="20"/>
          <w:szCs w:val="20"/>
          <w:highlight w:val="none"/>
          <w14:textFill>
            <w14:solidFill>
              <w14:schemeClr w14:val="tx1"/>
            </w14:solidFill>
          </w14:textFill>
        </w:rPr>
        <w:t>.7异常恶劣的气候条件</w:t>
      </w:r>
    </w:p>
    <w:bookmarkEnd w:id="194"/>
    <w:bookmarkEnd w:id="195"/>
    <w:bookmarkEnd w:id="196"/>
    <w:bookmarkEnd w:id="197"/>
    <w:bookmarkEnd w:id="198"/>
    <w:bookmarkEnd w:id="199"/>
    <w:p w14:paraId="2109CB60">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发包人和承包人同意以下情形视为异常恶劣的气候条件：</w:t>
      </w:r>
    </w:p>
    <w:p w14:paraId="26B5EE5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7级以上大风 </w:t>
      </w:r>
      <w:r>
        <w:rPr>
          <w:rFonts w:hint="eastAsia" w:ascii="仿宋" w:hAnsi="仿宋" w:eastAsia="仿宋" w:cs="仿宋"/>
          <w:color w:val="000000" w:themeColor="text1"/>
          <w:sz w:val="20"/>
          <w:szCs w:val="20"/>
          <w:highlight w:val="none"/>
          <w14:textFill>
            <w14:solidFill>
              <w14:schemeClr w14:val="tx1"/>
            </w14:solidFill>
          </w14:textFill>
        </w:rPr>
        <w:t>。</w:t>
      </w:r>
    </w:p>
    <w:p w14:paraId="1187C43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3小时内降雨量将达50毫米以上，或者已达50毫米以上且降雨可能持续 </w:t>
      </w:r>
      <w:r>
        <w:rPr>
          <w:rFonts w:hint="eastAsia" w:ascii="仿宋" w:hAnsi="仿宋" w:eastAsia="仿宋" w:cs="仿宋"/>
          <w:color w:val="000000" w:themeColor="text1"/>
          <w:sz w:val="20"/>
          <w:szCs w:val="20"/>
          <w:highlight w:val="none"/>
          <w14:textFill>
            <w14:solidFill>
              <w14:schemeClr w14:val="tx1"/>
            </w14:solidFill>
          </w14:textFill>
        </w:rPr>
        <w:t>。</w:t>
      </w:r>
    </w:p>
    <w:p w14:paraId="0FD9E2A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bCs/>
          <w:color w:val="000000" w:themeColor="text1"/>
          <w:sz w:val="20"/>
          <w:szCs w:val="20"/>
          <w:highlight w:val="none"/>
          <w:u w:val="single"/>
          <w14:textFill>
            <w14:solidFill>
              <w14:schemeClr w14:val="tx1"/>
            </w14:solidFill>
          </w14:textFill>
        </w:rPr>
        <w:t>雾霾红色预警</w:t>
      </w:r>
      <w:r>
        <w:rPr>
          <w:rFonts w:hint="eastAsia" w:ascii="仿宋" w:hAnsi="仿宋" w:eastAsia="仿宋" w:cs="仿宋"/>
          <w:color w:val="000000" w:themeColor="text1"/>
          <w:sz w:val="20"/>
          <w:szCs w:val="20"/>
          <w:highlight w:val="none"/>
          <w14:textFill>
            <w14:solidFill>
              <w14:schemeClr w14:val="tx1"/>
            </w14:solidFill>
          </w14:textFill>
        </w:rPr>
        <w:t>。</w:t>
      </w:r>
    </w:p>
    <w:p w14:paraId="0E44623E">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200" w:name="_Toc12877"/>
      <w:bookmarkStart w:id="201" w:name="_Toc7907"/>
      <w:bookmarkStart w:id="202" w:name="_Toc351203640"/>
      <w:r>
        <w:rPr>
          <w:rFonts w:hint="eastAsia" w:ascii="仿宋" w:hAnsi="仿宋" w:eastAsia="仿宋" w:cs="仿宋"/>
          <w:b/>
          <w:color w:val="000000" w:themeColor="text1"/>
          <w:sz w:val="20"/>
          <w:szCs w:val="20"/>
          <w:highlight w:val="none"/>
          <w14:textFill>
            <w14:solidFill>
              <w14:schemeClr w14:val="tx1"/>
            </w14:solidFill>
          </w14:textFill>
        </w:rPr>
        <w:t>8. 材料与设备</w:t>
      </w:r>
      <w:bookmarkEnd w:id="200"/>
      <w:bookmarkEnd w:id="201"/>
      <w:bookmarkEnd w:id="202"/>
    </w:p>
    <w:bookmarkEnd w:id="144"/>
    <w:bookmarkEnd w:id="145"/>
    <w:bookmarkEnd w:id="146"/>
    <w:bookmarkEnd w:id="147"/>
    <w:bookmarkEnd w:id="148"/>
    <w:bookmarkEnd w:id="149"/>
    <w:bookmarkEnd w:id="150"/>
    <w:bookmarkEnd w:id="151"/>
    <w:bookmarkEnd w:id="152"/>
    <w:bookmarkEnd w:id="153"/>
    <w:p w14:paraId="1350FE5C">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203" w:name="_Toc296891208"/>
      <w:bookmarkStart w:id="204" w:name="_Toc296503168"/>
      <w:bookmarkStart w:id="205" w:name="_Toc312677494"/>
      <w:bookmarkStart w:id="206" w:name="_Toc297120468"/>
      <w:bookmarkStart w:id="207" w:name="_Toc312678020"/>
      <w:bookmarkStart w:id="208" w:name="_Toc303539137"/>
      <w:bookmarkStart w:id="209" w:name="_Toc296890996"/>
      <w:bookmarkStart w:id="210" w:name="_Toc280868656"/>
      <w:bookmarkStart w:id="211" w:name="_Toc296346669"/>
      <w:bookmarkStart w:id="212" w:name="_Toc304295557"/>
      <w:bookmarkStart w:id="213" w:name="_Toc318581173"/>
      <w:bookmarkStart w:id="214" w:name="_Toc296944507"/>
      <w:bookmarkStart w:id="215" w:name="_Toc296347167"/>
      <w:bookmarkStart w:id="216" w:name="_Toc297123528"/>
      <w:bookmarkStart w:id="217" w:name="_Toc297048354"/>
      <w:bookmarkStart w:id="218" w:name="_Toc300934980"/>
      <w:bookmarkStart w:id="219" w:name="_Toc297216187"/>
      <w:bookmarkStart w:id="220" w:name="_Toc267251424"/>
      <w:bookmarkStart w:id="221" w:name="_Toc280868655"/>
      <w:r>
        <w:rPr>
          <w:rFonts w:hint="eastAsia" w:ascii="仿宋" w:hAnsi="仿宋" w:eastAsia="仿宋" w:cs="仿宋"/>
          <w:color w:val="000000" w:themeColor="text1"/>
          <w:sz w:val="20"/>
          <w:szCs w:val="20"/>
          <w:highlight w:val="none"/>
          <w14:textFill>
            <w14:solidFill>
              <w14:schemeClr w14:val="tx1"/>
            </w14:solidFill>
          </w14:textFill>
        </w:rPr>
        <w:t>8.2承包人采购材料与工程设备：</w:t>
      </w:r>
    </w:p>
    <w:p w14:paraId="6B258735">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为工地出库价</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w:t>
      </w:r>
    </w:p>
    <w:p w14:paraId="50963CEF">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承包人采购的所有材料、设备，除满足采购文件要求外，且应达到国家规范或设计要求的“合格”及以上标准，且应符合国家、省市关于健康、节能、环保以及强制性认证等要求。由承包人自购的主要材料、设备必须经发包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认真</w:t>
      </w:r>
      <w:r>
        <w:rPr>
          <w:rFonts w:hint="eastAsia" w:ascii="仿宋" w:hAnsi="仿宋" w:eastAsia="仿宋" w:cs="仿宋"/>
          <w:color w:val="000000" w:themeColor="text1"/>
          <w:sz w:val="20"/>
          <w:szCs w:val="20"/>
          <w:highlight w:val="none"/>
          <w:u w:val="single"/>
          <w14:textFill>
            <w14:solidFill>
              <w14:schemeClr w14:val="tx1"/>
            </w14:solidFill>
          </w14:textFill>
        </w:rPr>
        <w:t>审批后，方可采购。如因材料、设备质量造成的工程损失由承包人负全部责任。</w:t>
      </w:r>
    </w:p>
    <w:p w14:paraId="4FE4E90B">
      <w:pPr>
        <w:keepNext w:val="0"/>
        <w:keepLines w:val="0"/>
        <w:pageBreakBefore w:val="0"/>
        <w:kinsoku/>
        <w:wordWrap/>
        <w:overflowPunct/>
        <w:topLinePunct w:val="0"/>
        <w:bidi w:val="0"/>
        <w:adjustRightInd w:val="0"/>
        <w:snapToGrid w:val="0"/>
        <w:spacing w:line="324" w:lineRule="auto"/>
        <w:ind w:firstLine="416" w:firstLineChars="208"/>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其他主要</w:t>
      </w:r>
      <w:r>
        <w:rPr>
          <w:rFonts w:hint="eastAsia" w:ascii="仿宋" w:hAnsi="仿宋" w:eastAsia="仿宋" w:cs="仿宋"/>
          <w:color w:val="000000" w:themeColor="text1"/>
          <w:sz w:val="20"/>
          <w:szCs w:val="20"/>
          <w:highlight w:val="none"/>
          <w14:textFill>
            <w14:solidFill>
              <w14:schemeClr w14:val="tx1"/>
            </w14:solidFill>
          </w14:textFill>
        </w:rPr>
        <w:t>材料价格调整约定：</w:t>
      </w:r>
    </w:p>
    <w:p w14:paraId="30BDCAB3">
      <w:pPr>
        <w:keepNext w:val="0"/>
        <w:keepLines w:val="0"/>
        <w:pageBreakBefore w:val="0"/>
        <w:kinsoku/>
        <w:wordWrap/>
        <w:overflowPunct/>
        <w:topLinePunct w:val="0"/>
        <w:bidi w:val="0"/>
        <w:adjustRightInd w:val="0"/>
        <w:snapToGrid w:val="0"/>
        <w:spacing w:line="324" w:lineRule="auto"/>
        <w:ind w:firstLine="416" w:firstLineChars="208"/>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商品砼市场价中已含运费、泵送费、抗渗费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及其他所需</w:t>
      </w:r>
      <w:r>
        <w:rPr>
          <w:rFonts w:hint="eastAsia" w:ascii="仿宋" w:hAnsi="仿宋" w:eastAsia="仿宋" w:cs="仿宋"/>
          <w:color w:val="000000" w:themeColor="text1"/>
          <w:sz w:val="20"/>
          <w:szCs w:val="20"/>
          <w:highlight w:val="none"/>
          <w:u w:val="single"/>
          <w14:textFill>
            <w14:solidFill>
              <w14:schemeClr w14:val="tx1"/>
            </w14:solidFill>
          </w14:textFill>
        </w:rPr>
        <w:t>添加剂等一切费用。</w:t>
      </w:r>
    </w:p>
    <w:p w14:paraId="08FA9BED">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承包人中标后，应在一周内提交总采购计划书</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包括品牌、规格型号、数量、采购时间等内容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。在各批材料进场一周前，承包人应向发包人提交该批材料采购情况及说明。各批材料进场前应提前通知发包人进行现场复核确认。</w:t>
      </w:r>
    </w:p>
    <w:p w14:paraId="5DAC55C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w:t>
      </w:r>
      <w:bookmarkStart w:id="222" w:name="_Toc304295556"/>
      <w:bookmarkStart w:id="223" w:name="_Toc292559372"/>
      <w:bookmarkStart w:id="224" w:name="_Toc296503167"/>
      <w:bookmarkStart w:id="225" w:name="_Toc296890995"/>
      <w:bookmarkStart w:id="226" w:name="_Toc296346668"/>
      <w:bookmarkStart w:id="227" w:name="_Toc312678019"/>
      <w:bookmarkStart w:id="228" w:name="_Toc297216186"/>
      <w:bookmarkStart w:id="229" w:name="_Toc292559877"/>
      <w:bookmarkStart w:id="230" w:name="_Toc297120467"/>
      <w:bookmarkStart w:id="231" w:name="_Toc297048353"/>
      <w:bookmarkStart w:id="232" w:name="_Toc280868654"/>
      <w:bookmarkStart w:id="233" w:name="_Toc303539136"/>
      <w:bookmarkStart w:id="234" w:name="_Toc296891207"/>
      <w:bookmarkStart w:id="235" w:name="_Toc297123527"/>
      <w:bookmarkStart w:id="236" w:name="_Toc312677493"/>
      <w:bookmarkStart w:id="237" w:name="_Toc300934979"/>
      <w:bookmarkStart w:id="238" w:name="_Toc296347166"/>
      <w:bookmarkStart w:id="239" w:name="_Toc296944506"/>
      <w:r>
        <w:rPr>
          <w:rFonts w:hint="eastAsia" w:ascii="仿宋" w:hAnsi="仿宋" w:eastAsia="仿宋" w:cs="仿宋"/>
          <w:color w:val="000000" w:themeColor="text1"/>
          <w:sz w:val="20"/>
          <w:szCs w:val="20"/>
          <w:highlight w:val="none"/>
          <w14:textFill>
            <w14:solidFill>
              <w14:schemeClr w14:val="tx1"/>
            </w14:solidFill>
          </w14:textFill>
        </w:rPr>
        <w:t>.4材料与工程设备的保管与使用：</w:t>
      </w:r>
      <w:r>
        <w:rPr>
          <w:rFonts w:hint="eastAsia" w:ascii="仿宋" w:hAnsi="仿宋" w:eastAsia="仿宋" w:cs="仿宋"/>
          <w:color w:val="000000" w:themeColor="text1"/>
          <w:sz w:val="20"/>
          <w:szCs w:val="20"/>
          <w:highlight w:val="none"/>
          <w:u w:val="single"/>
          <w14:textFill>
            <w14:solidFill>
              <w14:schemeClr w14:val="tx1"/>
            </w14:solidFill>
          </w14:textFill>
        </w:rPr>
        <w:t>本项目采购材料与工程设备由承包人保管。</w:t>
      </w:r>
    </w:p>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14:paraId="1F3DDF11">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bookmarkStart w:id="240" w:name="_Toc292559878"/>
      <w:bookmarkStart w:id="241" w:name="_Toc292559373"/>
      <w:r>
        <w:rPr>
          <w:rFonts w:hint="eastAsia" w:ascii="仿宋" w:hAnsi="仿宋" w:eastAsia="仿宋" w:cs="仿宋"/>
          <w:color w:val="000000" w:themeColor="text1"/>
          <w:kern w:val="0"/>
          <w:sz w:val="20"/>
          <w:szCs w:val="20"/>
          <w:highlight w:val="none"/>
          <w14:textFill>
            <w14:solidFill>
              <w14:schemeClr w14:val="tx1"/>
            </w14:solidFill>
          </w14:textFill>
        </w:rPr>
        <w:t>8.4.2 承包人采购</w:t>
      </w:r>
      <w:r>
        <w:rPr>
          <w:rFonts w:hint="eastAsia" w:ascii="仿宋" w:hAnsi="仿宋" w:eastAsia="仿宋" w:cs="仿宋"/>
          <w:color w:val="000000" w:themeColor="text1"/>
          <w:sz w:val="20"/>
          <w:szCs w:val="20"/>
          <w:highlight w:val="none"/>
          <w14:textFill>
            <w14:solidFill>
              <w14:schemeClr w14:val="tx1"/>
            </w14:solidFill>
          </w14:textFill>
        </w:rPr>
        <w:t>材料与</w:t>
      </w:r>
      <w:r>
        <w:rPr>
          <w:rFonts w:hint="eastAsia" w:ascii="仿宋" w:hAnsi="仿宋" w:eastAsia="仿宋" w:cs="仿宋"/>
          <w:color w:val="000000" w:themeColor="text1"/>
          <w:kern w:val="0"/>
          <w:sz w:val="20"/>
          <w:szCs w:val="20"/>
          <w:highlight w:val="none"/>
          <w14:textFill>
            <w14:solidFill>
              <w14:schemeClr w14:val="tx1"/>
            </w14:solidFill>
          </w14:textFill>
        </w:rPr>
        <w:t>工程</w:t>
      </w:r>
      <w:r>
        <w:rPr>
          <w:rFonts w:hint="eastAsia" w:ascii="仿宋" w:hAnsi="仿宋" w:eastAsia="仿宋" w:cs="仿宋"/>
          <w:color w:val="000000" w:themeColor="text1"/>
          <w:sz w:val="20"/>
          <w:szCs w:val="20"/>
          <w:highlight w:val="none"/>
          <w14:textFill>
            <w14:solidFill>
              <w14:schemeClr w14:val="tx1"/>
            </w14:solidFill>
          </w14:textFill>
        </w:rPr>
        <w:t>设备的保管与使用：</w:t>
      </w:r>
      <w:bookmarkEnd w:id="240"/>
      <w:bookmarkEnd w:id="241"/>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5ADE19BF">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242" w:name="_Toc296891213"/>
      <w:bookmarkStart w:id="243" w:name="_Toc296503173"/>
      <w:bookmarkStart w:id="244" w:name="_Toc296944512"/>
      <w:bookmarkStart w:id="245" w:name="_Toc292559378"/>
      <w:bookmarkStart w:id="246" w:name="_Toc292559883"/>
      <w:bookmarkStart w:id="247" w:name="_Toc296891001"/>
      <w:bookmarkStart w:id="248" w:name="_Toc297048359"/>
      <w:bookmarkStart w:id="249" w:name="_Toc296346674"/>
      <w:bookmarkStart w:id="250" w:name="_Toc296347172"/>
      <w:bookmarkStart w:id="251" w:name="_Toc267251428"/>
      <w:bookmarkStart w:id="252" w:name="_Toc297120473"/>
      <w:bookmarkStart w:id="253" w:name="_Toc267251427"/>
      <w:bookmarkStart w:id="254" w:name="_Toc351203642"/>
      <w:bookmarkStart w:id="255" w:name="_Toc12765"/>
      <w:bookmarkStart w:id="256" w:name="_Toc30001"/>
      <w:r>
        <w:rPr>
          <w:rFonts w:hint="eastAsia" w:ascii="仿宋" w:hAnsi="仿宋" w:eastAsia="仿宋" w:cs="仿宋"/>
          <w:b/>
          <w:color w:val="000000" w:themeColor="text1"/>
          <w:sz w:val="20"/>
          <w:szCs w:val="20"/>
          <w:highlight w:val="none"/>
          <w14:textFill>
            <w14:solidFill>
              <w14:schemeClr w14:val="tx1"/>
            </w14:solidFill>
          </w14:textFill>
        </w:rPr>
        <w:t>1</w:t>
      </w:r>
      <w:bookmarkEnd w:id="242"/>
      <w:bookmarkEnd w:id="243"/>
      <w:bookmarkEnd w:id="244"/>
      <w:bookmarkEnd w:id="245"/>
      <w:bookmarkEnd w:id="246"/>
      <w:bookmarkEnd w:id="247"/>
      <w:bookmarkEnd w:id="248"/>
      <w:bookmarkEnd w:id="249"/>
      <w:bookmarkEnd w:id="250"/>
      <w:bookmarkEnd w:id="251"/>
      <w:bookmarkEnd w:id="252"/>
      <w:bookmarkEnd w:id="253"/>
      <w:bookmarkStart w:id="257" w:name="_Toc296944532"/>
      <w:bookmarkStart w:id="258" w:name="_Toc296346694"/>
      <w:bookmarkStart w:id="259" w:name="_Toc303539146"/>
      <w:bookmarkStart w:id="260" w:name="_Toc292559398"/>
      <w:bookmarkStart w:id="261" w:name="_Toc296891021"/>
      <w:bookmarkStart w:id="262" w:name="_Toc297048379"/>
      <w:bookmarkStart w:id="263" w:name="_Toc297120493"/>
      <w:bookmarkStart w:id="264" w:name="_Toc296891233"/>
      <w:bookmarkStart w:id="265" w:name="_Toc296503193"/>
      <w:bookmarkStart w:id="266" w:name="_Toc296347192"/>
      <w:bookmarkStart w:id="267" w:name="_Toc297123540"/>
      <w:bookmarkStart w:id="268" w:name="_Toc300934989"/>
      <w:bookmarkStart w:id="269" w:name="_Toc297216199"/>
      <w:bookmarkStart w:id="270" w:name="_Toc304295566"/>
      <w:bookmarkStart w:id="271" w:name="_Toc292559903"/>
      <w:bookmarkStart w:id="272" w:name="_Toc312678025"/>
      <w:bookmarkStart w:id="273" w:name="_Toc312677499"/>
      <w:r>
        <w:rPr>
          <w:rFonts w:hint="eastAsia" w:ascii="仿宋" w:hAnsi="仿宋" w:eastAsia="仿宋" w:cs="仿宋"/>
          <w:b/>
          <w:color w:val="000000" w:themeColor="text1"/>
          <w:sz w:val="20"/>
          <w:szCs w:val="20"/>
          <w:highlight w:val="none"/>
          <w14:textFill>
            <w14:solidFill>
              <w14:schemeClr w14:val="tx1"/>
            </w14:solidFill>
          </w14:textFill>
        </w:rPr>
        <w:t>0. 变更</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bookmarkEnd w:id="272"/>
    <w:bookmarkEnd w:id="273"/>
    <w:p w14:paraId="24DA8E1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274" w:name="_Toc297048380"/>
      <w:bookmarkStart w:id="275" w:name="_Toc296944533"/>
      <w:bookmarkStart w:id="276" w:name="_Toc312678026"/>
      <w:bookmarkStart w:id="277" w:name="_Toc303539147"/>
      <w:bookmarkStart w:id="278" w:name="_Toc300934990"/>
      <w:bookmarkStart w:id="279" w:name="_Toc297216200"/>
      <w:bookmarkStart w:id="280" w:name="_Toc296891022"/>
      <w:bookmarkStart w:id="281" w:name="_Toc312677500"/>
      <w:bookmarkStart w:id="282" w:name="_Toc297123541"/>
      <w:bookmarkStart w:id="283" w:name="_Toc296891234"/>
      <w:bookmarkStart w:id="284" w:name="_Toc292559904"/>
      <w:bookmarkStart w:id="285" w:name="_Toc296346695"/>
      <w:bookmarkStart w:id="286" w:name="_Toc292559399"/>
      <w:bookmarkStart w:id="287" w:name="_Toc304295567"/>
      <w:bookmarkStart w:id="288" w:name="_Toc296347193"/>
      <w:bookmarkStart w:id="289" w:name="_Toc297120494"/>
      <w:bookmarkStart w:id="290" w:name="_Toc296503194"/>
      <w:r>
        <w:rPr>
          <w:rFonts w:hint="eastAsia" w:ascii="仿宋" w:hAnsi="仿宋" w:eastAsia="仿宋" w:cs="仿宋"/>
          <w:color w:val="000000" w:themeColor="text1"/>
          <w:sz w:val="20"/>
          <w:szCs w:val="20"/>
          <w:highlight w:val="none"/>
          <w14:textFill>
            <w14:solidFill>
              <w14:schemeClr w14:val="tx1"/>
            </w14:solidFill>
          </w14:textFill>
        </w:rPr>
        <w:t>10.1变更的范围</w:t>
      </w:r>
    </w:p>
    <w:p w14:paraId="7ED954FD">
      <w:pPr>
        <w:keepNext w:val="0"/>
        <w:keepLines w:val="0"/>
        <w:pageBreakBefore w:val="0"/>
        <w:kinsoku/>
        <w:wordWrap/>
        <w:overflowPunct/>
        <w:topLinePunct w:val="0"/>
        <w:bidi w:val="0"/>
        <w:spacing w:line="324" w:lineRule="auto"/>
        <w:ind w:firstLine="6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关于变更的范围的约定</w:t>
      </w:r>
      <w:r>
        <w:rPr>
          <w:rFonts w:hint="eastAsia" w:ascii="仿宋" w:hAnsi="仿宋" w:eastAsia="仿宋" w:cs="仿宋"/>
          <w:color w:val="000000" w:themeColor="text1"/>
          <w:sz w:val="20"/>
          <w:szCs w:val="20"/>
          <w:highlight w:val="none"/>
          <w:u w:val="single"/>
          <w14:textFill>
            <w14:solidFill>
              <w14:schemeClr w14:val="tx1"/>
            </w14:solidFill>
          </w14:textFill>
        </w:rPr>
        <w:t>：除通用条款外，承包人在施工中提出的合理化建议</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涉及</w:t>
      </w:r>
      <w:r>
        <w:rPr>
          <w:rFonts w:hint="eastAsia" w:ascii="仿宋" w:hAnsi="仿宋" w:eastAsia="仿宋" w:cs="仿宋"/>
          <w:color w:val="000000" w:themeColor="text1"/>
          <w:sz w:val="20"/>
          <w:szCs w:val="20"/>
          <w:highlight w:val="none"/>
          <w:u w:val="single"/>
          <w14:textFill>
            <w14:solidFill>
              <w14:schemeClr w14:val="tx1"/>
            </w14:solidFill>
          </w14:textFill>
        </w:rPr>
        <w:t>对设计图纸或施工组织设计的更改及对材料、设备的换用，须经报发包人批准后以设计变更单的形式通知承包人实施，否则不作为工程设计变更对待。</w:t>
      </w:r>
    </w:p>
    <w:p w14:paraId="438BA916">
      <w:pPr>
        <w:keepNext w:val="0"/>
        <w:keepLines w:val="0"/>
        <w:pageBreakBefore w:val="0"/>
        <w:kinsoku/>
        <w:wordWrap/>
        <w:overflowPunct/>
        <w:topLinePunct w:val="0"/>
        <w:bidi w:val="0"/>
        <w:spacing w:line="324" w:lineRule="auto"/>
        <w:ind w:firstLine="6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任何变更的提出都应当依据合同或国家有关规范和标准提出。任何变更都必须取得发包人的确认。</w:t>
      </w:r>
    </w:p>
    <w:p w14:paraId="24101F6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 变更估价</w:t>
      </w:r>
    </w:p>
    <w:p w14:paraId="4EF815F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10.4.1 变更估价原则</w:t>
      </w:r>
    </w:p>
    <w:p w14:paraId="7A5366A9">
      <w:pPr>
        <w:keepNext w:val="0"/>
        <w:keepLines w:val="0"/>
        <w:pageBreakBefore w:val="0"/>
        <w:widowControl/>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关于变更估价的约定：</w:t>
      </w:r>
    </w:p>
    <w:p w14:paraId="6892DAA8">
      <w:pPr>
        <w:keepNext w:val="0"/>
        <w:keepLines w:val="0"/>
        <w:pageBreakBefore w:val="0"/>
        <w:widowControl/>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为避免不平衡报价，本项目同一类型的工程量清单投标报价应基本一致，若出现重大偏离，在施工过程中，发包人有权按照报价低的投标报价进行调整。</w:t>
      </w:r>
    </w:p>
    <w:p w14:paraId="16EF1383">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在本工程施工过程中，若发生设计变更，清单中工程量偏差，漏项及新增变更项目发生时，工程量以实际签证量为准，所发生的工程量按合同授予时双方确认的综合单价进行结算。</w:t>
      </w:r>
    </w:p>
    <w:p w14:paraId="3EA7C2EA">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3</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变更合同价款其对应的综合单价按下列方法进行调整：</w:t>
      </w:r>
    </w:p>
    <w:p w14:paraId="0AD2FCA3">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①合同中已有适用于变更工程的价格，按相应项目合同已确认的综合单价办理结算；</w:t>
      </w:r>
    </w:p>
    <w:p w14:paraId="0DE15B56">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38818C75">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③合同中没有适用或类似于工程变更的价格，按采购文件编制招标最高限价综合单价的原则组价，并按原中标价同原最高限价相比下浮相同比例确定结算单价，按确认的结算单价办理结算。</w:t>
      </w:r>
    </w:p>
    <w:p w14:paraId="29B11A18">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4</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新增工程量相应措施项目费按以下办法调整：除原合同承包价中所含已完工程及设备保护费、大型机械安拆及进出场费不变外，承包人原中标价以综合单价计算的措施项目按上述第</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条综合单价调整方法办理；承包人原中标价以系数计算的措施项目，按原中标系数计算。</w:t>
      </w:r>
    </w:p>
    <w:p w14:paraId="70DC879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发包人认可的变更项目的工程量以及新增工程量超过原工程量15％时，在经过发包人审核确认后，依据合同约定的支付原则按已完成工程量支付至该部分款项的60％，其余部分待工程竣工审计完成后支付。</w:t>
      </w:r>
    </w:p>
    <w:p w14:paraId="653A99F6">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Start w:id="291" w:name="_Toc296891237"/>
      <w:bookmarkStart w:id="292" w:name="_Toc296944536"/>
      <w:bookmarkStart w:id="293" w:name="_Toc296346698"/>
      <w:bookmarkStart w:id="294" w:name="_Toc296347196"/>
      <w:bookmarkStart w:id="295" w:name="_Toc297120497"/>
      <w:bookmarkStart w:id="296" w:name="_Toc296503197"/>
      <w:bookmarkStart w:id="297" w:name="_Toc292559907"/>
      <w:bookmarkStart w:id="298" w:name="_Toc300934993"/>
      <w:bookmarkStart w:id="299" w:name="_Toc292559402"/>
      <w:bookmarkStart w:id="300" w:name="_Toc303539150"/>
      <w:bookmarkStart w:id="301" w:name="_Toc297123544"/>
      <w:bookmarkStart w:id="302" w:name="_Toc297048383"/>
      <w:bookmarkStart w:id="303" w:name="_Toc297216203"/>
      <w:bookmarkStart w:id="304" w:name="_Toc296891025"/>
      <w:bookmarkStart w:id="305" w:name="_Toc312678029"/>
      <w:bookmarkStart w:id="306" w:name="_Toc304295570"/>
      <w:bookmarkStart w:id="307" w:name="_Toc312677503"/>
      <w:r>
        <w:rPr>
          <w:rFonts w:hint="eastAsia" w:ascii="仿宋" w:hAnsi="仿宋" w:eastAsia="仿宋" w:cs="仿宋"/>
          <w:color w:val="000000" w:themeColor="text1"/>
          <w:sz w:val="20"/>
          <w:szCs w:val="20"/>
          <w:highlight w:val="none"/>
          <w14:textFill>
            <w14:solidFill>
              <w14:schemeClr w14:val="tx1"/>
            </w14:solidFill>
          </w14:textFill>
        </w:rPr>
        <w:t>0.5承</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8" w:name="_Toc296346704"/>
      <w:bookmarkStart w:id="309" w:name="_Toc292559913"/>
      <w:bookmarkStart w:id="310" w:name="_Toc297123545"/>
      <w:bookmarkStart w:id="311" w:name="_Toc296944542"/>
      <w:bookmarkStart w:id="312" w:name="_Toc297048389"/>
      <w:bookmarkStart w:id="313" w:name="_Toc303539151"/>
      <w:bookmarkStart w:id="314" w:name="_Toc296891243"/>
      <w:bookmarkStart w:id="315" w:name="_Toc296891031"/>
      <w:bookmarkStart w:id="316" w:name="_Toc296347202"/>
      <w:bookmarkStart w:id="317" w:name="_Toc292559408"/>
      <w:bookmarkStart w:id="318" w:name="_Toc300934994"/>
      <w:bookmarkStart w:id="319" w:name="_Toc296503203"/>
      <w:bookmarkStart w:id="320" w:name="_Toc297120503"/>
      <w:bookmarkStart w:id="321" w:name="_Toc297216204"/>
      <w:r>
        <w:rPr>
          <w:rFonts w:hint="eastAsia" w:ascii="仿宋" w:hAnsi="仿宋" w:eastAsia="仿宋" w:cs="仿宋"/>
          <w:color w:val="000000" w:themeColor="text1"/>
          <w:sz w:val="20"/>
          <w:szCs w:val="20"/>
          <w:highlight w:val="none"/>
          <w14:textFill>
            <w14:solidFill>
              <w14:schemeClr w14:val="tx1"/>
            </w14:solidFill>
          </w14:textFill>
        </w:rPr>
        <w:t>包人的合理化建议</w:t>
      </w:r>
    </w:p>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14:paraId="5F6F7A57">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发包人审批承包人合理化建议的期限：</w:t>
      </w:r>
      <w:r>
        <w:rPr>
          <w:rFonts w:hint="eastAsia" w:ascii="仿宋" w:hAnsi="仿宋" w:eastAsia="仿宋" w:cs="仿宋"/>
          <w:color w:val="000000" w:themeColor="text1"/>
          <w:sz w:val="20"/>
          <w:szCs w:val="20"/>
          <w:highlight w:val="none"/>
          <w:u w:val="single"/>
          <w14:textFill>
            <w14:solidFill>
              <w14:schemeClr w14:val="tx1"/>
            </w14:solidFill>
          </w14:textFill>
        </w:rPr>
        <w:t>14天内审核完毕</w:t>
      </w:r>
      <w:r>
        <w:rPr>
          <w:rFonts w:hint="eastAsia" w:ascii="仿宋" w:hAnsi="仿宋" w:eastAsia="仿宋" w:cs="仿宋"/>
          <w:color w:val="000000" w:themeColor="text1"/>
          <w:sz w:val="20"/>
          <w:szCs w:val="20"/>
          <w:highlight w:val="none"/>
          <w14:textFill>
            <w14:solidFill>
              <w14:schemeClr w14:val="tx1"/>
            </w14:solidFill>
          </w14:textFill>
        </w:rPr>
        <w:t>。</w:t>
      </w:r>
    </w:p>
    <w:p w14:paraId="410E94B3">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承包人提出的合理化建议降低了合同价格或者提高了工程经济效益的奖励的方法和金额为：</w:t>
      </w:r>
      <w:r>
        <w:rPr>
          <w:rFonts w:hint="eastAsia" w:ascii="仿宋" w:hAnsi="仿宋" w:eastAsia="仿宋" w:cs="仿宋"/>
          <w:color w:val="000000" w:themeColor="text1"/>
          <w:sz w:val="20"/>
          <w:szCs w:val="20"/>
          <w:highlight w:val="none"/>
          <w:u w:val="single"/>
          <w14:textFill>
            <w14:solidFill>
              <w14:schemeClr w14:val="tx1"/>
            </w14:solidFill>
          </w14:textFill>
        </w:rPr>
        <w:t>无</w:t>
      </w:r>
      <w:r>
        <w:rPr>
          <w:rFonts w:hint="eastAsia" w:ascii="仿宋" w:hAnsi="仿宋" w:eastAsia="仿宋" w:cs="仿宋"/>
          <w:color w:val="000000" w:themeColor="text1"/>
          <w:sz w:val="20"/>
          <w:szCs w:val="20"/>
          <w:highlight w:val="none"/>
          <w14:textFill>
            <w14:solidFill>
              <w14:schemeClr w14:val="tx1"/>
            </w14:solidFill>
          </w14:textFill>
        </w:rPr>
        <w: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A9D9E6">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322" w:name="_Toc351203643"/>
      <w:bookmarkStart w:id="323" w:name="_Toc7"/>
      <w:bookmarkStart w:id="324" w:name="_Toc21393"/>
      <w:r>
        <w:rPr>
          <w:rFonts w:hint="eastAsia" w:ascii="仿宋" w:hAnsi="仿宋" w:eastAsia="仿宋" w:cs="仿宋"/>
          <w:b/>
          <w:color w:val="000000" w:themeColor="text1"/>
          <w:sz w:val="20"/>
          <w:szCs w:val="20"/>
          <w:highlight w:val="none"/>
          <w14:textFill>
            <w14:solidFill>
              <w14:schemeClr w14:val="tx1"/>
            </w14:solidFill>
          </w14:textFill>
        </w:rPr>
        <w:t>11.价格调整</w:t>
      </w:r>
      <w:bookmarkEnd w:id="322"/>
      <w:bookmarkEnd w:id="323"/>
      <w:bookmarkEnd w:id="324"/>
    </w:p>
    <w:bookmarkEnd w:id="33"/>
    <w:bookmarkEnd w:id="34"/>
    <w:bookmarkEnd w:id="35"/>
    <w:bookmarkEnd w:id="36"/>
    <w:bookmarkEnd w:id="37"/>
    <w:bookmarkEnd w:id="38"/>
    <w:p w14:paraId="1B7C392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325" w:name="_Toc296346702"/>
      <w:bookmarkStart w:id="326" w:name="_Toc292559911"/>
      <w:bookmarkStart w:id="327" w:name="_Toc303539157"/>
      <w:bookmarkStart w:id="328" w:name="_Toc296347200"/>
      <w:bookmarkStart w:id="329" w:name="_Toc292559406"/>
      <w:bookmarkStart w:id="330" w:name="_Toc296891241"/>
      <w:bookmarkStart w:id="331" w:name="_Toc296503201"/>
      <w:bookmarkStart w:id="332" w:name="_Toc297216209"/>
      <w:bookmarkStart w:id="333" w:name="_Toc297123550"/>
      <w:bookmarkStart w:id="334" w:name="_Toc296891029"/>
      <w:bookmarkStart w:id="335" w:name="_Toc304295577"/>
      <w:bookmarkStart w:id="336" w:name="_Toc296944540"/>
      <w:bookmarkStart w:id="337" w:name="_Toc297120501"/>
      <w:bookmarkStart w:id="338" w:name="_Toc297048387"/>
      <w:bookmarkStart w:id="339" w:name="_Toc300935000"/>
      <w:bookmarkStart w:id="340" w:name="_Toc312678039"/>
      <w:r>
        <w:rPr>
          <w:rFonts w:hint="eastAsia" w:ascii="仿宋" w:hAnsi="仿宋" w:eastAsia="仿宋" w:cs="仿宋"/>
          <w:color w:val="000000" w:themeColor="text1"/>
          <w:sz w:val="20"/>
          <w:szCs w:val="20"/>
          <w:highlight w:val="none"/>
          <w14:textFill>
            <w14:solidFill>
              <w14:schemeClr w14:val="tx1"/>
            </w14:solidFill>
          </w14:textFill>
        </w:rPr>
        <w:t>11.1市场价格波动引起的调整</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14:paraId="2B7FC6FA">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市场价格波动是否调整合同价格的约定：</w:t>
      </w:r>
      <w:r>
        <w:rPr>
          <w:rFonts w:hint="eastAsia" w:ascii="仿宋" w:hAnsi="仿宋" w:eastAsia="仿宋" w:cs="仿宋"/>
          <w:color w:val="000000" w:themeColor="text1"/>
          <w:sz w:val="20"/>
          <w:szCs w:val="20"/>
          <w:highlight w:val="none"/>
          <w:u w:val="single"/>
          <w14:textFill>
            <w14:solidFill>
              <w14:schemeClr w14:val="tx1"/>
            </w14:solidFill>
          </w14:textFill>
        </w:rPr>
        <w:t>不调整</w:t>
      </w:r>
      <w:r>
        <w:rPr>
          <w:rFonts w:hint="eastAsia" w:ascii="仿宋" w:hAnsi="仿宋" w:eastAsia="仿宋" w:cs="仿宋"/>
          <w:color w:val="000000" w:themeColor="text1"/>
          <w:sz w:val="20"/>
          <w:szCs w:val="20"/>
          <w:highlight w:val="none"/>
          <w14:textFill>
            <w14:solidFill>
              <w14:schemeClr w14:val="tx1"/>
            </w14:solidFill>
          </w14:textFill>
        </w:rPr>
        <w:t>。</w:t>
      </w:r>
    </w:p>
    <w:p w14:paraId="79B9116C">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341" w:name="_Toc21929"/>
      <w:bookmarkStart w:id="342" w:name="_Toc6148"/>
      <w:bookmarkStart w:id="343" w:name="_Toc296891247"/>
      <w:bookmarkStart w:id="344" w:name="_Toc296503207"/>
      <w:bookmarkStart w:id="345" w:name="_Toc292559412"/>
      <w:bookmarkStart w:id="346" w:name="_Toc297048393"/>
      <w:bookmarkStart w:id="347" w:name="_Toc296891035"/>
      <w:bookmarkStart w:id="348" w:name="_Toc297120507"/>
      <w:bookmarkStart w:id="349" w:name="_Toc296944546"/>
      <w:bookmarkStart w:id="350" w:name="_Toc296347206"/>
      <w:bookmarkStart w:id="351" w:name="_Toc292559917"/>
      <w:bookmarkStart w:id="352" w:name="_Toc296346708"/>
      <w:r>
        <w:rPr>
          <w:rFonts w:hint="eastAsia" w:ascii="仿宋" w:hAnsi="仿宋" w:eastAsia="仿宋" w:cs="仿宋"/>
          <w:b/>
          <w:color w:val="000000" w:themeColor="text1"/>
          <w:sz w:val="20"/>
          <w:szCs w:val="20"/>
          <w:highlight w:val="none"/>
          <w14:textFill>
            <w14:solidFill>
              <w14:schemeClr w14:val="tx1"/>
            </w14:solidFill>
          </w14:textFill>
        </w:rPr>
        <w:t>12.合同价格、计量与支付</w:t>
      </w:r>
      <w:bookmarkEnd w:id="341"/>
      <w:bookmarkEnd w:id="342"/>
    </w:p>
    <w:p w14:paraId="6751B430">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353" w:name="_Toc267251461"/>
      <w:bookmarkStart w:id="354" w:name="_Toc292559916"/>
      <w:bookmarkStart w:id="355" w:name="_Toc292559411"/>
      <w:bookmarkStart w:id="356" w:name="_Toc296346707"/>
      <w:bookmarkStart w:id="357" w:name="_Toc296503206"/>
      <w:bookmarkStart w:id="358" w:name="_Toc296944545"/>
      <w:bookmarkStart w:id="359" w:name="_Toc297048392"/>
      <w:bookmarkStart w:id="360" w:name="_Toc297120506"/>
      <w:bookmarkStart w:id="361" w:name="_Toc296891034"/>
      <w:bookmarkStart w:id="362" w:name="_Toc296347205"/>
      <w:bookmarkStart w:id="363" w:name="_Toc296891246"/>
      <w:r>
        <w:rPr>
          <w:rFonts w:hint="eastAsia" w:ascii="仿宋" w:hAnsi="仿宋" w:eastAsia="仿宋" w:cs="仿宋"/>
          <w:color w:val="000000" w:themeColor="text1"/>
          <w:sz w:val="20"/>
          <w:szCs w:val="20"/>
          <w:highlight w:val="none"/>
          <w14:textFill>
            <w14:solidFill>
              <w14:schemeClr w14:val="tx1"/>
            </w14:solidFill>
          </w14:textFill>
        </w:rPr>
        <w:t>12.1 合</w:t>
      </w:r>
      <w:bookmarkEnd w:id="353"/>
      <w:bookmarkEnd w:id="354"/>
      <w:bookmarkEnd w:id="355"/>
      <w:r>
        <w:rPr>
          <w:rFonts w:hint="eastAsia" w:ascii="仿宋" w:hAnsi="仿宋" w:eastAsia="仿宋" w:cs="仿宋"/>
          <w:color w:val="000000" w:themeColor="text1"/>
          <w:sz w:val="20"/>
          <w:szCs w:val="20"/>
          <w:highlight w:val="none"/>
          <w14:textFill>
            <w14:solidFill>
              <w14:schemeClr w14:val="tx1"/>
            </w14:solidFill>
          </w14:textFill>
        </w:rPr>
        <w:t>同价</w:t>
      </w:r>
      <w:bookmarkEnd w:id="356"/>
      <w:bookmarkEnd w:id="357"/>
      <w:bookmarkEnd w:id="358"/>
      <w:bookmarkEnd w:id="359"/>
      <w:bookmarkEnd w:id="360"/>
      <w:bookmarkEnd w:id="361"/>
      <w:bookmarkEnd w:id="362"/>
      <w:bookmarkEnd w:id="363"/>
      <w:r>
        <w:rPr>
          <w:rFonts w:hint="eastAsia" w:ascii="仿宋" w:hAnsi="仿宋" w:eastAsia="仿宋" w:cs="仿宋"/>
          <w:color w:val="000000" w:themeColor="text1"/>
          <w:sz w:val="20"/>
          <w:szCs w:val="20"/>
          <w:highlight w:val="none"/>
          <w14:textFill>
            <w14:solidFill>
              <w14:schemeClr w14:val="tx1"/>
            </w14:solidFill>
          </w14:textFill>
        </w:rPr>
        <w:t>格形式</w:t>
      </w:r>
    </w:p>
    <w:p w14:paraId="0FFE167B">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12.1.1单价合同。</w:t>
      </w:r>
    </w:p>
    <w:p w14:paraId="7CBDABD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综合单价包含的风险范围：</w:t>
      </w:r>
      <w:r>
        <w:rPr>
          <w:rFonts w:hint="eastAsia" w:ascii="仿宋" w:hAnsi="仿宋" w:eastAsia="仿宋" w:cs="仿宋"/>
          <w:color w:val="000000" w:themeColor="text1"/>
          <w:sz w:val="20"/>
          <w:szCs w:val="20"/>
          <w:highlight w:val="none"/>
          <w:u w:val="single"/>
          <w14:textFill>
            <w14:solidFill>
              <w14:schemeClr w14:val="tx1"/>
            </w14:solidFill>
          </w14:textFill>
        </w:rPr>
        <w:t>1、人工费、材料费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除暂定价</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4F6F409D">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风险费用的计算方法：</w:t>
      </w:r>
      <w:r>
        <w:rPr>
          <w:rFonts w:hint="eastAsia" w:ascii="仿宋" w:hAnsi="仿宋" w:eastAsia="仿宋" w:cs="仿宋"/>
          <w:color w:val="000000" w:themeColor="text1"/>
          <w:sz w:val="20"/>
          <w:szCs w:val="20"/>
          <w:highlight w:val="none"/>
          <w:u w:val="single"/>
          <w14:textFill>
            <w14:solidFill>
              <w14:schemeClr w14:val="tx1"/>
            </w14:solidFill>
          </w14:textFill>
        </w:rPr>
        <w:t>应由承包人承担的风险费用已由承包人根据自身经验</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做</w:t>
      </w:r>
      <w:r>
        <w:rPr>
          <w:rFonts w:hint="eastAsia" w:ascii="仿宋" w:hAnsi="仿宋" w:eastAsia="仿宋" w:cs="仿宋"/>
          <w:color w:val="000000" w:themeColor="text1"/>
          <w:sz w:val="20"/>
          <w:szCs w:val="20"/>
          <w:highlight w:val="none"/>
          <w:u w:val="single"/>
          <w14:textFill>
            <w14:solidFill>
              <w14:schemeClr w14:val="tx1"/>
            </w14:solidFill>
          </w14:textFill>
        </w:rPr>
        <w:t>了充分估计并已计入合同协议确定的合同价款中，风险费用未单独计列的，应认为已经包含在合同价款中。</w:t>
      </w:r>
    </w:p>
    <w:p w14:paraId="6264B59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风险范围以外合同价格的调整方法：</w:t>
      </w:r>
      <w:r>
        <w:rPr>
          <w:rFonts w:hint="eastAsia" w:ascii="仿宋" w:hAnsi="仿宋" w:eastAsia="仿宋" w:cs="仿宋"/>
          <w:color w:val="000000" w:themeColor="text1"/>
          <w:sz w:val="20"/>
          <w:szCs w:val="20"/>
          <w:highlight w:val="none"/>
          <w:u w:val="single"/>
          <w14:textFill>
            <w14:solidFill>
              <w14:schemeClr w14:val="tx1"/>
            </w14:solidFill>
          </w14:textFill>
        </w:rPr>
        <w:t>1、暂定价材料按实际购买价与暂定价的差价据实调整； 2、本合同实施期间因采购文件分部分项工程量清单漏项或工程量偏差、设计变更及相关签证等非承包人原因引起工程项目、工程量变化，其工程量按实际发生并经发包人签证认可，变更合同价款按下列方法进行：</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a</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清单或合同中已有适用于新工程量清单项目的价格，按已有价格变更合同价款；</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b</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清单或合同中只有类似</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施工工艺相同</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于新工程量清单项目的价格，可以参照类似价格变更合同价款；</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c</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清单或合同中没有类似于新工程量清单项目的价格，由承包人按招标最高限价计算办法计算的价格乘以中标价与最高限价的比率进行计价</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其中主要材料由发包人认质认价</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，并报发包人审核，经承、发包双方确认后执行。</w:t>
      </w:r>
    </w:p>
    <w:p w14:paraId="5B64E1E2">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12.1.2合同价款调整：</w:t>
      </w:r>
    </w:p>
    <w:p w14:paraId="7B8DA6D6">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双方约定合同价款的其他调整因素：以按中标条件签订的施工合同为依据进行结算。</w:t>
      </w:r>
    </w:p>
    <w:p w14:paraId="32FFEB43">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在本工程施工过程中，若发生设计变更，以签证为依据，招标人审核为准，价款调整办法参照12.1.1条，中标报价中明显不合理的综合单价双方协商调整，由发包人重新审定后作为结算依据。</w:t>
      </w:r>
    </w:p>
    <w:p w14:paraId="675730F3">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本工程量按实结算。当实际验收的工程数量与招标所发清单工程数量有偏差时，超出合同约定范围部分按实调整价款，工程量偏差在1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0</w:t>
      </w:r>
      <w:r>
        <w:rPr>
          <w:rFonts w:hint="eastAsia" w:ascii="仿宋" w:hAnsi="仿宋" w:eastAsia="仿宋" w:cs="仿宋"/>
          <w:color w:val="000000" w:themeColor="text1"/>
          <w:sz w:val="20"/>
          <w:szCs w:val="20"/>
          <w:highlight w:val="none"/>
          <w:u w:val="single"/>
          <w14:textFill>
            <w14:solidFill>
              <w14:schemeClr w14:val="tx1"/>
            </w14:solidFill>
          </w14:textFill>
        </w:rPr>
        <w:t>%以内时</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含1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0</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综合单价不变，超过1</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0</w:t>
      </w:r>
      <w:r>
        <w:rPr>
          <w:rFonts w:hint="eastAsia" w:ascii="仿宋" w:hAnsi="仿宋" w:eastAsia="仿宋" w:cs="仿宋"/>
          <w:color w:val="000000" w:themeColor="text1"/>
          <w:sz w:val="20"/>
          <w:szCs w:val="20"/>
          <w:highlight w:val="none"/>
          <w:u w:val="single"/>
          <w14:textFill>
            <w14:solidFill>
              <w14:schemeClr w14:val="tx1"/>
            </w14:solidFill>
          </w14:textFill>
        </w:rPr>
        <w:t>%以外的量偏差综合单价双方协商，其综合单价由承包人提出、发包人确认。</w:t>
      </w:r>
    </w:p>
    <w:p w14:paraId="0F9CBC17">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4</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措施项目费用的调整：措施项目费一般不作调整，当出现如下情况时可</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做</w:t>
      </w:r>
      <w:r>
        <w:rPr>
          <w:rFonts w:hint="eastAsia" w:ascii="仿宋" w:hAnsi="仿宋" w:eastAsia="仿宋" w:cs="仿宋"/>
          <w:color w:val="000000" w:themeColor="text1"/>
          <w:sz w:val="20"/>
          <w:szCs w:val="20"/>
          <w:highlight w:val="none"/>
          <w:u w:val="single"/>
          <w14:textFill>
            <w14:solidFill>
              <w14:schemeClr w14:val="tx1"/>
            </w14:solidFill>
          </w14:textFill>
        </w:rPr>
        <w:t>调整。</w:t>
      </w:r>
    </w:p>
    <w:p w14:paraId="24981A64">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发包人更改已审定的施工方案</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修正错误除外</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，引起措施项目费增加时予以增加，减少时不予减少；</w:t>
      </w:r>
    </w:p>
    <w:p w14:paraId="019EEA2A">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由于工程量变化引起措施项目费用增加时予以增加，减少时予以减少；</w:t>
      </w:r>
    </w:p>
    <w:p w14:paraId="6EA44714">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3</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措施项目费调整方法为承包人原中标价以综合单价计算的措施项目按本章中的12.1.1原则办理；承包人原中标价以系数计算的措施项目，按原中标系数计算。</w:t>
      </w:r>
    </w:p>
    <w:p w14:paraId="00013F51">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因不可抗力事件导致的费用，发、承包双方按以下原则分别承担并调整工程价款。</w:t>
      </w:r>
    </w:p>
    <w:p w14:paraId="7671E099">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发、承包人人员伤亡由所在单位负责并承担费用；</w:t>
      </w:r>
    </w:p>
    <w:p w14:paraId="03563EDF">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工程所需清理、修复费用，由发包人承担；</w:t>
      </w:r>
    </w:p>
    <w:p w14:paraId="16CF1723">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3</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承包人的施工机械设备损害及停工损失，由承包人承担。</w:t>
      </w:r>
    </w:p>
    <w:p w14:paraId="566779AC">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6</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材料市场价格波动引起的价款调整：不予调整。</w:t>
      </w:r>
    </w:p>
    <w:p w14:paraId="4F7FA57B">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7</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暂定价的材料由发包人认质认价，差额以差价形式调整总价，暂定单价的材料或设备由发、承包人协商确认实际单价，实际单价与暂定价的差额以差价形式调整总价。 </w:t>
      </w:r>
    </w:p>
    <w:p w14:paraId="4707049E">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8</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人工费根据政府部门公布的最新文件进行调整，调整办法：最新文件工日单价与最高限价编制工日单价进行调差计入</w:t>
      </w:r>
    </w:p>
    <w:p w14:paraId="0A5CD0CB">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人工费调整：根据政府部门公布的最新文件进行调整，调整办法：最新文件工日单价与最高限价编制工日单价进行调差计入。</w:t>
      </w:r>
    </w:p>
    <w:p w14:paraId="414D097A">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9</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)其他</w:t>
      </w:r>
      <w:r>
        <w:rPr>
          <w:rFonts w:hint="eastAsia" w:ascii="仿宋" w:hAnsi="仿宋" w:eastAsia="仿宋" w:cs="仿宋"/>
          <w:color w:val="000000" w:themeColor="text1"/>
          <w:sz w:val="20"/>
          <w:szCs w:val="20"/>
          <w:highlight w:val="none"/>
          <w:u w:val="single"/>
          <w14:textFill>
            <w14:solidFill>
              <w14:schemeClr w14:val="tx1"/>
            </w14:solidFill>
          </w14:textFill>
        </w:rPr>
        <w:t>项目费用以现场签证的事项和金额结算。</w:t>
      </w:r>
    </w:p>
    <w:p w14:paraId="6A305CBF">
      <w:pPr>
        <w:keepNext w:val="0"/>
        <w:keepLines w:val="0"/>
        <w:pageBreakBefore w:val="0"/>
        <w:kinsoku/>
        <w:wordWrap/>
        <w:overflowPunct/>
        <w:topLinePunct w:val="0"/>
        <w:bidi w:val="0"/>
        <w:spacing w:line="324" w:lineRule="auto"/>
        <w:ind w:firstLine="384" w:firstLineChars="192"/>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10</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工程结算价＝合同价±工程量清单数量变更价款±设计变更价款±现场签证±差价。</w:t>
      </w:r>
    </w:p>
    <w:p w14:paraId="232E501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12.2预付款</w:t>
      </w:r>
    </w:p>
    <w:bookmarkEnd w:id="343"/>
    <w:bookmarkEnd w:id="344"/>
    <w:bookmarkEnd w:id="345"/>
    <w:bookmarkEnd w:id="346"/>
    <w:bookmarkEnd w:id="347"/>
    <w:bookmarkEnd w:id="348"/>
    <w:bookmarkEnd w:id="349"/>
    <w:bookmarkEnd w:id="350"/>
    <w:bookmarkEnd w:id="351"/>
    <w:bookmarkEnd w:id="352"/>
    <w:p w14:paraId="6D6A0727">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12.2.1预付款的支付</w:t>
      </w:r>
    </w:p>
    <w:p w14:paraId="7CE0CB0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预付款支付比例或金额：</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40% </w:t>
      </w:r>
      <w:r>
        <w:rPr>
          <w:rFonts w:hint="eastAsia" w:ascii="仿宋" w:hAnsi="仿宋" w:eastAsia="仿宋" w:cs="仿宋"/>
          <w:color w:val="000000" w:themeColor="text1"/>
          <w:sz w:val="20"/>
          <w:szCs w:val="20"/>
          <w:highlight w:val="none"/>
          <w14:textFill>
            <w14:solidFill>
              <w14:schemeClr w14:val="tx1"/>
            </w14:solidFill>
          </w14:textFill>
        </w:rPr>
        <w:t>。</w:t>
      </w:r>
    </w:p>
    <w:p w14:paraId="28AE14D1">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预付款支付期限：</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10个工作日内 </w:t>
      </w:r>
      <w:r>
        <w:rPr>
          <w:rFonts w:hint="eastAsia" w:ascii="仿宋" w:hAnsi="仿宋" w:eastAsia="仿宋" w:cs="仿宋"/>
          <w:color w:val="000000" w:themeColor="text1"/>
          <w:sz w:val="20"/>
          <w:szCs w:val="20"/>
          <w:highlight w:val="none"/>
          <w14:textFill>
            <w14:solidFill>
              <w14:schemeClr w14:val="tx1"/>
            </w14:solidFill>
          </w14:textFill>
        </w:rPr>
        <w:t>。</w:t>
      </w:r>
    </w:p>
    <w:p w14:paraId="21616F52">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预付款扣回的方式：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30A445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12.2.2预付款担保</w:t>
      </w:r>
    </w:p>
    <w:p w14:paraId="7E0855AE">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承包人提交预付款担保的期限及比例：</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913BB2C">
      <w:pPr>
        <w:keepNext w:val="0"/>
        <w:keepLines w:val="0"/>
        <w:pageBreakBefore w:val="0"/>
        <w:tabs>
          <w:tab w:val="left" w:pos="3686"/>
        </w:tabs>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担保时效：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CC73BF6">
      <w:pPr>
        <w:keepNext w:val="0"/>
        <w:keepLines w:val="0"/>
        <w:pageBreakBefore w:val="0"/>
        <w:tabs>
          <w:tab w:val="left" w:pos="3686"/>
        </w:tabs>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预付款担保的形式为：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80B501D">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12.3计量</w:t>
      </w:r>
    </w:p>
    <w:p w14:paraId="2052E73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12.3.1计量原则</w:t>
      </w:r>
      <w:r>
        <w:rPr>
          <w:rFonts w:hint="eastAsia" w:ascii="仿宋" w:hAnsi="仿宋" w:eastAsia="仿宋" w:cs="仿宋"/>
          <w:color w:val="000000" w:themeColor="text1"/>
          <w:sz w:val="20"/>
          <w:szCs w:val="20"/>
          <w:highlight w:val="none"/>
          <w:u w:val="single"/>
          <w14:textFill>
            <w14:solidFill>
              <w14:schemeClr w14:val="tx1"/>
            </w14:solidFill>
          </w14:textFill>
        </w:rPr>
        <w:t>《陕西省建设工程费用规则(2025)》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《陕西省市政工程基价表(2025)》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《陕西省园林绿化工程基价表(2025)》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《陕西省房屋建筑与装饰工程基价表(2025)》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《陕西省通用安装工程基价表(2025)》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人工费按照《陕西省建设工程费用规则(2025)》规定执行</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陕西省住房和城乡建设厅关于印发2025陕西省建设工程费用规则等计价依据的通知》陕建管发[2025]10号文、依据工程常规施工方案、国家相关标准及规范技术文件。</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77022E9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364" w:name="_Toc297216215"/>
      <w:bookmarkStart w:id="365" w:name="_Toc296503211"/>
      <w:bookmarkStart w:id="366" w:name="_Toc300935006"/>
      <w:bookmarkStart w:id="367" w:name="_Toc296891251"/>
      <w:bookmarkStart w:id="368" w:name="_Toc296891039"/>
      <w:bookmarkStart w:id="369" w:name="_Toc303539163"/>
      <w:bookmarkStart w:id="370" w:name="_Toc297123556"/>
      <w:bookmarkStart w:id="371" w:name="_Toc296347210"/>
      <w:bookmarkStart w:id="372" w:name="_Toc296346712"/>
      <w:bookmarkStart w:id="373" w:name="_Toc292559921"/>
      <w:bookmarkStart w:id="374" w:name="_Toc296944550"/>
      <w:bookmarkStart w:id="375" w:name="_Toc297048397"/>
      <w:bookmarkStart w:id="376" w:name="_Toc297120511"/>
      <w:bookmarkStart w:id="377" w:name="_Toc292559416"/>
      <w:bookmarkStart w:id="378" w:name="_Toc351203648"/>
      <w:bookmarkStart w:id="379" w:name="_Toc280868717"/>
      <w:bookmarkStart w:id="380" w:name="_Toc267251491"/>
      <w:bookmarkStart w:id="381" w:name="_Toc267251494"/>
      <w:bookmarkStart w:id="382" w:name="_Toc267251496"/>
      <w:bookmarkStart w:id="383" w:name="_Toc267251498"/>
      <w:bookmarkStart w:id="384" w:name="_Toc280868718"/>
      <w:bookmarkStart w:id="385" w:name="_Toc267251503"/>
      <w:bookmarkStart w:id="386" w:name="_Toc267251492"/>
      <w:bookmarkStart w:id="387" w:name="_Toc267251501"/>
      <w:bookmarkStart w:id="388" w:name="_Toc267251493"/>
      <w:bookmarkStart w:id="389" w:name="_Toc267251495"/>
      <w:bookmarkStart w:id="390" w:name="_Toc267251502"/>
      <w:bookmarkStart w:id="391" w:name="_Toc267251499"/>
      <w:bookmarkStart w:id="392" w:name="_Toc267251497"/>
      <w:bookmarkStart w:id="393" w:name="_Toc267251504"/>
      <w:bookmarkStart w:id="394" w:name="_Toc267251507"/>
      <w:bookmarkStart w:id="395" w:name="_Toc267251506"/>
      <w:bookmarkStart w:id="396" w:name="_Toc267251508"/>
      <w:bookmarkStart w:id="397" w:name="_Toc267251513"/>
      <w:bookmarkStart w:id="398" w:name="_Toc267251511"/>
      <w:bookmarkStart w:id="399" w:name="_Toc267251509"/>
      <w:bookmarkStart w:id="400" w:name="_Toc267251515"/>
      <w:bookmarkStart w:id="401" w:name="_Toc267251510"/>
      <w:bookmarkStart w:id="402" w:name="_Toc267251514"/>
      <w:r>
        <w:rPr>
          <w:rFonts w:hint="eastAsia" w:ascii="仿宋" w:hAnsi="仿宋" w:eastAsia="仿宋" w:cs="仿宋"/>
          <w:color w:val="000000" w:themeColor="text1"/>
          <w:sz w:val="20"/>
          <w:szCs w:val="20"/>
          <w:highlight w:val="none"/>
          <w14:textFill>
            <w14:solidFill>
              <w14:schemeClr w14:val="tx1"/>
            </w14:solidFill>
          </w14:textFill>
        </w:rPr>
        <w:t>12.3.2 计量周期</w:t>
      </w:r>
    </w:p>
    <w:p w14:paraId="163A420B">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关于计量周期的约定：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按周计量  </w:t>
      </w:r>
      <w:r>
        <w:rPr>
          <w:rFonts w:hint="eastAsia" w:ascii="仿宋" w:hAnsi="仿宋" w:eastAsia="仿宋" w:cs="仿宋"/>
          <w:color w:val="000000" w:themeColor="text1"/>
          <w:sz w:val="20"/>
          <w:szCs w:val="20"/>
          <w:highlight w:val="none"/>
          <w14:textFill>
            <w14:solidFill>
              <w14:schemeClr w14:val="tx1"/>
            </w14:solidFill>
          </w14:textFill>
        </w:rPr>
        <w:t>。</w:t>
      </w:r>
    </w:p>
    <w:p w14:paraId="048939E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12.3.3 单价合同的计量</w:t>
      </w:r>
    </w:p>
    <w:p w14:paraId="4E85AEE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关于单价合同计量的约定：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执行通用条款 </w:t>
      </w:r>
      <w:r>
        <w:rPr>
          <w:rFonts w:hint="eastAsia" w:ascii="仿宋" w:hAnsi="仿宋" w:eastAsia="仿宋" w:cs="仿宋"/>
          <w:color w:val="000000" w:themeColor="text1"/>
          <w:sz w:val="20"/>
          <w:szCs w:val="20"/>
          <w:highlight w:val="none"/>
          <w14:textFill>
            <w14:solidFill>
              <w14:schemeClr w14:val="tx1"/>
            </w14:solidFill>
          </w14:textFill>
        </w:rPr>
        <w:t>。</w:t>
      </w:r>
    </w:p>
    <w:p w14:paraId="23ED6DA1">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12.4工程进度款支付</w:t>
      </w:r>
    </w:p>
    <w:p w14:paraId="70C7007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12.4.1付款周期</w:t>
      </w:r>
    </w:p>
    <w:p w14:paraId="15A18B4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关于付款周期的约定：</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Start w:id="403" w:name="_Toc24998"/>
      <w:bookmarkStart w:id="404" w:name="_Toc24653"/>
    </w:p>
    <w:p w14:paraId="1CAD002E">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合同签约生效后，承包人开始施工，10</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个工作</w:t>
      </w:r>
      <w:r>
        <w:rPr>
          <w:rFonts w:hint="eastAsia" w:ascii="仿宋" w:hAnsi="仿宋" w:eastAsia="仿宋" w:cs="仿宋"/>
          <w:color w:val="000000" w:themeColor="text1"/>
          <w:sz w:val="20"/>
          <w:szCs w:val="20"/>
          <w:highlight w:val="none"/>
          <w:u w:val="single"/>
          <w14:textFill>
            <w14:solidFill>
              <w14:schemeClr w14:val="tx1"/>
            </w14:solidFill>
          </w14:textFill>
        </w:rPr>
        <w:t>日内发包人支付合同总价款的</w:t>
      </w:r>
      <w:r>
        <w:rPr>
          <w:rFonts w:hint="eastAsia" w:ascii="仿宋" w:hAnsi="仿宋" w:eastAsia="仿宋" w:cs="仿宋"/>
          <w:b/>
          <w:color w:val="000000" w:themeColor="text1"/>
          <w:sz w:val="20"/>
          <w:szCs w:val="20"/>
          <w:highlight w:val="none"/>
          <w:u w:val="single"/>
          <w14:textFill>
            <w14:solidFill>
              <w14:schemeClr w14:val="tx1"/>
            </w14:solidFill>
          </w14:textFill>
        </w:rPr>
        <w:t>40%</w:t>
      </w:r>
      <w:r>
        <w:rPr>
          <w:rFonts w:hint="eastAsia" w:ascii="仿宋" w:hAnsi="仿宋" w:eastAsia="仿宋" w:cs="仿宋"/>
          <w:color w:val="000000" w:themeColor="text1"/>
          <w:sz w:val="20"/>
          <w:szCs w:val="20"/>
          <w:highlight w:val="none"/>
          <w:u w:val="single"/>
          <w14:textFill>
            <w14:solidFill>
              <w14:schemeClr w14:val="tx1"/>
            </w14:solidFill>
          </w14:textFill>
        </w:rPr>
        <w:t>工程预付款；</w:t>
      </w:r>
    </w:p>
    <w:p w14:paraId="6816074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工程竣工验收合格10</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个工作</w:t>
      </w:r>
      <w:r>
        <w:rPr>
          <w:rFonts w:hint="eastAsia" w:ascii="仿宋" w:hAnsi="仿宋" w:eastAsia="仿宋" w:cs="仿宋"/>
          <w:color w:val="000000" w:themeColor="text1"/>
          <w:sz w:val="20"/>
          <w:szCs w:val="20"/>
          <w:highlight w:val="none"/>
          <w:u w:val="single"/>
          <w14:textFill>
            <w14:solidFill>
              <w14:schemeClr w14:val="tx1"/>
            </w14:solidFill>
          </w14:textFill>
        </w:rPr>
        <w:t>日内发包人支付合同总价款的</w:t>
      </w:r>
      <w:r>
        <w:rPr>
          <w:rFonts w:hint="eastAsia" w:ascii="仿宋" w:hAnsi="仿宋" w:eastAsia="仿宋" w:cs="仿宋"/>
          <w:b/>
          <w:color w:val="000000" w:themeColor="text1"/>
          <w:sz w:val="20"/>
          <w:szCs w:val="20"/>
          <w:highlight w:val="none"/>
          <w:u w:val="single"/>
          <w14:textFill>
            <w14:solidFill>
              <w14:schemeClr w14:val="tx1"/>
            </w14:solidFill>
          </w14:textFill>
        </w:rPr>
        <w:t>40</w:t>
      </w:r>
      <w:r>
        <w:rPr>
          <w:rFonts w:hint="eastAsia" w:ascii="仿宋" w:hAnsi="仿宋" w:eastAsia="仿宋" w:cs="仿宋"/>
          <w:color w:val="000000" w:themeColor="text1"/>
          <w:sz w:val="20"/>
          <w:szCs w:val="20"/>
          <w:highlight w:val="none"/>
          <w:u w:val="single"/>
          <w14:textFill>
            <w14:solidFill>
              <w14:schemeClr w14:val="tx1"/>
            </w14:solidFill>
          </w14:textFill>
        </w:rPr>
        <w:t>%；</w:t>
      </w:r>
    </w:p>
    <w:p w14:paraId="2C41A7F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3</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竣工结算审计完成，10</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个工作</w:t>
      </w:r>
      <w:r>
        <w:rPr>
          <w:rFonts w:hint="eastAsia" w:ascii="仿宋" w:hAnsi="仿宋" w:eastAsia="仿宋" w:cs="仿宋"/>
          <w:color w:val="000000" w:themeColor="text1"/>
          <w:sz w:val="20"/>
          <w:szCs w:val="20"/>
          <w:highlight w:val="none"/>
          <w:u w:val="single"/>
          <w14:textFill>
            <w14:solidFill>
              <w14:schemeClr w14:val="tx1"/>
            </w14:solidFill>
          </w14:textFill>
        </w:rPr>
        <w:t>日内付至审定的结算</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工程</w:t>
      </w:r>
      <w:r>
        <w:rPr>
          <w:rFonts w:hint="eastAsia" w:ascii="仿宋" w:hAnsi="仿宋" w:eastAsia="仿宋" w:cs="仿宋"/>
          <w:color w:val="000000" w:themeColor="text1"/>
          <w:sz w:val="20"/>
          <w:szCs w:val="20"/>
          <w:highlight w:val="none"/>
          <w:u w:val="single"/>
          <w14:textFill>
            <w14:solidFill>
              <w14:schemeClr w14:val="tx1"/>
            </w14:solidFill>
          </w14:textFill>
        </w:rPr>
        <w:t>总价款剩余的</w:t>
      </w:r>
      <w:r>
        <w:rPr>
          <w:rFonts w:hint="eastAsia" w:ascii="仿宋" w:hAnsi="仿宋" w:eastAsia="仿宋" w:cs="仿宋"/>
          <w:b/>
          <w:color w:val="000000" w:themeColor="text1"/>
          <w:sz w:val="20"/>
          <w:szCs w:val="20"/>
          <w:highlight w:val="none"/>
          <w:u w:val="single"/>
          <w14:textFill>
            <w14:solidFill>
              <w14:schemeClr w14:val="tx1"/>
            </w14:solidFill>
          </w14:textFill>
        </w:rPr>
        <w:t>20</w:t>
      </w:r>
      <w:r>
        <w:rPr>
          <w:rFonts w:hint="eastAsia" w:ascii="仿宋" w:hAnsi="仿宋" w:eastAsia="仿宋" w:cs="仿宋"/>
          <w:color w:val="000000" w:themeColor="text1"/>
          <w:sz w:val="20"/>
          <w:szCs w:val="20"/>
          <w:highlight w:val="none"/>
          <w:u w:val="single"/>
          <w14:textFill>
            <w14:solidFill>
              <w14:schemeClr w14:val="tx1"/>
            </w14:solidFill>
          </w14:textFill>
        </w:rPr>
        <w:t>%；</w:t>
      </w:r>
    </w:p>
    <w:p w14:paraId="304D56CD">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4</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每次拨付款额时，如有发包人代缴的有关费用</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如水、电费等</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时，应予以扣除。</w:t>
      </w:r>
    </w:p>
    <w:p w14:paraId="2079DF7D">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3C7CF2A2">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6</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发包人所有的付款均需审批，本合同履行期间，非因发包人故意拖延付款申请流程造成的逾期付款的，承包人对此予以谅解不</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予以</w:t>
      </w:r>
      <w:r>
        <w:rPr>
          <w:rFonts w:hint="eastAsia" w:ascii="仿宋" w:hAnsi="仿宋" w:eastAsia="仿宋" w:cs="仿宋"/>
          <w:color w:val="000000" w:themeColor="text1"/>
          <w:sz w:val="20"/>
          <w:szCs w:val="20"/>
          <w:highlight w:val="none"/>
          <w:u w:val="single"/>
          <w14:textFill>
            <w14:solidFill>
              <w14:schemeClr w14:val="tx1"/>
            </w14:solidFill>
          </w14:textFill>
        </w:rPr>
        <w:t>追究发包人的逾期付款责任。</w:t>
      </w:r>
    </w:p>
    <w:p w14:paraId="4AE0AA6F">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13.验收和工程试车</w:t>
      </w:r>
      <w:bookmarkEnd w:id="403"/>
      <w:bookmarkEnd w:id="404"/>
    </w:p>
    <w:p w14:paraId="4C0E352A">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05" w:name="_Toc297123565"/>
      <w:bookmarkStart w:id="406" w:name="_Toc296346724"/>
      <w:bookmarkStart w:id="407" w:name="_Toc297120523"/>
      <w:bookmarkStart w:id="408" w:name="_Toc296944562"/>
      <w:bookmarkStart w:id="409" w:name="_Toc292559428"/>
      <w:bookmarkStart w:id="410" w:name="_Toc296503223"/>
      <w:bookmarkStart w:id="411" w:name="_Toc297048409"/>
      <w:bookmarkStart w:id="412" w:name="_Toc296347222"/>
      <w:bookmarkStart w:id="413" w:name="_Toc292559933"/>
      <w:bookmarkStart w:id="414" w:name="_Toc312678056"/>
      <w:bookmarkStart w:id="415" w:name="_Toc296891051"/>
      <w:bookmarkStart w:id="416" w:name="_Toc300935016"/>
      <w:bookmarkStart w:id="417" w:name="_Toc296891263"/>
      <w:bookmarkStart w:id="418" w:name="_Toc304295596"/>
      <w:bookmarkStart w:id="419" w:name="_Toc303539173"/>
      <w:bookmarkStart w:id="420" w:name="_Toc297216224"/>
      <w:bookmarkStart w:id="421" w:name="_Toc267251473"/>
      <w:bookmarkStart w:id="422" w:name="_Toc267251472"/>
      <w:bookmarkStart w:id="423" w:name="_Toc267251470"/>
      <w:bookmarkStart w:id="424" w:name="_Toc267251476"/>
      <w:bookmarkStart w:id="425" w:name="_Toc267251475"/>
      <w:bookmarkStart w:id="426" w:name="_Toc267251471"/>
      <w:bookmarkStart w:id="427" w:name="_Toc267251474"/>
      <w:r>
        <w:rPr>
          <w:rFonts w:hint="eastAsia" w:ascii="仿宋" w:hAnsi="仿宋" w:eastAsia="仿宋" w:cs="仿宋"/>
          <w:color w:val="000000" w:themeColor="text1"/>
          <w:sz w:val="20"/>
          <w:szCs w:val="20"/>
          <w:highlight w:val="none"/>
          <w14:textFill>
            <w14:solidFill>
              <w14:schemeClr w14:val="tx1"/>
            </w14:solidFill>
          </w14:textFill>
        </w:rPr>
        <w:t>13.2竣工验收</w:t>
      </w:r>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4CF55AC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28" w:name="_Toc280868704"/>
      <w:bookmarkStart w:id="429" w:name="_Toc280868705"/>
      <w:bookmarkStart w:id="430" w:name="_Toc280868706"/>
      <w:bookmarkStart w:id="431" w:name="_Toc280868707"/>
      <w:bookmarkStart w:id="432" w:name="_Toc280868708"/>
      <w:bookmarkStart w:id="433" w:name="_Toc280868709"/>
      <w:r>
        <w:rPr>
          <w:rFonts w:hint="eastAsia" w:ascii="仿宋" w:hAnsi="仿宋" w:eastAsia="仿宋" w:cs="仿宋"/>
          <w:color w:val="000000" w:themeColor="text1"/>
          <w:sz w:val="20"/>
          <w:szCs w:val="20"/>
          <w:highlight w:val="none"/>
          <w14:textFill>
            <w14:solidFill>
              <w14:schemeClr w14:val="tx1"/>
            </w14:solidFill>
          </w14:textFill>
        </w:rPr>
        <w:t>13.2.2竣工验收程序</w:t>
      </w:r>
    </w:p>
    <w:bookmarkEnd w:id="428"/>
    <w:p w14:paraId="51D8654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关于竣工验收程序的约定：</w:t>
      </w:r>
      <w:r>
        <w:rPr>
          <w:rFonts w:hint="eastAsia" w:ascii="仿宋" w:hAnsi="仿宋" w:eastAsia="仿宋" w:cs="仿宋"/>
          <w:color w:val="000000" w:themeColor="text1"/>
          <w:sz w:val="20"/>
          <w:szCs w:val="20"/>
          <w:highlight w:val="none"/>
          <w:u w:val="single"/>
          <w14:textFill>
            <w14:solidFill>
              <w14:schemeClr w14:val="tx1"/>
            </w14:solidFill>
          </w14:textFill>
        </w:rPr>
        <w:t>承包人按国家、陕西省、西安市相关规定，完成验收后，进行工程竣工验收。竣工验收后一个月内，提交竣工图及完整资料。</w:t>
      </w:r>
    </w:p>
    <w:p w14:paraId="0310F88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发包人不按照本项约定组织竣工验收、颁发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工程验收</w:t>
      </w:r>
      <w:r>
        <w:rPr>
          <w:rFonts w:hint="eastAsia" w:ascii="仿宋" w:hAnsi="仿宋" w:eastAsia="仿宋" w:cs="仿宋"/>
          <w:color w:val="000000" w:themeColor="text1"/>
          <w:kern w:val="0"/>
          <w:sz w:val="20"/>
          <w:szCs w:val="20"/>
          <w:highlight w:val="none"/>
          <w14:textFill>
            <w14:solidFill>
              <w14:schemeClr w14:val="tx1"/>
            </w14:solidFill>
          </w14:textFill>
        </w:rPr>
        <w:t>证书的违约金的计算方法：</w:t>
      </w:r>
      <w:r>
        <w:rPr>
          <w:rFonts w:hint="eastAsia" w:ascii="仿宋" w:hAnsi="仿宋" w:eastAsia="仿宋" w:cs="仿宋"/>
          <w:color w:val="000000" w:themeColor="text1"/>
          <w:sz w:val="20"/>
          <w:szCs w:val="20"/>
          <w:highlight w:val="none"/>
          <w:u w:val="single"/>
          <w14:textFill>
            <w14:solidFill>
              <w14:schemeClr w14:val="tx1"/>
            </w14:solidFill>
          </w14:textFill>
        </w:rPr>
        <w:t>无</w:t>
      </w:r>
      <w:r>
        <w:rPr>
          <w:rFonts w:hint="eastAsia" w:ascii="仿宋" w:hAnsi="仿宋" w:eastAsia="仿宋" w:cs="仿宋"/>
          <w:color w:val="000000" w:themeColor="text1"/>
          <w:sz w:val="20"/>
          <w:szCs w:val="20"/>
          <w:highlight w:val="none"/>
          <w14:textFill>
            <w14:solidFill>
              <w14:schemeClr w14:val="tx1"/>
            </w14:solidFill>
          </w14:textFill>
        </w:rPr>
        <w:t>。</w:t>
      </w:r>
    </w:p>
    <w:bookmarkEnd w:id="429"/>
    <w:p w14:paraId="49CDD80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13.2.5移交、接收全部与部分工程</w:t>
      </w:r>
    </w:p>
    <w:bookmarkEnd w:id="430"/>
    <w:p w14:paraId="4ABEC9B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承包人向发包人移交工程的期限：</w:t>
      </w:r>
      <w:r>
        <w:rPr>
          <w:rFonts w:hint="eastAsia" w:ascii="仿宋" w:hAnsi="仿宋" w:eastAsia="仿宋" w:cs="仿宋"/>
          <w:color w:val="000000" w:themeColor="text1"/>
          <w:kern w:val="0"/>
          <w:sz w:val="20"/>
          <w:szCs w:val="20"/>
          <w:highlight w:val="none"/>
          <w:u w:val="single"/>
          <w14:textFill>
            <w14:solidFill>
              <w14:schemeClr w14:val="tx1"/>
            </w14:solidFill>
          </w14:textFill>
        </w:rPr>
        <w:t>颁发工程接收证书后7天内</w:t>
      </w:r>
      <w:r>
        <w:rPr>
          <w:rFonts w:hint="eastAsia" w:ascii="仿宋" w:hAnsi="仿宋" w:eastAsia="仿宋" w:cs="仿宋"/>
          <w:color w:val="000000" w:themeColor="text1"/>
          <w:sz w:val="20"/>
          <w:szCs w:val="20"/>
          <w:highlight w:val="none"/>
          <w14:textFill>
            <w14:solidFill>
              <w14:schemeClr w14:val="tx1"/>
            </w14:solidFill>
          </w14:textFill>
        </w:rPr>
        <w:t>。</w:t>
      </w:r>
    </w:p>
    <w:p w14:paraId="09D5F77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发包人未按本合同约定接收全部或部分工程的，违约金的计算方法为：</w:t>
      </w:r>
      <w:r>
        <w:rPr>
          <w:rFonts w:hint="eastAsia" w:ascii="仿宋" w:hAnsi="仿宋" w:eastAsia="仿宋" w:cs="仿宋"/>
          <w:color w:val="000000" w:themeColor="text1"/>
          <w:sz w:val="20"/>
          <w:szCs w:val="20"/>
          <w:highlight w:val="none"/>
          <w:u w:val="single"/>
          <w14:textFill>
            <w14:solidFill>
              <w14:schemeClr w14:val="tx1"/>
            </w14:solidFill>
          </w14:textFill>
        </w:rPr>
        <w:t>无</w:t>
      </w:r>
      <w:r>
        <w:rPr>
          <w:rFonts w:hint="eastAsia" w:ascii="仿宋" w:hAnsi="仿宋" w:eastAsia="仿宋" w:cs="仿宋"/>
          <w:color w:val="000000" w:themeColor="text1"/>
          <w:sz w:val="20"/>
          <w:szCs w:val="20"/>
          <w:highlight w:val="none"/>
          <w14:textFill>
            <w14:solidFill>
              <w14:schemeClr w14:val="tx1"/>
            </w14:solidFill>
          </w14:textFill>
        </w:rPr>
        <w:t>。</w:t>
      </w:r>
    </w:p>
    <w:bookmarkEnd w:id="431"/>
    <w:p w14:paraId="0BF7EF56">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承包人未按时移交工程的，违约金的计算方法为：</w:t>
      </w:r>
      <w:r>
        <w:rPr>
          <w:rFonts w:hint="eastAsia" w:ascii="仿宋" w:hAnsi="仿宋" w:eastAsia="仿宋" w:cs="仿宋"/>
          <w:color w:val="000000" w:themeColor="text1"/>
          <w:sz w:val="20"/>
          <w:szCs w:val="20"/>
          <w:highlight w:val="none"/>
          <w:u w:val="single"/>
          <w14:textFill>
            <w14:solidFill>
              <w14:schemeClr w14:val="tx1"/>
            </w14:solidFill>
          </w14:textFill>
        </w:rPr>
        <w:t>按专用条款执行</w:t>
      </w:r>
      <w:r>
        <w:rPr>
          <w:rFonts w:hint="eastAsia" w:ascii="仿宋" w:hAnsi="仿宋" w:eastAsia="仿宋" w:cs="仿宋"/>
          <w:color w:val="000000" w:themeColor="text1"/>
          <w:sz w:val="20"/>
          <w:szCs w:val="20"/>
          <w:highlight w:val="none"/>
          <w14:textFill>
            <w14:solidFill>
              <w14:schemeClr w14:val="tx1"/>
            </w14:solidFill>
          </w14:textFill>
        </w:rPr>
        <w:t>。</w:t>
      </w:r>
    </w:p>
    <w:bookmarkEnd w:id="432"/>
    <w:p w14:paraId="21F7EEE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13.6竣工退场</w:t>
      </w:r>
    </w:p>
    <w:p w14:paraId="7A97296E">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13.6.1竣工退场</w:t>
      </w:r>
    </w:p>
    <w:p w14:paraId="396B9E0D">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承包人完成竣工退场的期限：</w:t>
      </w:r>
      <w:r>
        <w:rPr>
          <w:rFonts w:hint="eastAsia" w:ascii="仿宋" w:hAnsi="仿宋" w:eastAsia="仿宋" w:cs="仿宋"/>
          <w:color w:val="000000" w:themeColor="text1"/>
          <w:sz w:val="20"/>
          <w:szCs w:val="20"/>
          <w:highlight w:val="none"/>
          <w:u w:val="single"/>
          <w14:textFill>
            <w14:solidFill>
              <w14:schemeClr w14:val="tx1"/>
            </w14:solidFill>
          </w14:textFill>
        </w:rPr>
        <w:t>工程竣工移交后，以发包人书面指令为准</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3E5666B2">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34" w:name="_Toc31222"/>
      <w:bookmarkStart w:id="435" w:name="_Toc351203646"/>
      <w:bookmarkStart w:id="436" w:name="_Toc24256"/>
      <w:r>
        <w:rPr>
          <w:rFonts w:hint="eastAsia" w:ascii="仿宋" w:hAnsi="仿宋" w:eastAsia="仿宋" w:cs="仿宋"/>
          <w:b/>
          <w:color w:val="000000" w:themeColor="text1"/>
          <w:sz w:val="20"/>
          <w:szCs w:val="20"/>
          <w:highlight w:val="none"/>
          <w14:textFill>
            <w14:solidFill>
              <w14:schemeClr w14:val="tx1"/>
            </w14:solidFill>
          </w14:textFill>
        </w:rPr>
        <w:t>14.竣工结算</w:t>
      </w:r>
      <w:bookmarkEnd w:id="434"/>
      <w:bookmarkEnd w:id="435"/>
      <w:bookmarkEnd w:id="436"/>
    </w:p>
    <w:p w14:paraId="43C0376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14.1竣工付款申请</w:t>
      </w:r>
    </w:p>
    <w:p w14:paraId="354C1686">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承包人提交竣工付款申请单的期限：</w:t>
      </w:r>
      <w:r>
        <w:rPr>
          <w:rFonts w:hint="eastAsia" w:ascii="仿宋" w:hAnsi="仿宋" w:eastAsia="仿宋" w:cs="仿宋"/>
          <w:color w:val="000000" w:themeColor="text1"/>
          <w:sz w:val="20"/>
          <w:szCs w:val="20"/>
          <w:highlight w:val="none"/>
          <w:u w:val="single"/>
          <w14:textFill>
            <w14:solidFill>
              <w14:schemeClr w14:val="tx1"/>
            </w14:solidFill>
          </w14:textFill>
        </w:rPr>
        <w:t>提交的竣工验收报告获得发包人批准后，承包人应在30个工作日内办理并提交“竣工结算资料”</w:t>
      </w:r>
      <w:r>
        <w:rPr>
          <w:rFonts w:hint="eastAsia" w:ascii="仿宋" w:hAnsi="仿宋" w:eastAsia="仿宋" w:cs="仿宋"/>
          <w:color w:val="000000" w:themeColor="text1"/>
          <w:sz w:val="20"/>
          <w:szCs w:val="20"/>
          <w:highlight w:val="none"/>
          <w14:textFill>
            <w14:solidFill>
              <w14:schemeClr w14:val="tx1"/>
            </w14:solidFill>
          </w14:textFill>
        </w:rPr>
        <w:t>。</w:t>
      </w:r>
    </w:p>
    <w:p w14:paraId="1B742232">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竣工付款申请单应包括的内容：</w:t>
      </w:r>
      <w:r>
        <w:rPr>
          <w:rFonts w:hint="eastAsia" w:ascii="仿宋" w:hAnsi="仿宋" w:eastAsia="仿宋" w:cs="仿宋"/>
          <w:color w:val="000000" w:themeColor="text1"/>
          <w:sz w:val="20"/>
          <w:szCs w:val="20"/>
          <w:highlight w:val="none"/>
          <w:u w:val="single"/>
          <w14:textFill>
            <w14:solidFill>
              <w14:schemeClr w14:val="tx1"/>
            </w14:solidFill>
          </w14:textFill>
        </w:rPr>
        <w:t>竣工结算合同总价、已支付的工程价款、应扣留的质量保证金、应支付的竣工付款金额及相关证明材料等</w:t>
      </w:r>
      <w:r>
        <w:rPr>
          <w:rFonts w:hint="eastAsia" w:ascii="仿宋" w:hAnsi="仿宋" w:eastAsia="仿宋" w:cs="仿宋"/>
          <w:color w:val="000000" w:themeColor="text1"/>
          <w:sz w:val="20"/>
          <w:szCs w:val="20"/>
          <w:highlight w:val="none"/>
          <w14:textFill>
            <w14:solidFill>
              <w14:schemeClr w14:val="tx1"/>
            </w14:solidFill>
          </w14:textFill>
        </w:rPr>
        <w:t>。</w:t>
      </w:r>
    </w:p>
    <w:p w14:paraId="526E777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14.2竣工结算审核</w:t>
      </w:r>
    </w:p>
    <w:p w14:paraId="5BEE4497">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发包人审批竣工付款申请单的期限：</w:t>
      </w:r>
      <w:r>
        <w:rPr>
          <w:rFonts w:hint="eastAsia" w:ascii="仿宋" w:hAnsi="仿宋" w:eastAsia="仿宋" w:cs="仿宋"/>
          <w:color w:val="000000" w:themeColor="text1"/>
          <w:sz w:val="20"/>
          <w:szCs w:val="20"/>
          <w:highlight w:val="none"/>
          <w:u w:val="single"/>
          <w14:textFill>
            <w14:solidFill>
              <w14:schemeClr w14:val="tx1"/>
            </w14:solidFill>
          </w14:textFill>
        </w:rPr>
        <w:t>结算审查期限，从收到承包人上报的完整的竣工结算资料</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竣工图、变更、签证、认价单、结算书、结算申请单</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之日起，1个月内审核完成或提出修改意见，结算时间最长不超过12个月</w:t>
      </w:r>
      <w:r>
        <w:rPr>
          <w:rFonts w:hint="eastAsia" w:ascii="仿宋" w:hAnsi="仿宋" w:eastAsia="仿宋" w:cs="仿宋"/>
          <w:color w:val="000000" w:themeColor="text1"/>
          <w:sz w:val="20"/>
          <w:szCs w:val="20"/>
          <w:highlight w:val="none"/>
          <w14:textFill>
            <w14:solidFill>
              <w14:schemeClr w14:val="tx1"/>
            </w14:solidFill>
          </w14:textFill>
        </w:rPr>
        <w:t>。</w:t>
      </w:r>
    </w:p>
    <w:p w14:paraId="0E2ECBAE">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发包人完成竣工付款的期限：</w:t>
      </w:r>
      <w:r>
        <w:rPr>
          <w:rFonts w:hint="eastAsia" w:ascii="仿宋" w:hAnsi="仿宋" w:eastAsia="仿宋" w:cs="仿宋"/>
          <w:color w:val="000000" w:themeColor="text1"/>
          <w:sz w:val="20"/>
          <w:szCs w:val="20"/>
          <w:highlight w:val="none"/>
          <w:u w:val="single"/>
          <w14:textFill>
            <w14:solidFill>
              <w14:schemeClr w14:val="tx1"/>
            </w14:solidFill>
          </w14:textFill>
        </w:rPr>
        <w:t>发包人委托的第三方造价审计机构出具正式结算报告后1个月内</w:t>
      </w:r>
      <w:r>
        <w:rPr>
          <w:rFonts w:hint="eastAsia" w:ascii="仿宋" w:hAnsi="仿宋" w:eastAsia="仿宋" w:cs="仿宋"/>
          <w:color w:val="000000" w:themeColor="text1"/>
          <w:sz w:val="20"/>
          <w:szCs w:val="20"/>
          <w:highlight w:val="none"/>
          <w14:textFill>
            <w14:solidFill>
              <w14:schemeClr w14:val="tx1"/>
            </w14:solidFill>
          </w14:textFill>
        </w:rPr>
        <w:t>。</w:t>
      </w:r>
    </w:p>
    <w:p w14:paraId="59227BC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关于竣工付款证书异议部分复核的方式和程序：</w:t>
      </w:r>
      <w:r>
        <w:rPr>
          <w:rFonts w:hint="eastAsia" w:ascii="仿宋" w:hAnsi="仿宋" w:eastAsia="仿宋" w:cs="仿宋"/>
          <w:color w:val="000000" w:themeColor="text1"/>
          <w:sz w:val="20"/>
          <w:szCs w:val="20"/>
          <w:highlight w:val="none"/>
          <w:u w:val="single"/>
          <w14:textFill>
            <w14:solidFill>
              <w14:schemeClr w14:val="tx1"/>
            </w14:solidFill>
          </w14:textFill>
        </w:rPr>
        <w:t>由发包人委托的第三方造价审计机构进行复核</w:t>
      </w:r>
      <w:r>
        <w:rPr>
          <w:rFonts w:hint="eastAsia" w:ascii="仿宋" w:hAnsi="仿宋" w:eastAsia="仿宋" w:cs="仿宋"/>
          <w:color w:val="000000" w:themeColor="text1"/>
          <w:sz w:val="20"/>
          <w:szCs w:val="20"/>
          <w:highlight w:val="none"/>
          <w14:textFill>
            <w14:solidFill>
              <w14:schemeClr w14:val="tx1"/>
            </w14:solidFill>
          </w14:textFill>
        </w:rPr>
        <w:t>。</w:t>
      </w:r>
    </w:p>
    <w:p w14:paraId="67263E0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14.4最终结清</w:t>
      </w:r>
    </w:p>
    <w:p w14:paraId="0FBCDD7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14.4.1最终结清申请单</w:t>
      </w:r>
    </w:p>
    <w:p w14:paraId="3FA735C1">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承包人提交最终结清申请单的份数：</w:t>
      </w:r>
      <w:r>
        <w:rPr>
          <w:rFonts w:hint="eastAsia" w:ascii="仿宋" w:hAnsi="仿宋" w:eastAsia="仿宋" w:cs="仿宋"/>
          <w:color w:val="000000" w:themeColor="text1"/>
          <w:sz w:val="20"/>
          <w:szCs w:val="20"/>
          <w:highlight w:val="none"/>
          <w14:textFill>
            <w14:solidFill>
              <w14:schemeClr w14:val="tx1"/>
            </w14:solidFill>
          </w14:textFill>
        </w:rPr>
        <w:t>。</w:t>
      </w:r>
    </w:p>
    <w:p w14:paraId="169B511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承包人提交最终结算申请单的期限：</w:t>
      </w:r>
      <w:r>
        <w:rPr>
          <w:rFonts w:hint="eastAsia" w:ascii="仿宋" w:hAnsi="仿宋" w:eastAsia="仿宋" w:cs="仿宋"/>
          <w:color w:val="000000" w:themeColor="text1"/>
          <w:sz w:val="20"/>
          <w:szCs w:val="20"/>
          <w:highlight w:val="none"/>
          <w:u w:val="single"/>
          <w14:textFill>
            <w14:solidFill>
              <w14:schemeClr w14:val="tx1"/>
            </w14:solidFill>
          </w14:textFill>
        </w:rPr>
        <w:t>在缺陷责任期终止证书颁发后10天内</w:t>
      </w:r>
      <w:r>
        <w:rPr>
          <w:rFonts w:hint="eastAsia" w:ascii="仿宋" w:hAnsi="仿宋" w:eastAsia="仿宋" w:cs="仿宋"/>
          <w:color w:val="000000" w:themeColor="text1"/>
          <w:sz w:val="20"/>
          <w:szCs w:val="20"/>
          <w:highlight w:val="none"/>
          <w14:textFill>
            <w14:solidFill>
              <w14:schemeClr w14:val="tx1"/>
            </w14:solidFill>
          </w14:textFill>
        </w:rPr>
        <w:t>。</w:t>
      </w:r>
    </w:p>
    <w:p w14:paraId="489D17E7">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14.4.2最终结清证书和支付</w:t>
      </w:r>
    </w:p>
    <w:p w14:paraId="7204B73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发包人完成最终结清申请单的审批并颁发最终结清证书的期限：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5AD0563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发包人完成支付的期限：</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bookmarkEnd w:id="421"/>
      <w:bookmarkEnd w:id="422"/>
      <w:bookmarkEnd w:id="423"/>
      <w:bookmarkEnd w:id="424"/>
      <w:bookmarkEnd w:id="425"/>
      <w:bookmarkEnd w:id="426"/>
      <w:bookmarkEnd w:id="427"/>
      <w:bookmarkEnd w:id="433"/>
      <w:bookmarkStart w:id="437" w:name="_Toc11183"/>
      <w:bookmarkStart w:id="438" w:name="_Toc351203647"/>
      <w:bookmarkStart w:id="439" w:name="_Toc15523"/>
      <w:bookmarkStart w:id="440" w:name="_Toc267251486"/>
      <w:bookmarkStart w:id="441" w:name="_Toc267251484"/>
      <w:bookmarkStart w:id="442" w:name="_Toc267251490"/>
      <w:bookmarkStart w:id="443" w:name="_Toc267251489"/>
      <w:bookmarkStart w:id="444" w:name="_Toc267251482"/>
      <w:bookmarkStart w:id="445" w:name="_Toc267251483"/>
      <w:bookmarkStart w:id="446" w:name="_Toc267251488"/>
      <w:bookmarkStart w:id="447" w:name="_Toc267251485"/>
    </w:p>
    <w:p w14:paraId="2A7A85D6">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15.缺陷责任期与保修</w:t>
      </w:r>
      <w:bookmarkEnd w:id="437"/>
      <w:bookmarkEnd w:id="438"/>
      <w:bookmarkEnd w:id="439"/>
    </w:p>
    <w:bookmarkEnd w:id="440"/>
    <w:bookmarkEnd w:id="441"/>
    <w:bookmarkEnd w:id="442"/>
    <w:bookmarkEnd w:id="443"/>
    <w:bookmarkEnd w:id="444"/>
    <w:bookmarkEnd w:id="445"/>
    <w:bookmarkEnd w:id="446"/>
    <w:bookmarkEnd w:id="447"/>
    <w:p w14:paraId="2CE5F3E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15.2缺陷责任期</w:t>
      </w:r>
    </w:p>
    <w:p w14:paraId="317CEEBB">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缺陷责任期的具体期限：</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3829E44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15.3质量保证金</w:t>
      </w:r>
    </w:p>
    <w:p w14:paraId="134F1F74">
      <w:pPr>
        <w:keepNext w:val="0"/>
        <w:keepLines w:val="0"/>
        <w:pageBreakBefore w:val="0"/>
        <w:kinsoku/>
        <w:wordWrap/>
        <w:overflowPunct/>
        <w:topLinePunct w:val="0"/>
        <w:bidi w:val="0"/>
        <w:spacing w:line="324" w:lineRule="auto"/>
        <w:ind w:firstLine="400" w:firstLineChars="200"/>
        <w:jc w:val="left"/>
        <w:textAlignment w:val="auto"/>
        <w:rPr>
          <w:rFonts w:hint="default"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关于是否扣留质量保证金的约定：</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7A1DE88A">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15.3.1承包人提供质量保证金的方式</w:t>
      </w:r>
    </w:p>
    <w:p w14:paraId="5291E0B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质量保证金采用以下第</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种方式：</w:t>
      </w:r>
    </w:p>
    <w:p w14:paraId="35739286">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质量保证金保函，保证金额为：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w:t>
      </w:r>
    </w:p>
    <w:p w14:paraId="6D91B08D">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%的工程款；</w:t>
      </w:r>
    </w:p>
    <w:p w14:paraId="0AF18DD8">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其他方式：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BA9E87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15.3.2质量保证金的扣留</w:t>
      </w:r>
    </w:p>
    <w:p w14:paraId="012E647F">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质量保证金的扣留采取以下第</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种方式：</w:t>
      </w:r>
    </w:p>
    <w:p w14:paraId="694AD1D1">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在支付工程进度款时逐次扣留，在此情形下，质量保证金的计算基数不包括预付款的支付、扣回以及价格调整的金额；</w:t>
      </w:r>
    </w:p>
    <w:p w14:paraId="5A813A3F">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工程竣工结算时一次性扣留质量保证金；</w:t>
      </w:r>
    </w:p>
    <w:p w14:paraId="6131B11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其他扣留方式：</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3233697">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关于质量保证金的补充约定：</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961AFB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15.4保修</w:t>
      </w:r>
    </w:p>
    <w:p w14:paraId="4A854CE5">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15.4.1保修责任</w:t>
      </w:r>
    </w:p>
    <w:p w14:paraId="257AFB8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工程保修期为：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207C41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15.4.3修复通知</w:t>
      </w:r>
    </w:p>
    <w:p w14:paraId="6DD46C13">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承包人收到保修通知并到达工程现场的合理时间：。</w:t>
      </w:r>
    </w:p>
    <w:p w14:paraId="5B201049">
      <w:pPr>
        <w:keepNext w:val="0"/>
        <w:keepLines w:val="0"/>
        <w:pageBreakBefore w:val="0"/>
        <w:kinsoku/>
        <w:wordWrap/>
        <w:overflowPunct/>
        <w:topLinePunct w:val="0"/>
        <w:bidi w:val="0"/>
        <w:spacing w:line="324"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48" w:name="_Toc14801"/>
      <w:bookmarkStart w:id="449" w:name="_Toc22553"/>
      <w:r>
        <w:rPr>
          <w:rFonts w:hint="eastAsia" w:ascii="仿宋" w:hAnsi="仿宋" w:eastAsia="仿宋" w:cs="仿宋"/>
          <w:b/>
          <w:color w:val="000000" w:themeColor="text1"/>
          <w:sz w:val="20"/>
          <w:szCs w:val="20"/>
          <w:highlight w:val="none"/>
          <w14:textFill>
            <w14:solidFill>
              <w14:schemeClr w14:val="tx1"/>
            </w14:solidFill>
          </w14:textFill>
        </w:rPr>
        <w:t>16.违约</w:t>
      </w:r>
      <w:bookmarkEnd w:id="378"/>
      <w:bookmarkEnd w:id="448"/>
      <w:bookmarkEnd w:id="449"/>
    </w:p>
    <w:p w14:paraId="14FE22F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16.1发包人违约</w:t>
      </w:r>
    </w:p>
    <w:p w14:paraId="0C580959">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16.1.1发包人违约的情形</w:t>
      </w:r>
    </w:p>
    <w:p w14:paraId="19D5A90F">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发包人违约的其他情形：</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0"/>
          <w:szCs w:val="20"/>
          <w:highlight w:val="none"/>
          <w:u w:val="single"/>
          <w14:textFill>
            <w14:solidFill>
              <w14:schemeClr w14:val="tx1"/>
            </w14:solidFill>
          </w14:textFill>
        </w:rPr>
        <w:t>/</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7198E954">
      <w:pPr>
        <w:keepNext w:val="0"/>
        <w:keepLines w:val="0"/>
        <w:pageBreakBefore w:val="0"/>
        <w:kinsoku/>
        <w:wordWrap/>
        <w:overflowPunct/>
        <w:topLinePunct w:val="0"/>
        <w:bidi w:val="0"/>
        <w:spacing w:line="324" w:lineRule="auto"/>
        <w:ind w:left="1050" w:hanging="1000" w:hangingChars="5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16.1.2发包人违约的责任</w:t>
      </w:r>
    </w:p>
    <w:p w14:paraId="6F84B3E3">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发包人违约责任的承担方式和计算方法：</w:t>
      </w:r>
    </w:p>
    <w:p w14:paraId="5CA65FF0">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1</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因发包人原因未能在计划开工日期前7天内下达开工通知的违约责任：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工期顺延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2279C18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2</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因发包人原因未能按合同约定支付合同价款的违约责任：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双方另行协商</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559E757D">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3</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发包人违反第10.1款〔变更的范围〕第</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2</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项约定，自行实施被取消的工作或转由他人实施的违约责任：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双方另行协商</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1CD5D62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4</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因发包人违反合同约定造成暂停施工的违约责任：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若影响工期的，工期予以顺延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7A6B7942">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5</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发包人无正当理由没有在约定期限内发出复工指示，导致承包人无法复工的违约责任：</w:t>
      </w:r>
      <w:r>
        <w:rPr>
          <w:rFonts w:hint="eastAsia" w:ascii="仿宋" w:hAnsi="仿宋" w:eastAsia="仿宋" w:cs="仿宋"/>
          <w:color w:val="000000" w:themeColor="text1"/>
          <w:kern w:val="0"/>
          <w:sz w:val="20"/>
          <w:szCs w:val="20"/>
          <w:highlight w:val="none"/>
          <w:u w:val="single"/>
          <w14:textFill>
            <w14:solidFill>
              <w14:schemeClr w14:val="tx1"/>
            </w14:solidFill>
          </w14:textFill>
        </w:rPr>
        <w:t>若影响工期的，工期予以顺延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069A4CA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lang w:val="zh-CN"/>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6</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lang w:val="zh-CN"/>
          <w14:textFill>
            <w14:solidFill>
              <w14:schemeClr w14:val="tx1"/>
            </w14:solidFill>
          </w14:textFill>
        </w:rPr>
        <w:t>发包人不履行合同义务或不按合同约定履行义务的其他情况。</w:t>
      </w:r>
    </w:p>
    <w:p w14:paraId="064B13C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val="zh-CN"/>
          <w14:textFill>
            <w14:solidFill>
              <w14:schemeClr w14:val="tx1"/>
            </w14:solidFill>
          </w14:textFill>
        </w:rPr>
        <w:t>发包人承担违约责任，并赔偿因其违约给承包人造成的经济损失，顺延延误的工期。双方在专用条款内约定发包人赔偿承包人损失的计算方法或者发包人应当支付违约金的数额和计算方法。</w:t>
      </w:r>
    </w:p>
    <w:p w14:paraId="5A061F15">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16.1.3因发包人违约解除合同</w:t>
      </w:r>
    </w:p>
    <w:p w14:paraId="633224DE">
      <w:pPr>
        <w:keepNext w:val="0"/>
        <w:keepLines w:val="0"/>
        <w:pageBreakBefore w:val="0"/>
        <w:kinsoku/>
        <w:wordWrap/>
        <w:overflowPunct/>
        <w:topLinePunct w:val="0"/>
        <w:autoSpaceDE w:val="0"/>
        <w:autoSpaceDN w:val="0"/>
        <w:bidi w:val="0"/>
        <w:adjustRightInd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承包人按16.1.1项〔发包人违约的情形〕约定暂停施工满天后发包人仍不纠正其违约行为并致使合同目的不能实现的，承包人有权解除合同。</w:t>
      </w:r>
    </w:p>
    <w:p w14:paraId="34B2F7DE">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16.2承包人违约</w:t>
      </w:r>
    </w:p>
    <w:p w14:paraId="591BF12C">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16.2.1承包人违约的情形</w:t>
      </w:r>
    </w:p>
    <w:p w14:paraId="193A784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承包人违约的其他情形：</w:t>
      </w:r>
      <w:r>
        <w:rPr>
          <w:rFonts w:hint="eastAsia" w:ascii="仿宋" w:hAnsi="仿宋" w:eastAsia="仿宋" w:cs="仿宋"/>
          <w:color w:val="000000" w:themeColor="text1"/>
          <w:kern w:val="0"/>
          <w:sz w:val="20"/>
          <w:szCs w:val="20"/>
          <w:highlight w:val="none"/>
          <w:u w:val="single"/>
          <w14:textFill>
            <w14:solidFill>
              <w14:schemeClr w14:val="tx1"/>
            </w14:solidFill>
          </w14:textFill>
        </w:rPr>
        <w:t>1</w:t>
      </w:r>
      <w:r>
        <w:rPr>
          <w:rFonts w:hint="eastAsia" w:ascii="仿宋" w:hAnsi="仿宋" w:eastAsia="仿宋" w:cs="仿宋"/>
          <w:color w:val="000000" w:themeColor="text1"/>
          <w:kern w:val="0"/>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u w:val="single"/>
          <w14:textFill>
            <w14:solidFill>
              <w14:schemeClr w14:val="tx1"/>
            </w14:solidFill>
          </w14:textFill>
        </w:rPr>
        <w:t>擅自更换项目经理的；2</w:t>
      </w:r>
      <w:r>
        <w:rPr>
          <w:rFonts w:hint="eastAsia" w:ascii="仿宋" w:hAnsi="仿宋" w:eastAsia="仿宋" w:cs="仿宋"/>
          <w:color w:val="000000" w:themeColor="text1"/>
          <w:kern w:val="0"/>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u w:val="single"/>
          <w14:textFill>
            <w14:solidFill>
              <w14:schemeClr w14:val="tx1"/>
            </w14:solidFill>
          </w14:textFill>
        </w:rPr>
        <w:t>未经发包人许可，擅自采购材料设备表以外设备及材料的或未经准用批准使用的</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5CAAAE1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16.2.2承包人违约的责任</w:t>
      </w:r>
    </w:p>
    <w:p w14:paraId="3B0B335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承包人违约责任的承担方式和计算方法：</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1</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建设过程中分部分项工程质量若达不到合格标准，承包人应按要求整改至合格</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整改费</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用由</w:t>
      </w:r>
      <w:r>
        <w:rPr>
          <w:rFonts w:hint="eastAsia" w:ascii="仿宋" w:hAnsi="仿宋" w:eastAsia="仿宋" w:cs="仿宋"/>
          <w:color w:val="000000" w:themeColor="text1"/>
          <w:sz w:val="20"/>
          <w:szCs w:val="20"/>
          <w:highlight w:val="none"/>
          <w:u w:val="single"/>
          <w14:textFill>
            <w14:solidFill>
              <w14:schemeClr w14:val="tx1"/>
            </w14:solidFill>
          </w14:textFill>
        </w:rPr>
        <w:t>承包人自行承担</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，并承担</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1</w:t>
      </w:r>
      <w:r>
        <w:rPr>
          <w:rFonts w:hint="eastAsia" w:ascii="仿宋" w:hAnsi="仿宋" w:eastAsia="仿宋" w:cs="仿宋"/>
          <w:color w:val="000000" w:themeColor="text1"/>
          <w:sz w:val="20"/>
          <w:szCs w:val="20"/>
          <w:highlight w:val="none"/>
          <w:u w:val="single"/>
          <w14:textFill>
            <w14:solidFill>
              <w14:schemeClr w14:val="tx1"/>
            </w14:solidFill>
          </w14:textFill>
        </w:rPr>
        <w:t>000-</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sz w:val="20"/>
          <w:szCs w:val="20"/>
          <w:highlight w:val="none"/>
          <w:u w:val="single"/>
          <w14:textFill>
            <w14:solidFill>
              <w14:schemeClr w14:val="tx1"/>
            </w14:solidFill>
          </w14:textFill>
        </w:rPr>
        <w:t>000元/次的违约金。</w:t>
      </w:r>
    </w:p>
    <w:p w14:paraId="4CCFD0D0">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14:textFill>
            <w14:solidFill>
              <w14:schemeClr w14:val="tx1"/>
            </w14:solidFill>
          </w14:textFill>
        </w:rPr>
        <w:t>2</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u w:val="single"/>
          <w14:textFill>
            <w14:solidFill>
              <w14:schemeClr w14:val="tx1"/>
            </w14:solidFill>
          </w14:textFill>
        </w:rPr>
        <w:t>确保现场劳务人员基本权益，保证劳务工资按月发放，若发生讨薪投诉事件，承包人承担</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kern w:val="0"/>
          <w:sz w:val="20"/>
          <w:szCs w:val="20"/>
          <w:highlight w:val="none"/>
          <w:u w:val="single"/>
          <w14:textFill>
            <w14:solidFill>
              <w14:schemeClr w14:val="tx1"/>
            </w14:solidFill>
          </w14:textFill>
        </w:rPr>
        <w:t>000元/次的违约金。</w:t>
      </w:r>
    </w:p>
    <w:p w14:paraId="34054CA4">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kern w:val="0"/>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u w:val="single"/>
          <w14:textFill>
            <w14:solidFill>
              <w14:schemeClr w14:val="tx1"/>
            </w14:solidFill>
          </w14:textFill>
        </w:rPr>
        <w:t>3</w:t>
      </w:r>
      <w:r>
        <w:rPr>
          <w:rFonts w:hint="eastAsia" w:ascii="仿宋" w:hAnsi="仿宋" w:eastAsia="仿宋" w:cs="仿宋"/>
          <w:color w:val="000000" w:themeColor="text1"/>
          <w:kern w:val="0"/>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u w:val="single"/>
          <w14:textFill>
            <w14:solidFill>
              <w14:schemeClr w14:val="tx1"/>
            </w14:solidFill>
          </w14:textFill>
        </w:rPr>
        <w:t>工程建设过程中，承包人没有按照发包人要求进度实施工程建设的，发包人有权对承包人收取</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1</w:t>
      </w:r>
      <w:r>
        <w:rPr>
          <w:rFonts w:hint="eastAsia" w:ascii="仿宋" w:hAnsi="仿宋" w:eastAsia="仿宋" w:cs="仿宋"/>
          <w:color w:val="000000" w:themeColor="text1"/>
          <w:kern w:val="0"/>
          <w:sz w:val="20"/>
          <w:szCs w:val="20"/>
          <w:highlight w:val="none"/>
          <w:u w:val="single"/>
          <w14:textFill>
            <w14:solidFill>
              <w14:schemeClr w14:val="tx1"/>
            </w14:solidFill>
          </w14:textFill>
        </w:rPr>
        <w:t>000-</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2</w:t>
      </w:r>
      <w:r>
        <w:rPr>
          <w:rFonts w:hint="eastAsia" w:ascii="仿宋" w:hAnsi="仿宋" w:eastAsia="仿宋" w:cs="仿宋"/>
          <w:color w:val="000000" w:themeColor="text1"/>
          <w:kern w:val="0"/>
          <w:sz w:val="20"/>
          <w:szCs w:val="20"/>
          <w:highlight w:val="none"/>
          <w:u w:val="single"/>
          <w14:textFill>
            <w14:solidFill>
              <w14:schemeClr w14:val="tx1"/>
            </w14:solidFill>
          </w14:textFill>
        </w:rPr>
        <w:t>000元/天的违约金。</w:t>
      </w:r>
    </w:p>
    <w:p w14:paraId="2FDC4B64">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4</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本工程要求工程质量达到国家规定的合格标准，竣工验收达不到合格标准的，除按国家规定对承包人予以处罚外，承包</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人</w:t>
      </w:r>
      <w:r>
        <w:rPr>
          <w:rFonts w:hint="eastAsia" w:ascii="仿宋" w:hAnsi="仿宋" w:eastAsia="仿宋" w:cs="仿宋"/>
          <w:color w:val="000000" w:themeColor="text1"/>
          <w:sz w:val="20"/>
          <w:szCs w:val="20"/>
          <w:highlight w:val="none"/>
          <w:u w:val="single"/>
          <w14:textFill>
            <w14:solidFill>
              <w14:schemeClr w14:val="tx1"/>
            </w14:solidFill>
          </w14:textFill>
        </w:rPr>
        <w:t>按合同价的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%向发包人支付质量违约金并修复至达到验收合格标准。中间验收时如果出现局部或分部或分项质量不合格，承包人除免费立即纠正、修复外，还要按该局部或分部或分项工程的合同价的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u w:val="single"/>
          <w14:textFill>
            <w14:solidFill>
              <w14:schemeClr w14:val="tx1"/>
            </w14:solidFill>
          </w14:textFill>
        </w:rPr>
        <w:t>%向发包人支付质量违约金</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3F776B06">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5</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lang w:val="zh-CN"/>
          <w14:textFill>
            <w14:solidFill>
              <w14:schemeClr w14:val="tx1"/>
            </w14:solidFill>
          </w14:textFill>
        </w:rPr>
        <w:t>因承包人原因不能按照协议书约定的竣工日期或工程师同意顺延的工期竣工</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74F75B5B">
      <w:pPr>
        <w:pStyle w:val="3"/>
        <w:keepNext w:val="0"/>
        <w:keepLines w:val="0"/>
        <w:pageBreakBefore w:val="0"/>
        <w:tabs>
          <w:tab w:val="left" w:pos="600"/>
        </w:tabs>
        <w:kinsoku/>
        <w:wordWrap/>
        <w:overflowPunct/>
        <w:topLinePunct w:val="0"/>
        <w:bidi w:val="0"/>
        <w:spacing w:after="0" w:line="324" w:lineRule="auto"/>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6</w:t>
      </w:r>
      <w:r>
        <w:rPr>
          <w:rFonts w:hint="eastAsia" w:ascii="仿宋" w:hAnsi="仿宋" w:eastAsia="仿宋" w:cs="仿宋"/>
          <w:color w:val="000000" w:themeColor="text1"/>
          <w:sz w:val="20"/>
          <w:szCs w:val="20"/>
          <w:highlight w:val="none"/>
          <w:lang w:val="zh-CN"/>
          <w14:textFill>
            <w14:solidFill>
              <w14:schemeClr w14:val="tx1"/>
            </w14:solidFill>
          </w14:textFill>
        </w:rPr>
        <w:t>)</w:t>
      </w:r>
      <w:r>
        <w:rPr>
          <w:rFonts w:hint="eastAsia" w:ascii="仿宋" w:hAnsi="仿宋" w:eastAsia="仿宋" w:cs="仿宋"/>
          <w:color w:val="000000" w:themeColor="text1"/>
          <w:sz w:val="20"/>
          <w:szCs w:val="20"/>
          <w:highlight w:val="none"/>
          <w:u w:val="single"/>
          <w:lang w:val="zh-CN"/>
          <w14:textFill>
            <w14:solidFill>
              <w14:schemeClr w14:val="tx1"/>
            </w14:solidFill>
          </w14:textFill>
        </w:rPr>
        <w:t>承包人不履行合同义务或不按合同约定履行义务的其他情况</w:t>
      </w:r>
      <w:r>
        <w:rPr>
          <w:rFonts w:hint="eastAsia" w:ascii="仿宋" w:hAnsi="仿宋" w:eastAsia="仿宋" w:cs="仿宋"/>
          <w:color w:val="000000" w:themeColor="text1"/>
          <w:sz w:val="20"/>
          <w:szCs w:val="20"/>
          <w:highlight w:val="none"/>
          <w:lang w:val="zh-CN"/>
          <w14:textFill>
            <w14:solidFill>
              <w14:schemeClr w14:val="tx1"/>
            </w14:solidFill>
          </w14:textFill>
        </w:rPr>
        <w:t>。</w:t>
      </w:r>
    </w:p>
    <w:p w14:paraId="66230B0F">
      <w:pPr>
        <w:pStyle w:val="3"/>
        <w:keepNext w:val="0"/>
        <w:keepLines w:val="0"/>
        <w:pageBreakBefore w:val="0"/>
        <w:tabs>
          <w:tab w:val="left" w:pos="600"/>
        </w:tabs>
        <w:kinsoku/>
        <w:wordWrap/>
        <w:overflowPunct/>
        <w:topLinePunct w:val="0"/>
        <w:bidi w:val="0"/>
        <w:spacing w:after="0" w:line="324" w:lineRule="auto"/>
        <w:textAlignment w:val="auto"/>
        <w:rPr>
          <w:rFonts w:hint="eastAsia" w:ascii="仿宋" w:hAnsi="仿宋" w:eastAsia="仿宋" w:cs="仿宋"/>
          <w:color w:val="000000" w:themeColor="text1"/>
          <w:kern w:val="2"/>
          <w:sz w:val="20"/>
          <w:szCs w:val="20"/>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0"/>
          <w:szCs w:val="20"/>
          <w:highlight w:val="none"/>
          <w:lang w:val="en-US" w:eastAsia="zh-CN" w:bidi="ar-SA"/>
          <w14:textFill>
            <w14:solidFill>
              <w14:schemeClr w14:val="tx1"/>
            </w14:solidFill>
          </w14:textFill>
        </w:rPr>
        <w:t>(7)</w:t>
      </w:r>
      <w:r>
        <w:rPr>
          <w:rFonts w:hint="eastAsia" w:ascii="仿宋" w:hAnsi="仿宋" w:eastAsia="仿宋" w:cs="仿宋"/>
          <w:color w:val="000000" w:themeColor="text1"/>
          <w:sz w:val="20"/>
          <w:szCs w:val="20"/>
          <w:highlight w:val="none"/>
          <w:u w:val="single"/>
          <w:lang w:val="zh-CN"/>
          <w14:textFill>
            <w14:solidFill>
              <w14:schemeClr w14:val="tx1"/>
            </w14:solidFill>
          </w14:textFill>
        </w:rPr>
        <w:t>承包人</w:t>
      </w:r>
      <w:r>
        <w:rPr>
          <w:rFonts w:hint="eastAsia" w:ascii="仿宋" w:hAnsi="仿宋" w:eastAsia="仿宋" w:cs="仿宋"/>
          <w:color w:val="000000" w:themeColor="text1"/>
          <w:kern w:val="2"/>
          <w:sz w:val="20"/>
          <w:szCs w:val="20"/>
          <w:highlight w:val="none"/>
          <w:u w:val="single"/>
          <w:lang w:val="en-US" w:eastAsia="zh-CN" w:bidi="ar-SA"/>
          <w14:textFill>
            <w14:solidFill>
              <w14:schemeClr w14:val="tx1"/>
            </w14:solidFill>
          </w14:textFill>
        </w:rPr>
        <w:t>未按要求提供货物、质量、环保标准不能满足技术要求的，承包人方必须无条件更换，否则，发包人有权终止合同，并对承包人的违约行为报监管机构进行相应的处罚</w:t>
      </w:r>
      <w:r>
        <w:rPr>
          <w:rFonts w:hint="eastAsia" w:ascii="仿宋" w:hAnsi="仿宋" w:eastAsia="仿宋" w:cs="仿宋"/>
          <w:color w:val="000000" w:themeColor="text1"/>
          <w:sz w:val="20"/>
          <w:szCs w:val="20"/>
          <w:highlight w:val="none"/>
          <w:u w:val="none"/>
          <w14:textFill>
            <w14:solidFill>
              <w14:schemeClr w14:val="tx1"/>
            </w14:solidFill>
          </w14:textFill>
        </w:rPr>
        <w:t>。</w:t>
      </w:r>
    </w:p>
    <w:p w14:paraId="057920F1">
      <w:pPr>
        <w:pStyle w:val="3"/>
        <w:keepNext w:val="0"/>
        <w:keepLines w:val="0"/>
        <w:pageBreakBefore w:val="0"/>
        <w:tabs>
          <w:tab w:val="left" w:pos="600"/>
        </w:tabs>
        <w:kinsoku/>
        <w:wordWrap/>
        <w:overflowPunct/>
        <w:topLinePunct w:val="0"/>
        <w:bidi w:val="0"/>
        <w:spacing w:after="0" w:line="324" w:lineRule="auto"/>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kern w:val="2"/>
          <w:sz w:val="20"/>
          <w:szCs w:val="20"/>
          <w:highlight w:val="none"/>
          <w:lang w:val="en-US" w:eastAsia="zh-CN" w:bidi="ar-SA"/>
          <w14:textFill>
            <w14:solidFill>
              <w14:schemeClr w14:val="tx1"/>
            </w14:solidFill>
          </w14:textFill>
        </w:rPr>
        <w:t>(8)</w:t>
      </w:r>
      <w:r>
        <w:rPr>
          <w:rFonts w:hint="eastAsia" w:ascii="仿宋" w:hAnsi="仿宋" w:eastAsia="仿宋" w:cs="仿宋"/>
          <w:color w:val="000000" w:themeColor="text1"/>
          <w:kern w:val="2"/>
          <w:sz w:val="20"/>
          <w:szCs w:val="20"/>
          <w:highlight w:val="none"/>
          <w:u w:val="single"/>
          <w:lang w:val="en-US" w:eastAsia="zh-CN" w:bidi="ar-SA"/>
          <w14:textFill>
            <w14:solidFill>
              <w14:schemeClr w14:val="tx1"/>
            </w14:solidFill>
          </w14:textFill>
        </w:rPr>
        <w:t>与本工程相关的其他违约情形按照《中华人民共和国民法典》和《中华人民共和国建筑法》中的相关条款执行</w:t>
      </w:r>
      <w:r>
        <w:rPr>
          <w:rFonts w:hint="eastAsia" w:ascii="仿宋" w:hAnsi="仿宋" w:eastAsia="仿宋" w:cs="仿宋"/>
          <w:color w:val="000000" w:themeColor="text1"/>
          <w:kern w:val="2"/>
          <w:sz w:val="20"/>
          <w:szCs w:val="20"/>
          <w:highlight w:val="none"/>
          <w:u w:val="none"/>
          <w:lang w:val="en-US" w:eastAsia="zh-CN" w:bidi="ar-SA"/>
          <w14:textFill>
            <w14:solidFill>
              <w14:schemeClr w14:val="tx1"/>
            </w14:solidFill>
          </w14:textFill>
        </w:rPr>
        <w:t>。</w:t>
      </w:r>
    </w:p>
    <w:p w14:paraId="3E2DF459">
      <w:pPr>
        <w:pStyle w:val="3"/>
        <w:keepNext w:val="0"/>
        <w:keepLines w:val="0"/>
        <w:pageBreakBefore w:val="0"/>
        <w:tabs>
          <w:tab w:val="left" w:pos="600"/>
        </w:tabs>
        <w:kinsoku/>
        <w:wordWrap/>
        <w:overflowPunct/>
        <w:topLinePunct w:val="0"/>
        <w:bidi w:val="0"/>
        <w:spacing w:after="0" w:line="324" w:lineRule="auto"/>
        <w:ind w:firstLine="400" w:firstLineChars="200"/>
        <w:textAlignment w:val="auto"/>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lang w:val="zh-CN"/>
          <w14:textFill>
            <w14:solidFill>
              <w14:schemeClr w14:val="tx1"/>
            </w14:solidFill>
          </w14:textFill>
        </w:rPr>
        <w:t>承包人承担违约责任，并赔偿因其违约给发包人造成的损失。双方在专用条款内约定承包人赔偿发包人损失的计算方法或者承包人应当支付违约金的数额和计算方法。</w:t>
      </w:r>
    </w:p>
    <w:p w14:paraId="75B23928">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16.2.3因承包人违约解除合同</w:t>
      </w:r>
    </w:p>
    <w:p w14:paraId="47CDCA0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关于承包人违约解除合同的特别约定：</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承包人未按双方确认的施工计划组织施工；</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2</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承包人所施工的分部分项工程经两次验收均不合格；</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3</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承包人擅自更换本工程项目经理；</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4</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承包人未按照本合同约定及时移交工程和满足备案要求的完整竣工资料，逾期超过30天；</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5</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承包人欠付农民工工资、劳务费、材料款等，导致相关人员围堵发包人工地5天或办公经营场所3次或办公经营场所单次一天以上；</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6</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项目经理不胜任本职工作，发包人和工程师可提前7天以书面形式通知承包人更换合格的项目经理，如更换后的项目经理仍旧不能胜任本职工作，发包人有解除合同的权利；</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7</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承包人违反本合同约定义务，经发包人催告后在限期内未改正的</w:t>
      </w:r>
      <w:r>
        <w:rPr>
          <w:rFonts w:hint="eastAsia" w:ascii="仿宋" w:hAnsi="仿宋" w:eastAsia="仿宋" w:cs="仿宋"/>
          <w:color w:val="000000" w:themeColor="text1"/>
          <w:kern w:val="0"/>
          <w:sz w:val="20"/>
          <w:szCs w:val="20"/>
          <w:highlight w:val="none"/>
          <w:u w:val="single"/>
          <w14:textFill>
            <w14:solidFill>
              <w14:schemeClr w14:val="tx1"/>
            </w14:solidFill>
          </w14:textFill>
        </w:rPr>
        <w:t>。</w:t>
      </w:r>
    </w:p>
    <w:p w14:paraId="30B51F2C">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仿宋" w:hAnsi="仿宋" w:eastAsia="仿宋" w:cs="仿宋"/>
          <w:color w:val="000000" w:themeColor="text1"/>
          <w:kern w:val="0"/>
          <w:sz w:val="20"/>
          <w:szCs w:val="20"/>
          <w:highlight w:val="none"/>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w:t>
      </w:r>
      <w:r>
        <w:rPr>
          <w:rFonts w:hint="eastAsia" w:ascii="仿宋" w:hAnsi="仿宋" w:eastAsia="仿宋" w:cs="仿宋"/>
          <w:color w:val="000000" w:themeColor="text1"/>
          <w:kern w:val="0"/>
          <w:sz w:val="20"/>
          <w:szCs w:val="20"/>
          <w:highlight w:val="none"/>
          <w:u w:val="single"/>
          <w:lang w:eastAsia="zh-CN"/>
          <w14:textFill>
            <w14:solidFill>
              <w14:schemeClr w14:val="tx1"/>
            </w14:solidFill>
          </w14:textFill>
        </w:rPr>
        <w:t>文件</w:t>
      </w:r>
      <w:r>
        <w:rPr>
          <w:rFonts w:hint="eastAsia" w:ascii="仿宋" w:hAnsi="仿宋" w:eastAsia="仿宋" w:cs="仿宋"/>
          <w:color w:val="000000" w:themeColor="text1"/>
          <w:kern w:val="0"/>
          <w:sz w:val="20"/>
          <w:szCs w:val="20"/>
          <w:highlight w:val="none"/>
          <w:u w:val="single"/>
          <w14:textFill>
            <w14:solidFill>
              <w14:schemeClr w14:val="tx1"/>
            </w14:solidFill>
          </w14:textFill>
        </w:rPr>
        <w:t>由发包人免费使用，由承包人负责维护、拆除及退场并承担费用</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03B4B2D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16.3一方违约后，另一方要求违约方继续履行合同时，违约方承担上述违约责任后仍应继续履行合同。</w:t>
      </w:r>
    </w:p>
    <w:p w14:paraId="7DF5B6FD">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bookmarkStart w:id="450" w:name="_Toc31345"/>
      <w:bookmarkStart w:id="451" w:name="_Toc351203649"/>
      <w:bookmarkStart w:id="452" w:name="_Toc5388"/>
      <w:r>
        <w:rPr>
          <w:rFonts w:hint="eastAsia" w:ascii="仿宋" w:hAnsi="仿宋" w:eastAsia="仿宋" w:cs="仿宋"/>
          <w:b/>
          <w:color w:val="000000" w:themeColor="text1"/>
          <w:sz w:val="20"/>
          <w:szCs w:val="20"/>
          <w:highlight w:val="none"/>
          <w14:textFill>
            <w14:solidFill>
              <w14:schemeClr w14:val="tx1"/>
            </w14:solidFill>
          </w14:textFill>
        </w:rPr>
        <w:t>17.不可抗力</w:t>
      </w:r>
      <w:bookmarkEnd w:id="379"/>
      <w:bookmarkEnd w:id="450"/>
      <w:bookmarkEnd w:id="451"/>
      <w:bookmarkEnd w:id="452"/>
    </w:p>
    <w:p w14:paraId="2330CE8D">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17.1不可抗力的确认</w:t>
      </w:r>
    </w:p>
    <w:p w14:paraId="429A63A2">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kern w:val="0"/>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除通用合同条款约定的不可抗力事件之外，视为不可抗力的其他情形：</w:t>
      </w:r>
      <w:r>
        <w:rPr>
          <w:rFonts w:hint="eastAsia" w:ascii="仿宋" w:hAnsi="仿宋" w:eastAsia="仿宋" w:cs="仿宋"/>
          <w:color w:val="000000" w:themeColor="text1"/>
          <w:sz w:val="20"/>
          <w:szCs w:val="20"/>
          <w:highlight w:val="none"/>
          <w:u w:val="single"/>
          <w14:textFill>
            <w14:solidFill>
              <w14:schemeClr w14:val="tx1"/>
            </w14:solidFill>
          </w14:textFill>
        </w:rPr>
        <w:t>按通用条款执行。其中正常年份的风、雨、雪、雾天气不属于不可抗力；一个有经验的承包商应当能够估计到的自然气候、环境</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制约</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变化的影响原则上也不</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作为</w:t>
      </w:r>
      <w:r>
        <w:rPr>
          <w:rFonts w:hint="eastAsia" w:ascii="仿宋" w:hAnsi="仿宋" w:eastAsia="仿宋" w:cs="仿宋"/>
          <w:color w:val="000000" w:themeColor="text1"/>
          <w:sz w:val="20"/>
          <w:szCs w:val="20"/>
          <w:highlight w:val="none"/>
          <w:u w:val="single"/>
          <w14:textFill>
            <w14:solidFill>
              <w14:schemeClr w14:val="tx1"/>
            </w14:solidFill>
          </w14:textFill>
        </w:rPr>
        <w:t>不可抗力事件对待；高考、中考、运动会以及政府部门发出的有碍于施工的临时性指令均不</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作为</w:t>
      </w:r>
      <w:r>
        <w:rPr>
          <w:rFonts w:hint="eastAsia" w:ascii="仿宋" w:hAnsi="仿宋" w:eastAsia="仿宋" w:cs="仿宋"/>
          <w:color w:val="000000" w:themeColor="text1"/>
          <w:sz w:val="20"/>
          <w:szCs w:val="20"/>
          <w:highlight w:val="none"/>
          <w:u w:val="single"/>
          <w14:textFill>
            <w14:solidFill>
              <w14:schemeClr w14:val="tx1"/>
            </w14:solidFill>
          </w14:textFill>
        </w:rPr>
        <w:t>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34A866E2">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17.4因不可抗力解除合同</w:t>
      </w:r>
    </w:p>
    <w:p w14:paraId="07563952">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合同解除后，发包人应在商定或确定发包人应支付款项后</w:t>
      </w:r>
      <w:r>
        <w:rPr>
          <w:rFonts w:hint="eastAsia" w:ascii="仿宋" w:hAnsi="仿宋" w:eastAsia="仿宋" w:cs="仿宋"/>
          <w:color w:val="000000" w:themeColor="text1"/>
          <w:sz w:val="20"/>
          <w:szCs w:val="20"/>
          <w:highlight w:val="none"/>
          <w:u w:val="single"/>
          <w14:textFill>
            <w14:solidFill>
              <w14:schemeClr w14:val="tx1"/>
            </w14:solidFill>
          </w14:textFill>
        </w:rPr>
        <w:t>30</w:t>
      </w:r>
      <w:r>
        <w:rPr>
          <w:rFonts w:hint="eastAsia" w:ascii="仿宋" w:hAnsi="仿宋" w:eastAsia="仿宋" w:cs="仿宋"/>
          <w:color w:val="000000" w:themeColor="text1"/>
          <w:sz w:val="20"/>
          <w:szCs w:val="20"/>
          <w:highlight w:val="none"/>
          <w14:textFill>
            <w14:solidFill>
              <w14:schemeClr w14:val="tx1"/>
            </w14:solidFill>
          </w14:textFill>
        </w:rPr>
        <w:t>天内完成款项的支付。</w:t>
      </w:r>
    </w:p>
    <w:bookmarkEnd w:id="380"/>
    <w:bookmarkEnd w:id="381"/>
    <w:bookmarkEnd w:id="382"/>
    <w:bookmarkEnd w:id="383"/>
    <w:bookmarkEnd w:id="384"/>
    <w:bookmarkEnd w:id="385"/>
    <w:bookmarkEnd w:id="386"/>
    <w:bookmarkEnd w:id="387"/>
    <w:bookmarkEnd w:id="388"/>
    <w:bookmarkEnd w:id="389"/>
    <w:bookmarkEnd w:id="390"/>
    <w:bookmarkEnd w:id="391"/>
    <w:bookmarkEnd w:id="392"/>
    <w:p w14:paraId="40DB2EB9">
      <w:pPr>
        <w:pStyle w:val="6"/>
        <w:keepNext w:val="0"/>
        <w:keepLines w:val="0"/>
        <w:pageBreakBefore w:val="0"/>
        <w:kinsoku/>
        <w:wordWrap/>
        <w:overflowPunct/>
        <w:topLinePunct w:val="0"/>
        <w:bidi w:val="0"/>
        <w:spacing w:after="0" w:line="324"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53" w:name="_Toc23046"/>
      <w:bookmarkStart w:id="454" w:name="_Toc17103"/>
      <w:bookmarkStart w:id="455" w:name="_Toc351203651"/>
      <w:r>
        <w:rPr>
          <w:rFonts w:hint="eastAsia" w:ascii="仿宋" w:hAnsi="仿宋" w:eastAsia="仿宋" w:cs="仿宋"/>
          <w:b/>
          <w:color w:val="000000" w:themeColor="text1"/>
          <w:sz w:val="20"/>
          <w:szCs w:val="20"/>
          <w:highlight w:val="none"/>
          <w14:textFill>
            <w14:solidFill>
              <w14:schemeClr w14:val="tx1"/>
            </w14:solidFill>
          </w14:textFill>
        </w:rPr>
        <w:t>20.争议解决</w:t>
      </w:r>
      <w:bookmarkEnd w:id="453"/>
      <w:bookmarkEnd w:id="454"/>
      <w:bookmarkEnd w:id="455"/>
    </w:p>
    <w:bookmarkEnd w:id="393"/>
    <w:bookmarkEnd w:id="394"/>
    <w:bookmarkEnd w:id="395"/>
    <w:p w14:paraId="338EFA81">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20.4仲裁或诉讼</w:t>
      </w:r>
      <w:bookmarkEnd w:id="396"/>
    </w:p>
    <w:p w14:paraId="10E98C0B">
      <w:pPr>
        <w:keepNext w:val="0"/>
        <w:keepLines w:val="0"/>
        <w:pageBreakBefore w:val="0"/>
        <w:kinsoku/>
        <w:wordWrap/>
        <w:overflowPunct/>
        <w:topLinePunct w:val="0"/>
        <w:bidi w:val="0"/>
        <w:spacing w:line="324"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因合同及合同有关事项发生的争议，按下列第</w:t>
      </w:r>
      <w:r>
        <w:rPr>
          <w:rFonts w:hint="eastAsia" w:ascii="仿宋" w:hAnsi="仿宋" w:eastAsia="仿宋" w:cs="仿宋"/>
          <w:color w:val="000000" w:themeColor="text1"/>
          <w:sz w:val="20"/>
          <w:szCs w:val="20"/>
          <w:highlight w:val="none"/>
          <w:u w:val="single"/>
          <w14:textFill>
            <w14:solidFill>
              <w14:schemeClr w14:val="tx1"/>
            </w14:solidFill>
          </w14:textFill>
        </w:rPr>
        <w:t>1</w:t>
      </w:r>
      <w:r>
        <w:rPr>
          <w:rFonts w:hint="eastAsia" w:ascii="仿宋" w:hAnsi="仿宋" w:eastAsia="仿宋" w:cs="仿宋"/>
          <w:color w:val="000000" w:themeColor="text1"/>
          <w:sz w:val="20"/>
          <w:szCs w:val="20"/>
          <w:highlight w:val="none"/>
          <w14:textFill>
            <w14:solidFill>
              <w14:schemeClr w14:val="tx1"/>
            </w14:solidFill>
          </w14:textFill>
        </w:rPr>
        <w:t>种方式解决：</w:t>
      </w:r>
    </w:p>
    <w:p w14:paraId="5D7E2FDA">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向</w:t>
      </w:r>
      <w:r>
        <w:rPr>
          <w:rFonts w:hint="eastAsia" w:ascii="仿宋" w:hAnsi="仿宋" w:eastAsia="仿宋" w:cs="仿宋"/>
          <w:color w:val="000000" w:themeColor="text1"/>
          <w:sz w:val="20"/>
          <w:szCs w:val="20"/>
          <w:highlight w:val="none"/>
          <w:u w:val="single"/>
          <w14:textFill>
            <w14:solidFill>
              <w14:schemeClr w14:val="tx1"/>
            </w14:solidFill>
          </w14:textFill>
        </w:rPr>
        <w:t>西安</w:t>
      </w:r>
      <w:r>
        <w:rPr>
          <w:rFonts w:hint="eastAsia" w:ascii="仿宋" w:hAnsi="仿宋" w:eastAsia="仿宋" w:cs="仿宋"/>
          <w:color w:val="000000" w:themeColor="text1"/>
          <w:sz w:val="20"/>
          <w:szCs w:val="20"/>
          <w:highlight w:val="none"/>
          <w14:textFill>
            <w14:solidFill>
              <w14:schemeClr w14:val="tx1"/>
            </w14:solidFill>
          </w14:textFill>
        </w:rPr>
        <w:t>仲裁委员会申请仲裁；</w:t>
      </w:r>
    </w:p>
    <w:p w14:paraId="2ECE8261">
      <w:pPr>
        <w:keepNext w:val="0"/>
        <w:keepLines w:val="0"/>
        <w:pageBreakBefore w:val="0"/>
        <w:kinsoku/>
        <w:wordWrap/>
        <w:overflowPunct/>
        <w:topLinePunct w:val="0"/>
        <w:bidi w:val="0"/>
        <w:spacing w:line="324" w:lineRule="auto"/>
        <w:ind w:firstLine="400" w:firstLineChars="200"/>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向人民法院起诉。</w:t>
      </w:r>
      <w:bookmarkEnd w:id="397"/>
      <w:bookmarkEnd w:id="398"/>
      <w:bookmarkEnd w:id="399"/>
      <w:bookmarkEnd w:id="400"/>
      <w:bookmarkEnd w:id="401"/>
      <w:bookmarkEnd w:id="402"/>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附件</w:t>
      </w:r>
    </w:p>
    <w:p w14:paraId="61F8675C">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协议书附件：</w:t>
      </w:r>
    </w:p>
    <w:p w14:paraId="43636CD9">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专用合同条款附件</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根据实际自行增减</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p>
    <w:p w14:paraId="5C53B5B3">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6" w:name="_Toc6782_WPSOffice_Level2"/>
      <w:r>
        <w:rPr>
          <w:rFonts w:hint="eastAsia" w:ascii="仿宋" w:hAnsi="仿宋" w:eastAsia="仿宋" w:cs="仿宋"/>
          <w:color w:val="000000" w:themeColor="text1"/>
          <w:sz w:val="20"/>
          <w:szCs w:val="20"/>
          <w:highlight w:val="none"/>
          <w14:textFill>
            <w14:solidFill>
              <w14:schemeClr w14:val="tx1"/>
            </w14:solidFill>
          </w14:textFill>
        </w:rPr>
        <w:t>附件1：发包人供应材料设备一览表</w:t>
      </w:r>
      <w:bookmarkEnd w:id="456"/>
    </w:p>
    <w:p w14:paraId="6F4948A8">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7" w:name="_Toc4615_WPSOffice_Level2"/>
      <w:r>
        <w:rPr>
          <w:rFonts w:hint="eastAsia" w:ascii="仿宋" w:hAnsi="仿宋" w:eastAsia="仿宋" w:cs="仿宋"/>
          <w:color w:val="000000" w:themeColor="text1"/>
          <w:sz w:val="20"/>
          <w:szCs w:val="20"/>
          <w:highlight w:val="none"/>
          <w14:textFill>
            <w14:solidFill>
              <w14:schemeClr w14:val="tx1"/>
            </w14:solidFill>
          </w14:textFill>
        </w:rPr>
        <w:t>附件2：工程质量保修书</w:t>
      </w:r>
      <w:bookmarkEnd w:id="457"/>
    </w:p>
    <w:p w14:paraId="6E7DE6B4">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8" w:name="_Toc24155_WPSOffice_Level2"/>
      <w:r>
        <w:rPr>
          <w:rFonts w:hint="eastAsia" w:ascii="仿宋" w:hAnsi="仿宋" w:eastAsia="仿宋" w:cs="仿宋"/>
          <w:color w:val="000000" w:themeColor="text1"/>
          <w:sz w:val="20"/>
          <w:szCs w:val="20"/>
          <w:highlight w:val="none"/>
          <w14:textFill>
            <w14:solidFill>
              <w14:schemeClr w14:val="tx1"/>
            </w14:solidFill>
          </w14:textFill>
        </w:rPr>
        <w:t>附件3：主要建设工程文件目录</w:t>
      </w:r>
      <w:bookmarkEnd w:id="458"/>
    </w:p>
    <w:p w14:paraId="129A28B7">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59" w:name="_Toc8967_WPSOffice_Level2"/>
      <w:r>
        <w:rPr>
          <w:rFonts w:hint="eastAsia" w:ascii="仿宋" w:hAnsi="仿宋" w:eastAsia="仿宋" w:cs="仿宋"/>
          <w:color w:val="000000" w:themeColor="text1"/>
          <w:sz w:val="20"/>
          <w:szCs w:val="20"/>
          <w:highlight w:val="none"/>
          <w14:textFill>
            <w14:solidFill>
              <w14:schemeClr w14:val="tx1"/>
            </w14:solidFill>
          </w14:textFill>
        </w:rPr>
        <w:t>附件4：承包人用于本工程施工的机械设备表</w:t>
      </w:r>
      <w:bookmarkEnd w:id="459"/>
    </w:p>
    <w:p w14:paraId="7A0DDD3C">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60" w:name="_Toc20672_WPSOffice_Level2"/>
      <w:r>
        <w:rPr>
          <w:rFonts w:hint="eastAsia" w:ascii="仿宋" w:hAnsi="仿宋" w:eastAsia="仿宋" w:cs="仿宋"/>
          <w:color w:val="000000" w:themeColor="text1"/>
          <w:sz w:val="20"/>
          <w:szCs w:val="20"/>
          <w:highlight w:val="none"/>
          <w14:textFill>
            <w14:solidFill>
              <w14:schemeClr w14:val="tx1"/>
            </w14:solidFill>
          </w14:textFill>
        </w:rPr>
        <w:t>附件5：承包人主要施工管理人员表</w:t>
      </w:r>
      <w:bookmarkEnd w:id="460"/>
    </w:p>
    <w:p w14:paraId="4FDF5F0C">
      <w:pPr>
        <w:keepLines w:val="0"/>
        <w:pageBreakBefore w:val="0"/>
        <w:kinsoku/>
        <w:wordWrap/>
        <w:overflowPunct/>
        <w:topLinePunct w:val="0"/>
        <w:bidi w:val="0"/>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61" w:name="_Toc10831_WPSOffice_Level2"/>
      <w:r>
        <w:rPr>
          <w:rFonts w:hint="eastAsia" w:ascii="仿宋" w:hAnsi="仿宋" w:eastAsia="仿宋" w:cs="仿宋"/>
          <w:color w:val="000000" w:themeColor="text1"/>
          <w:sz w:val="20"/>
          <w:szCs w:val="20"/>
          <w:highlight w:val="none"/>
          <w14:textFill>
            <w14:solidFill>
              <w14:schemeClr w14:val="tx1"/>
            </w14:solidFill>
          </w14:textFill>
        </w:rPr>
        <w:t>附件6：分包人主要施工管理人员表</w:t>
      </w:r>
      <w:bookmarkEnd w:id="461"/>
    </w:p>
    <w:p w14:paraId="136E9C53">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62" w:name="_Toc32020_WPSOffice_Level2"/>
      <w:r>
        <w:rPr>
          <w:rFonts w:hint="eastAsia" w:ascii="仿宋" w:hAnsi="仿宋" w:eastAsia="仿宋" w:cs="仿宋"/>
          <w:color w:val="000000" w:themeColor="text1"/>
          <w:sz w:val="20"/>
          <w:szCs w:val="20"/>
          <w:highlight w:val="none"/>
          <w14:textFill>
            <w14:solidFill>
              <w14:schemeClr w14:val="tx1"/>
            </w14:solidFill>
          </w14:textFill>
        </w:rPr>
        <w:t>附件7：暂估价一览表</w:t>
      </w:r>
      <w:bookmarkEnd w:id="462"/>
    </w:p>
    <w:p w14:paraId="1A66D332">
      <w:pPr>
        <w:keepLines w:val="0"/>
        <w:pageBreakBefore w:val="0"/>
        <w:widowControl/>
        <w:kinsoku/>
        <w:wordWrap/>
        <w:overflowPunct/>
        <w:topLinePunct w:val="0"/>
        <w:bidi w:val="0"/>
        <w:spacing w:line="300" w:lineRule="auto"/>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w:t>
      </w:r>
      <w:bookmarkStart w:id="463" w:name="_Toc296891265"/>
      <w:bookmarkStart w:id="464" w:name="_Toc296347224"/>
      <w:bookmarkStart w:id="465" w:name="_Toc296891053"/>
      <w:bookmarkStart w:id="466" w:name="_Toc296503225"/>
      <w:bookmarkStart w:id="467" w:name="_Toc267261692"/>
      <w:bookmarkStart w:id="468" w:name="_Toc296944564"/>
      <w:bookmarkStart w:id="469" w:name="_Toc296346726"/>
      <w:r>
        <w:rPr>
          <w:rFonts w:hint="eastAsia" w:ascii="仿宋" w:hAnsi="仿宋" w:eastAsia="仿宋" w:cs="仿宋"/>
          <w:b/>
          <w:color w:val="000000" w:themeColor="text1"/>
          <w:sz w:val="20"/>
          <w:szCs w:val="20"/>
          <w:highlight w:val="none"/>
          <w14:textFill>
            <w14:solidFill>
              <w14:schemeClr w14:val="tx1"/>
            </w14:solidFill>
          </w14:textFill>
        </w:rPr>
        <w:t>件1：</w:t>
      </w:r>
    </w:p>
    <w:bookmarkEnd w:id="463"/>
    <w:bookmarkEnd w:id="464"/>
    <w:bookmarkEnd w:id="465"/>
    <w:bookmarkEnd w:id="466"/>
    <w:bookmarkEnd w:id="467"/>
    <w:bookmarkEnd w:id="468"/>
    <w:bookmarkEnd w:id="469"/>
    <w:p w14:paraId="34525E0F">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发包人供应材料设备一览表</w:t>
      </w:r>
    </w:p>
    <w:tbl>
      <w:tblPr>
        <w:tblStyle w:val="7"/>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2"/>
        <w:gridCol w:w="1276"/>
        <w:gridCol w:w="1418"/>
        <w:gridCol w:w="940"/>
        <w:gridCol w:w="851"/>
        <w:gridCol w:w="1044"/>
        <w:gridCol w:w="992"/>
        <w:gridCol w:w="851"/>
        <w:gridCol w:w="1270"/>
        <w:gridCol w:w="850"/>
      </w:tblGrid>
      <w:tr w14:paraId="670D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0" w:hRule="atLeast"/>
          <w:jc w:val="center"/>
        </w:trPr>
        <w:tc>
          <w:tcPr>
            <w:tcW w:w="572" w:type="dxa"/>
            <w:noWrap w:val="0"/>
            <w:vAlign w:val="center"/>
          </w:tcPr>
          <w:p w14:paraId="6FFA302F">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276" w:type="dxa"/>
            <w:noWrap w:val="0"/>
            <w:vAlign w:val="center"/>
          </w:tcPr>
          <w:p w14:paraId="21545BEE">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材料、设备品种</w:t>
            </w:r>
          </w:p>
        </w:tc>
        <w:tc>
          <w:tcPr>
            <w:tcW w:w="1418" w:type="dxa"/>
            <w:noWrap w:val="0"/>
            <w:vAlign w:val="center"/>
          </w:tcPr>
          <w:p w14:paraId="29A8EC00">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规格型号</w:t>
            </w:r>
          </w:p>
        </w:tc>
        <w:tc>
          <w:tcPr>
            <w:tcW w:w="940" w:type="dxa"/>
            <w:noWrap w:val="0"/>
            <w:vAlign w:val="center"/>
          </w:tcPr>
          <w:p w14:paraId="375ED94C">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851" w:type="dxa"/>
            <w:noWrap w:val="0"/>
            <w:vAlign w:val="center"/>
          </w:tcPr>
          <w:p w14:paraId="3BCB0769">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044" w:type="dxa"/>
            <w:noWrap w:val="0"/>
            <w:vAlign w:val="center"/>
          </w:tcPr>
          <w:p w14:paraId="30BD4E32">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w:t>
            </w:r>
          </w:p>
          <w:p w14:paraId="45C21C7D">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992" w:type="dxa"/>
            <w:noWrap w:val="0"/>
            <w:vAlign w:val="center"/>
          </w:tcPr>
          <w:p w14:paraId="7928CCDF">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质量</w:t>
            </w:r>
          </w:p>
          <w:p w14:paraId="6A5F338A">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等级</w:t>
            </w:r>
          </w:p>
        </w:tc>
        <w:tc>
          <w:tcPr>
            <w:tcW w:w="851" w:type="dxa"/>
            <w:noWrap w:val="0"/>
            <w:vAlign w:val="center"/>
          </w:tcPr>
          <w:p w14:paraId="731CD83A">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供应时间</w:t>
            </w:r>
          </w:p>
        </w:tc>
        <w:tc>
          <w:tcPr>
            <w:tcW w:w="1270" w:type="dxa"/>
            <w:noWrap w:val="0"/>
            <w:vAlign w:val="center"/>
          </w:tcPr>
          <w:p w14:paraId="4F155274">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送达地点</w:t>
            </w:r>
          </w:p>
        </w:tc>
        <w:tc>
          <w:tcPr>
            <w:tcW w:w="850" w:type="dxa"/>
            <w:noWrap w:val="0"/>
            <w:vAlign w:val="center"/>
          </w:tcPr>
          <w:p w14:paraId="5D7F2FF0">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4A22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6EB4AA5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3AEB988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118D7EE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940B4D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6723823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3744C48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22185DD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593A45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24190C9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2F3400A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2F2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4BA23B1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6786F0D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D1BEBD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19A13B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1DD19AD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3248F6D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6DBC45B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2658D9D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4528F1C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05E9118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DD22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7A7135B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7219AAA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164B1F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67FCF22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7BD8A9D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05B614E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0E55D3B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5E2F038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0F73743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3D8A753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A98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77A16F5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437BA9C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18357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7A7B09A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6AFC266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5500ED3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6776AA6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432C14D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69698D2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166887D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C97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172D84F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735433E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560EA1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6CBDDAF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50CFA83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666F5EB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3025CB2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7DB630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2FE2A12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09983CF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A33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23500A2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5488F33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13CED87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3C5B370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51527F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409A854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02DB851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C08540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046A353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0C2EB63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AE3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0F38F3A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45904CE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735784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3E0EE3E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EFC372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5B1FE97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9B6691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EC1DF2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369575F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E2198C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7B8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6D87418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1CEDB1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ACDAA2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5F374A4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F34DB8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071EFC6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5DFC864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113F862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4108574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785773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AAD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2362012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281D3E7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4E61725">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51AE0E1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515AB4A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4739545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58F5A372">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22E1D3D6">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D736AD6">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0916B5E5">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D8B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22DBB5E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5073FC7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B94C8F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73C506A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12B7DFC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1D4FDA5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5005F6F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990194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77D6241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640E67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0A1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0286B1BA">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5725ADB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A5EDA4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0430A1B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1C163BA">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70AFB1D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18EC3FB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18596B3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1D7437A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26F856B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E10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3C7D5A7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3E97BEFD">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82E809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06FDCA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6BB6748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1020A6C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042AB8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36EC5D96">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8429DB8">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F1728A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882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7BBEF6E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0D7D5A0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A009A52">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6BED372D">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F6C3F06">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775AE5E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00DC170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336A036">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2BE578B8">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F0E452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513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704ADFE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2E09CEA7">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082450EC">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279254BD">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70FD9AA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6D154834">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4F11BA6">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7C0A68CF">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59A71A4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30F8CBEE">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C53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72" w:type="dxa"/>
            <w:noWrap w:val="0"/>
            <w:vAlign w:val="center"/>
          </w:tcPr>
          <w:p w14:paraId="0740FAC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5A80AE88">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D875383">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40" w:type="dxa"/>
            <w:noWrap w:val="0"/>
            <w:vAlign w:val="center"/>
          </w:tcPr>
          <w:p w14:paraId="456622D1">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91B345A">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44" w:type="dxa"/>
            <w:noWrap w:val="0"/>
            <w:vAlign w:val="center"/>
          </w:tcPr>
          <w:p w14:paraId="08A5F96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92" w:type="dxa"/>
            <w:noWrap w:val="0"/>
            <w:vAlign w:val="center"/>
          </w:tcPr>
          <w:p w14:paraId="400F8439">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center"/>
          </w:tcPr>
          <w:p w14:paraId="0FF88AFA">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0" w:type="dxa"/>
            <w:noWrap w:val="0"/>
            <w:vAlign w:val="center"/>
          </w:tcPr>
          <w:p w14:paraId="2D5B1D4B">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72DB0190">
            <w:pPr>
              <w:keepLines w:val="0"/>
              <w:pageBreakBefore w:val="0"/>
              <w:kinsoku/>
              <w:wordWrap/>
              <w:overflowPunct/>
              <w:topLinePunct w:val="0"/>
              <w:bidi w:val="0"/>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51271B24">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48CFF19C">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附件2：</w:t>
      </w:r>
    </w:p>
    <w:p w14:paraId="568DD1B5">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工程质量保修书</w:t>
      </w:r>
    </w:p>
    <w:p w14:paraId="1A469F37">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招标人</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5D754448">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承包人：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供应商</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4CC95D01">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为保证</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工程名称</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23C8DB46">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1.质量保修范围</w:t>
      </w:r>
    </w:p>
    <w:p w14:paraId="78F97918">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修范围包括地基基础工程、主体结构工程、屋面防水工程、有防水要求的卫生间、房间、外墙面的防渗漏工程、电气管线工程、给排水管道工程、设备安装工程、供热、供冷系统工程、装饰装修工程以及双方约</w:t>
      </w:r>
      <w:r>
        <w:rPr>
          <w:rFonts w:hint="eastAsia" w:ascii="仿宋" w:hAnsi="仿宋" w:eastAsia="仿宋" w:cs="仿宋"/>
          <w:color w:val="000000" w:themeColor="text1"/>
          <w:sz w:val="20"/>
          <w:szCs w:val="20"/>
          <w:highlight w:val="none"/>
          <w:lang w:eastAsia="zh-CN"/>
          <w14:textFill>
            <w14:solidFill>
              <w14:schemeClr w14:val="tx1"/>
            </w14:solidFill>
          </w14:textFill>
        </w:rPr>
        <w:t>定的</w:t>
      </w:r>
      <w:r>
        <w:rPr>
          <w:rFonts w:hint="eastAsia" w:ascii="仿宋" w:hAnsi="仿宋" w:eastAsia="仿宋" w:cs="仿宋"/>
          <w:color w:val="000000" w:themeColor="text1"/>
          <w:sz w:val="20"/>
          <w:szCs w:val="20"/>
          <w:highlight w:val="none"/>
          <w14:textFill>
            <w14:solidFill>
              <w14:schemeClr w14:val="tx1"/>
            </w14:solidFill>
          </w14:textFill>
        </w:rPr>
        <w:t>其他项目。具体质量保修范围，双方约定如下：</w:t>
      </w:r>
    </w:p>
    <w:p w14:paraId="46A8B0E1">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4ADF8C8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2C560447">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30CE56FC">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2.质量保修期</w:t>
      </w:r>
    </w:p>
    <w:p w14:paraId="61703A6D">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双方根据《建设工程质量管理条例》及有关规定，约定本工程质量保修期如下：</w:t>
      </w:r>
    </w:p>
    <w:p w14:paraId="02E543AE">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地基基础工程、主体结构工程为设计文件规定的合理使用年限；</w:t>
      </w:r>
    </w:p>
    <w:p w14:paraId="251CAF08">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屋面防水工程、有防水要求的卫生间、房间和外墙面的防渗漏工程为：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43DA3BE7">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电气管线工程、给排水管道、设备安装工程为：</w:t>
      </w:r>
      <w:r>
        <w:rPr>
          <w:rFonts w:hint="eastAsia" w:eastAsia="仿宋"/>
          <w:color w:val="000000" w:themeColor="text1"/>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0"/>
          <w:szCs w:val="20"/>
          <w:highlight w:val="none"/>
          <w14:textFill>
            <w14:solidFill>
              <w14:schemeClr w14:val="tx1"/>
            </w14:solidFill>
          </w14:textFill>
        </w:rPr>
        <w:t>年；</w:t>
      </w:r>
    </w:p>
    <w:p w14:paraId="34ACFC3D">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4</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供热、供冷系统工程为：</w:t>
      </w:r>
      <w:r>
        <w:rPr>
          <w:rFonts w:hint="eastAsia" w:eastAsia="仿宋"/>
          <w:color w:val="000000" w:themeColor="text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个采暖期、供冷期；</w:t>
      </w:r>
    </w:p>
    <w:p w14:paraId="7E0F1400">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5</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装饰装修工程为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eastAsia="仿宋"/>
          <w:color w:val="000000" w:themeColor="text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6BBDD7F3">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6</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其他项目为</w:t>
      </w:r>
      <w:r>
        <w:rPr>
          <w:rFonts w:hint="eastAsia" w:eastAsia="仿宋"/>
          <w:color w:val="000000" w:themeColor="text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p>
    <w:p w14:paraId="31B1C5F5">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3.质量保修责任</w:t>
      </w:r>
    </w:p>
    <w:p w14:paraId="79EBF635">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3.1属于保修范围的项目，承包人应在接到通知后的7天内派人保修，承包人不在约定期限内派人保修，发包人可自行或指派第三方保修。</w:t>
      </w:r>
    </w:p>
    <w:p w14:paraId="4E39F658">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3.2发生紧急抢修事故的，承包人在接到通知后，应立即到达事故现场抢修。</w:t>
      </w:r>
    </w:p>
    <w:p w14:paraId="34A8BC52">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3.3在国家规定的工程合理使用期限内，承包人应确保地基基础工程和主体结构的安全和质量。凡</w:t>
      </w:r>
      <w:r>
        <w:rPr>
          <w:rFonts w:hint="eastAsia" w:ascii="仿宋" w:hAnsi="仿宋" w:eastAsia="仿宋" w:cs="仿宋"/>
          <w:color w:val="000000" w:themeColor="text1"/>
          <w:sz w:val="20"/>
          <w:szCs w:val="20"/>
          <w:highlight w:val="none"/>
          <w:lang w:eastAsia="zh-CN"/>
          <w14:textFill>
            <w14:solidFill>
              <w14:schemeClr w14:val="tx1"/>
            </w14:solidFill>
          </w14:textFill>
        </w:rPr>
        <w:t>出现</w:t>
      </w:r>
      <w:r>
        <w:rPr>
          <w:rFonts w:hint="eastAsia" w:ascii="仿宋" w:hAnsi="仿宋" w:eastAsia="仿宋" w:cs="仿宋"/>
          <w:color w:val="000000" w:themeColor="text1"/>
          <w:sz w:val="20"/>
          <w:szCs w:val="20"/>
          <w:highlight w:val="none"/>
          <w14:textFill>
            <w14:solidFill>
              <w14:schemeClr w14:val="tx1"/>
            </w14:solidFill>
          </w14:textFill>
        </w:rPr>
        <w:t>质量问题，应立即报告当地建设行政主管部门，由设计单位提出保修方案，承包人应立即实施保修。</w:t>
      </w:r>
    </w:p>
    <w:p w14:paraId="2E6BDA4C">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3.4质量保修完成后，由发包人组织验收。</w:t>
      </w:r>
    </w:p>
    <w:p w14:paraId="6C2C03ED">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4.质量保修费用</w:t>
      </w:r>
    </w:p>
    <w:p w14:paraId="50163A35">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质量保修费用及相关的损害赔偿费，由造成质量缺陷的责任方承担。</w:t>
      </w:r>
    </w:p>
    <w:p w14:paraId="3C3988B6">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5.质量保证金</w:t>
      </w:r>
    </w:p>
    <w:p w14:paraId="0DEA873F">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质量保证金的使用、约定、支付、返还与本合同的质量保证金赋予的约定一致。</w:t>
      </w:r>
    </w:p>
    <w:p w14:paraId="6423C310">
      <w:pPr>
        <w:keepLines w:val="0"/>
        <w:pageBreakBefore w:val="0"/>
        <w:kinsoku/>
        <w:wordWrap/>
        <w:overflowPunct/>
        <w:topLinePunct w:val="0"/>
        <w:bidi w:val="0"/>
        <w:adjustRightInd w:val="0"/>
        <w:snapToGrid w:val="0"/>
        <w:spacing w:line="300" w:lineRule="auto"/>
        <w:ind w:firstLine="402" w:firstLineChars="20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6.其他</w:t>
      </w:r>
    </w:p>
    <w:p w14:paraId="6BE5C74B">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6.1双方约定的</w:t>
      </w:r>
      <w:r>
        <w:rPr>
          <w:rFonts w:hint="eastAsia" w:ascii="仿宋" w:hAnsi="仿宋" w:eastAsia="仿宋" w:cs="仿宋"/>
          <w:color w:val="000000" w:themeColor="text1"/>
          <w:sz w:val="20"/>
          <w:szCs w:val="20"/>
          <w:highlight w:val="none"/>
          <w:lang w:eastAsia="zh-CN"/>
          <w14:textFill>
            <w14:solidFill>
              <w14:schemeClr w14:val="tx1"/>
            </w14:solidFill>
          </w14:textFill>
        </w:rPr>
        <w:t>其他</w:t>
      </w:r>
      <w:r>
        <w:rPr>
          <w:rFonts w:hint="eastAsia" w:ascii="仿宋" w:hAnsi="仿宋" w:eastAsia="仿宋" w:cs="仿宋"/>
          <w:color w:val="000000" w:themeColor="text1"/>
          <w:sz w:val="20"/>
          <w:szCs w:val="20"/>
          <w:highlight w:val="none"/>
          <w14:textFill>
            <w14:solidFill>
              <w14:schemeClr w14:val="tx1"/>
            </w14:solidFill>
          </w14:textFill>
        </w:rPr>
        <w:t>工程质量保修事项：</w:t>
      </w:r>
    </w:p>
    <w:p w14:paraId="76DC1FAA">
      <w:pPr>
        <w:keepLines w:val="0"/>
        <w:pageBreakBefore w:val="0"/>
        <w:kinsoku/>
        <w:wordWrap/>
        <w:overflowPunct/>
        <w:topLinePunct w:val="0"/>
        <w:bidi w:val="0"/>
        <w:adjustRightInd w:val="0"/>
        <w:snapToGrid w:val="0"/>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6.2本工程质量保修书，由发包人承包人在工程竣工验收前签署，作为合同附件，其有效期限至保修期满。</w:t>
      </w:r>
    </w:p>
    <w:p w14:paraId="4D7CA9EF">
      <w:pPr>
        <w:keepLines w:val="0"/>
        <w:pageBreakBefore w:val="0"/>
        <w:kinsoku/>
        <w:wordWrap/>
        <w:overflowPunct/>
        <w:topLinePunct w:val="0"/>
        <w:bidi w:val="0"/>
        <w:adjustRightInd w:val="0"/>
        <w:snapToGrid w:val="0"/>
        <w:spacing w:line="300" w:lineRule="auto"/>
        <w:ind w:firstLine="480"/>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0A12642A">
      <w:pPr>
        <w:keepLines w:val="0"/>
        <w:pageBreakBefore w:val="0"/>
        <w:kinsoku/>
        <w:wordWrap/>
        <w:overflowPunct/>
        <w:topLinePunct w:val="0"/>
        <w:bidi w:val="0"/>
        <w:adjustRightInd w:val="0"/>
        <w:snapToGrid w:val="0"/>
        <w:spacing w:line="300" w:lineRule="auto"/>
        <w:ind w:firstLine="1200" w:firstLineChars="6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公章</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承包人</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公章</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p>
    <w:p w14:paraId="76AA3BFC">
      <w:pPr>
        <w:keepLines w:val="0"/>
        <w:pageBreakBefore w:val="0"/>
        <w:kinsoku/>
        <w:wordWrap/>
        <w:overflowPunct/>
        <w:topLinePunct w:val="0"/>
        <w:bidi w:val="0"/>
        <w:adjustRightInd w:val="0"/>
        <w:snapToGrid w:val="0"/>
        <w:spacing w:line="300" w:lineRule="auto"/>
        <w:ind w:firstLine="1200" w:firstLineChars="600"/>
        <w:textAlignment w:val="auto"/>
        <w:rPr>
          <w:rFonts w:hint="eastAsia" w:ascii="仿宋" w:hAnsi="仿宋" w:eastAsia="仿宋" w:cs="仿宋"/>
          <w:color w:val="000000" w:themeColor="text1"/>
          <w:sz w:val="20"/>
          <w:szCs w:val="20"/>
          <w:highlight w:val="none"/>
          <w:u w:val="singl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签名</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法定代表人</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签名</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p>
    <w:p w14:paraId="0579FE7A">
      <w:pPr>
        <w:keepLines w:val="0"/>
        <w:pageBreakBefore w:val="0"/>
        <w:kinsoku/>
        <w:wordWrap/>
        <w:overflowPunct/>
        <w:topLinePunct w:val="0"/>
        <w:bidi w:val="0"/>
        <w:adjustRightInd w:val="0"/>
        <w:snapToGrid w:val="0"/>
        <w:spacing w:line="300" w:lineRule="auto"/>
        <w:ind w:firstLine="1200" w:firstLineChars="600"/>
        <w:textAlignment w:val="auto"/>
        <w:rPr>
          <w:rFonts w:hint="default" w:ascii="仿宋" w:hAnsi="仿宋" w:eastAsia="仿宋" w:cs="仿宋"/>
          <w:b/>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p>
    <w:p w14:paraId="20E7D959">
      <w:pPr>
        <w:keepLines w:val="0"/>
        <w:pageBreakBefore w:val="0"/>
        <w:widowControl/>
        <w:kinsoku/>
        <w:wordWrap/>
        <w:overflowPunct/>
        <w:topLinePunct w:val="0"/>
        <w:bidi w:val="0"/>
        <w:spacing w:line="300" w:lineRule="auto"/>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附件3：</w:t>
      </w:r>
    </w:p>
    <w:p w14:paraId="1EEFE559">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主要建设工程文件目录</w:t>
      </w:r>
    </w:p>
    <w:tbl>
      <w:tblPr>
        <w:tblStyle w:val="7"/>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79DD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1" w:hRule="atLeast"/>
          <w:jc w:val="center"/>
        </w:trPr>
        <w:tc>
          <w:tcPr>
            <w:tcW w:w="1953" w:type="dxa"/>
            <w:noWrap w:val="0"/>
            <w:vAlign w:val="center"/>
          </w:tcPr>
          <w:p w14:paraId="7E7CF402">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文件名称</w:t>
            </w:r>
          </w:p>
        </w:tc>
        <w:tc>
          <w:tcPr>
            <w:tcW w:w="1276" w:type="dxa"/>
            <w:noWrap w:val="0"/>
            <w:vAlign w:val="center"/>
          </w:tcPr>
          <w:p w14:paraId="0F2B927D">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套数</w:t>
            </w:r>
          </w:p>
        </w:tc>
        <w:tc>
          <w:tcPr>
            <w:tcW w:w="1450" w:type="dxa"/>
            <w:noWrap w:val="0"/>
            <w:vAlign w:val="center"/>
          </w:tcPr>
          <w:p w14:paraId="7B607F7F">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费用</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1243" w:type="dxa"/>
            <w:noWrap w:val="0"/>
            <w:vAlign w:val="center"/>
          </w:tcPr>
          <w:p w14:paraId="5584CD41">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质量</w:t>
            </w:r>
          </w:p>
        </w:tc>
        <w:tc>
          <w:tcPr>
            <w:tcW w:w="1450" w:type="dxa"/>
            <w:noWrap w:val="0"/>
            <w:vAlign w:val="center"/>
          </w:tcPr>
          <w:p w14:paraId="73BA5794">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移交时间</w:t>
            </w:r>
          </w:p>
        </w:tc>
        <w:tc>
          <w:tcPr>
            <w:tcW w:w="1667" w:type="dxa"/>
            <w:noWrap w:val="0"/>
            <w:vAlign w:val="center"/>
          </w:tcPr>
          <w:p w14:paraId="71E0540B">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责任人</w:t>
            </w:r>
          </w:p>
        </w:tc>
      </w:tr>
      <w:tr w14:paraId="5506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F9D36D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69E7CC1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51E4C5C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0FD8F9A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6B2ABF3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2F76ECF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05E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72E2CE5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364A4C5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493BF61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0BD1AF7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1F6F758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29AF40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DB8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1E7CFF4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EDF8F0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47DE35C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0EDDA01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41B0AAE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78C72EE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28D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FA92C6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47EF35E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707739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0D39E2D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3FF7003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77C5933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2E1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7B11E47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75CBAE7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5DD85A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7048F77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03F0B86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024D015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75D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753D67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74CD3F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34C7B1A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4ADFD40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5CC8915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74146E3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81E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4DD558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462FE9D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35BF85C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7FC233F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7114F0E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52D4162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344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E7D05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1F8871D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36EE2D6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3535016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67B9CBA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46918E3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D16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1BDCB1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3190697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145CFB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622B62D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51A5286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3069D24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C30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144D51C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center"/>
          </w:tcPr>
          <w:p w14:paraId="61A650C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63E4A53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center"/>
          </w:tcPr>
          <w:p w14:paraId="519B578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center"/>
          </w:tcPr>
          <w:p w14:paraId="35B595D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center"/>
          </w:tcPr>
          <w:p w14:paraId="104A421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374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6E62BB2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0A61F98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58201A5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46C6D30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0EDF6EA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3B20685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5C8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D3EA2A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778FB53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347FD2C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41F8BB9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290CC7D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710BE38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0C4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D72E85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2A2EAE3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49E6D9A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713DE0B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231EFC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4685D27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D52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5BB36E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262DB16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37F6BF9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6EE21A0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499C8C1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4DD8E27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A1E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AB34F4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349E417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1FC6D97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1FA559A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ED3765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591BEFD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98F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2BBFF6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58686C8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1B49654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3CBAC93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23F015F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42E30C0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4DB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CEB3D0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348FF86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6687CAD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671B68B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4711C24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6EC4A51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020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275ACE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76" w:type="dxa"/>
            <w:noWrap w:val="0"/>
            <w:vAlign w:val="top"/>
          </w:tcPr>
          <w:p w14:paraId="3799988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5CD8EFB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243" w:type="dxa"/>
            <w:noWrap w:val="0"/>
            <w:vAlign w:val="top"/>
          </w:tcPr>
          <w:p w14:paraId="584C589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50" w:type="dxa"/>
            <w:noWrap w:val="0"/>
            <w:vAlign w:val="top"/>
          </w:tcPr>
          <w:p w14:paraId="476F222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667" w:type="dxa"/>
            <w:noWrap w:val="0"/>
            <w:vAlign w:val="top"/>
          </w:tcPr>
          <w:p w14:paraId="7455993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4BCDBB36">
      <w:pPr>
        <w:keepLines w:val="0"/>
        <w:pageBreakBefore w:val="0"/>
        <w:widowControl/>
        <w:kinsoku/>
        <w:wordWrap/>
        <w:overflowPunct/>
        <w:topLinePunct w:val="0"/>
        <w:bidi w:val="0"/>
        <w:spacing w:line="300" w:lineRule="auto"/>
        <w:textAlignment w:val="auto"/>
        <w:rPr>
          <w:rFonts w:hint="eastAsia" w:ascii="仿宋" w:hAnsi="仿宋" w:eastAsia="仿宋" w:cs="仿宋"/>
          <w:color w:val="000000" w:themeColor="text1"/>
          <w:kern w:val="0"/>
          <w:sz w:val="20"/>
          <w:szCs w:val="20"/>
          <w:highlight w:val="none"/>
          <w14:textFill>
            <w14:solidFill>
              <w14:schemeClr w14:val="tx1"/>
            </w14:solidFill>
          </w14:textFill>
        </w:rPr>
      </w:pPr>
    </w:p>
    <w:p w14:paraId="118D9670">
      <w:pPr>
        <w:keepLines w:val="0"/>
        <w:pageBreakBefore w:val="0"/>
        <w:widowControl/>
        <w:kinsoku/>
        <w:wordWrap/>
        <w:overflowPunct/>
        <w:topLinePunct w:val="0"/>
        <w:bidi w:val="0"/>
        <w:spacing w:line="300" w:lineRule="auto"/>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bookmarkStart w:id="470" w:name="_Toc23281_WPSOffice_Level2"/>
      <w:r>
        <w:rPr>
          <w:rFonts w:hint="eastAsia" w:ascii="仿宋" w:hAnsi="仿宋" w:eastAsia="仿宋" w:cs="仿宋"/>
          <w:b/>
          <w:color w:val="000000" w:themeColor="text1"/>
          <w:sz w:val="20"/>
          <w:szCs w:val="20"/>
          <w:highlight w:val="none"/>
          <w14:textFill>
            <w14:solidFill>
              <w14:schemeClr w14:val="tx1"/>
            </w14:solidFill>
          </w14:textFill>
        </w:rPr>
        <w:t>附</w:t>
      </w:r>
      <w:bookmarkStart w:id="471" w:name="_Toc296891267"/>
      <w:bookmarkStart w:id="472" w:name="_Toc296944566"/>
      <w:bookmarkStart w:id="473" w:name="_Toc296347226"/>
      <w:bookmarkStart w:id="474" w:name="_Toc296346728"/>
      <w:bookmarkStart w:id="475" w:name="_Toc296503227"/>
      <w:bookmarkStart w:id="476" w:name="_Toc296891055"/>
      <w:bookmarkStart w:id="477" w:name="_Toc267261698"/>
      <w:r>
        <w:rPr>
          <w:rFonts w:hint="eastAsia" w:ascii="仿宋" w:hAnsi="仿宋" w:eastAsia="仿宋" w:cs="仿宋"/>
          <w:b/>
          <w:color w:val="000000" w:themeColor="text1"/>
          <w:sz w:val="20"/>
          <w:szCs w:val="20"/>
          <w:highlight w:val="none"/>
          <w14:textFill>
            <w14:solidFill>
              <w14:schemeClr w14:val="tx1"/>
            </w14:solidFill>
          </w14:textFill>
        </w:rPr>
        <w:t>件4：</w:t>
      </w:r>
      <w:bookmarkEnd w:id="470"/>
    </w:p>
    <w:bookmarkEnd w:id="471"/>
    <w:bookmarkEnd w:id="472"/>
    <w:bookmarkEnd w:id="473"/>
    <w:bookmarkEnd w:id="474"/>
    <w:bookmarkEnd w:id="475"/>
    <w:bookmarkEnd w:id="476"/>
    <w:bookmarkEnd w:id="477"/>
    <w:p w14:paraId="706C7BA3">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承包人用于本工程施工的机械设备表</w:t>
      </w:r>
    </w:p>
    <w:tbl>
      <w:tblPr>
        <w:tblStyle w:val="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EDB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4" w:hRule="atLeast"/>
          <w:jc w:val="center"/>
        </w:trPr>
        <w:tc>
          <w:tcPr>
            <w:tcW w:w="1162" w:type="dxa"/>
            <w:noWrap w:val="0"/>
            <w:vAlign w:val="center"/>
          </w:tcPr>
          <w:p w14:paraId="6DA3C9A8">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418" w:type="dxa"/>
            <w:noWrap w:val="0"/>
            <w:vAlign w:val="center"/>
          </w:tcPr>
          <w:p w14:paraId="651C0EA8">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机械或设备</w:t>
            </w:r>
          </w:p>
          <w:p w14:paraId="229D015E">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0" w:type="dxa"/>
            <w:noWrap w:val="0"/>
            <w:vAlign w:val="center"/>
          </w:tcPr>
          <w:p w14:paraId="1F83C463">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规格</w:t>
            </w:r>
          </w:p>
          <w:p w14:paraId="766AEED9">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型号</w:t>
            </w:r>
          </w:p>
        </w:tc>
        <w:tc>
          <w:tcPr>
            <w:tcW w:w="1058" w:type="dxa"/>
            <w:noWrap w:val="0"/>
            <w:vAlign w:val="center"/>
          </w:tcPr>
          <w:p w14:paraId="2ED49A54">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880" w:type="dxa"/>
            <w:noWrap w:val="0"/>
            <w:vAlign w:val="center"/>
          </w:tcPr>
          <w:p w14:paraId="1C65EAF6">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产地</w:t>
            </w:r>
          </w:p>
        </w:tc>
        <w:tc>
          <w:tcPr>
            <w:tcW w:w="1020" w:type="dxa"/>
            <w:noWrap w:val="0"/>
            <w:vAlign w:val="center"/>
          </w:tcPr>
          <w:p w14:paraId="7498CC86">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制造</w:t>
            </w:r>
          </w:p>
          <w:p w14:paraId="16DBB567">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年份</w:t>
            </w:r>
          </w:p>
        </w:tc>
        <w:tc>
          <w:tcPr>
            <w:tcW w:w="1480" w:type="dxa"/>
            <w:noWrap w:val="0"/>
            <w:vAlign w:val="center"/>
          </w:tcPr>
          <w:p w14:paraId="276BB551">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额定功率</w:t>
            </w:r>
          </w:p>
          <w:p w14:paraId="36A97CDB">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(kW)</w:t>
            </w:r>
          </w:p>
        </w:tc>
        <w:tc>
          <w:tcPr>
            <w:tcW w:w="1020" w:type="dxa"/>
            <w:noWrap w:val="0"/>
            <w:vAlign w:val="center"/>
          </w:tcPr>
          <w:p w14:paraId="45C133CB">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生产</w:t>
            </w:r>
          </w:p>
          <w:p w14:paraId="477FAD57">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能力</w:t>
            </w:r>
          </w:p>
        </w:tc>
        <w:tc>
          <w:tcPr>
            <w:tcW w:w="921" w:type="dxa"/>
            <w:noWrap w:val="0"/>
            <w:vAlign w:val="center"/>
          </w:tcPr>
          <w:p w14:paraId="4ABA932E">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5FB2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007EFAB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3D28E8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7EAD94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0F06A0B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226C2EC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749E445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10FD59C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7896F8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321DCBE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C8C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1F82C2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855742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6B84BD1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38F41B7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41AEF3C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2740F4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7D9602C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20E1D69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02B64AA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CEF0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568978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B1D5FC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53B0C60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5648A69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095F612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14B8160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28E90D9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50BA637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6E869EF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06A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68D92DE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72D6317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3AF1AE0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1FCBCD1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1EAA4C1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140099B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574ACE3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3E1398A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7AF72F6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2B6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1CF7F0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F154E2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28D388A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72E3EF2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615EDB1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37EC6E4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14C638D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28EC233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7DDDC18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E33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3142AD1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250F86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58D69D3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0B5F781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445F725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7E159B4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5215D6C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2A54B3F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41E139F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37C4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2D9CF5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1223E00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264FCD5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1ACBA14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6ABA9C3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71D5D08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3AB2B6E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557FA49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157B646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04D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36FF4EE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FDD6E7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459ABFC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69C9C9B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7B87F9C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5581610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774FB9E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687D5B2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25A0AB9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B67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6F2A8DC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AD417C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4AE35C8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3E620A2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6644A70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24B9A42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1111427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42F5545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23F0A16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A28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3D85E54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13D6F0F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center"/>
          </w:tcPr>
          <w:p w14:paraId="295FAEF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center"/>
          </w:tcPr>
          <w:p w14:paraId="4FF285B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center"/>
          </w:tcPr>
          <w:p w14:paraId="2AB20E0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65169A4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center"/>
          </w:tcPr>
          <w:p w14:paraId="40145E0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center"/>
          </w:tcPr>
          <w:p w14:paraId="444354D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center"/>
          </w:tcPr>
          <w:p w14:paraId="0BD216E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522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AA148B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9DC2E3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76D6C3F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79028B0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6807ABE3">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578B037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10367CE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4279C78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40909A0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592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4338D3D">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82C815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30D2E81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203828F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351091E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6A24162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361163B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3099E2F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6DFE5C9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954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0FBF5E8E">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05E7E7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6A2705C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247C5A2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4088BB9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7838710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7709329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539DF3F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42B179F2">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8ACC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3B9F66D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56B4F3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08E78B6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79B55F6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3EE0135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5A5DC6A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3088401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1B5F1E6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78ED95D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ABE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0AFA2A1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78748F7">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71B564C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00B9537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749BE9B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5ACDDCE6">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5E46785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776E3B20">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23DEBC5F">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A5A4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0E33D4F1">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007E175">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0" w:type="dxa"/>
            <w:noWrap w:val="0"/>
            <w:vAlign w:val="top"/>
          </w:tcPr>
          <w:p w14:paraId="7B9567DC">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58" w:type="dxa"/>
            <w:noWrap w:val="0"/>
            <w:vAlign w:val="top"/>
          </w:tcPr>
          <w:p w14:paraId="14501CB8">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80" w:type="dxa"/>
            <w:noWrap w:val="0"/>
            <w:vAlign w:val="top"/>
          </w:tcPr>
          <w:p w14:paraId="0A795DE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0400D789">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80" w:type="dxa"/>
            <w:noWrap w:val="0"/>
            <w:vAlign w:val="top"/>
          </w:tcPr>
          <w:p w14:paraId="36156684">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020" w:type="dxa"/>
            <w:noWrap w:val="0"/>
            <w:vAlign w:val="top"/>
          </w:tcPr>
          <w:p w14:paraId="7BD8A95B">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921" w:type="dxa"/>
            <w:noWrap w:val="0"/>
            <w:vAlign w:val="top"/>
          </w:tcPr>
          <w:p w14:paraId="7AFC3E0A">
            <w:pPr>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489AFE95">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5440013C">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附</w:t>
      </w:r>
      <w:bookmarkStart w:id="478" w:name="_Toc267261699"/>
      <w:bookmarkStart w:id="479" w:name="_Toc296944567"/>
      <w:bookmarkStart w:id="480" w:name="_Toc296503228"/>
      <w:bookmarkStart w:id="481" w:name="_Toc296891268"/>
      <w:bookmarkStart w:id="482" w:name="_Toc296347227"/>
      <w:bookmarkStart w:id="483" w:name="_Toc296346729"/>
      <w:bookmarkStart w:id="484" w:name="_Toc296891056"/>
      <w:r>
        <w:rPr>
          <w:rFonts w:hint="eastAsia" w:ascii="仿宋" w:hAnsi="仿宋" w:eastAsia="仿宋" w:cs="仿宋"/>
          <w:b/>
          <w:color w:val="000000" w:themeColor="text1"/>
          <w:sz w:val="20"/>
          <w:szCs w:val="20"/>
          <w:highlight w:val="none"/>
          <w14:textFill>
            <w14:solidFill>
              <w14:schemeClr w14:val="tx1"/>
            </w14:solidFill>
          </w14:textFill>
        </w:rPr>
        <w:t>件5：</w:t>
      </w:r>
    </w:p>
    <w:bookmarkEnd w:id="478"/>
    <w:bookmarkEnd w:id="479"/>
    <w:bookmarkEnd w:id="480"/>
    <w:bookmarkEnd w:id="481"/>
    <w:bookmarkEnd w:id="482"/>
    <w:bookmarkEnd w:id="483"/>
    <w:bookmarkEnd w:id="484"/>
    <w:p w14:paraId="57D3339F">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承包人主要施工管理人员表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99F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3" w:hRule="atLeast"/>
          <w:jc w:val="center"/>
        </w:trPr>
        <w:tc>
          <w:tcPr>
            <w:tcW w:w="1871" w:type="dxa"/>
            <w:noWrap w:val="0"/>
            <w:vAlign w:val="center"/>
          </w:tcPr>
          <w:p w14:paraId="2466DC77">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1418" w:type="dxa"/>
            <w:noWrap w:val="0"/>
            <w:vAlign w:val="center"/>
          </w:tcPr>
          <w:p w14:paraId="206C7B39">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姓名</w:t>
            </w:r>
          </w:p>
        </w:tc>
        <w:tc>
          <w:tcPr>
            <w:tcW w:w="1134" w:type="dxa"/>
            <w:noWrap w:val="0"/>
            <w:vAlign w:val="center"/>
          </w:tcPr>
          <w:p w14:paraId="2922DB13">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职务</w:t>
            </w:r>
          </w:p>
        </w:tc>
        <w:tc>
          <w:tcPr>
            <w:tcW w:w="1134" w:type="dxa"/>
            <w:noWrap w:val="0"/>
            <w:vAlign w:val="center"/>
          </w:tcPr>
          <w:p w14:paraId="56F5AE9B">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职称</w:t>
            </w:r>
          </w:p>
        </w:tc>
        <w:tc>
          <w:tcPr>
            <w:tcW w:w="4252" w:type="dxa"/>
            <w:noWrap w:val="0"/>
            <w:vAlign w:val="center"/>
          </w:tcPr>
          <w:p w14:paraId="0761196D">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主要资历、经验及承担过的项目</w:t>
            </w:r>
          </w:p>
        </w:tc>
      </w:tr>
      <w:tr w14:paraId="18FF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07B9207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一、总部人员</w:t>
            </w:r>
          </w:p>
        </w:tc>
      </w:tr>
      <w:tr w14:paraId="2428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7DFCE51">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项目主管</w:t>
            </w:r>
          </w:p>
        </w:tc>
        <w:tc>
          <w:tcPr>
            <w:tcW w:w="1418" w:type="dxa"/>
            <w:noWrap w:val="0"/>
            <w:vAlign w:val="center"/>
          </w:tcPr>
          <w:p w14:paraId="1B21D5F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56D490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3873BB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508A8E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0B4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E6DB4A7">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D9B1EB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DBB189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B297D0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AE9126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1831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40BE3B5">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1DF95AD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D8391E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BA952B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5D88B6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747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FA9648E">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1F591A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BF6AA1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B57BBD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A0F87A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2B7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635B2A4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二、现场人员</w:t>
            </w:r>
          </w:p>
        </w:tc>
      </w:tr>
      <w:tr w14:paraId="7A0A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7260B6A">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项目经理</w:t>
            </w:r>
          </w:p>
        </w:tc>
        <w:tc>
          <w:tcPr>
            <w:tcW w:w="1418" w:type="dxa"/>
            <w:noWrap w:val="0"/>
            <w:vAlign w:val="center"/>
          </w:tcPr>
          <w:p w14:paraId="1B8E7A4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658FBB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0B8865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B872C8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15F6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46E53C5">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项目副经理</w:t>
            </w:r>
          </w:p>
        </w:tc>
        <w:tc>
          <w:tcPr>
            <w:tcW w:w="1418" w:type="dxa"/>
            <w:noWrap w:val="0"/>
            <w:vAlign w:val="center"/>
          </w:tcPr>
          <w:p w14:paraId="300FF37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5E3A75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EF4380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BB7011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4C4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C3A371A">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技术负责人</w:t>
            </w:r>
          </w:p>
        </w:tc>
        <w:tc>
          <w:tcPr>
            <w:tcW w:w="1418" w:type="dxa"/>
            <w:noWrap w:val="0"/>
            <w:vAlign w:val="center"/>
          </w:tcPr>
          <w:p w14:paraId="38E1775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E9C231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C29F51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832D36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489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37ED64F">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造价管理</w:t>
            </w:r>
          </w:p>
        </w:tc>
        <w:tc>
          <w:tcPr>
            <w:tcW w:w="1418" w:type="dxa"/>
            <w:noWrap w:val="0"/>
            <w:vAlign w:val="center"/>
          </w:tcPr>
          <w:p w14:paraId="4D3CD09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50DF66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D7F163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66E9E0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14C3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0C4F1B8">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质量管理</w:t>
            </w:r>
          </w:p>
        </w:tc>
        <w:tc>
          <w:tcPr>
            <w:tcW w:w="1418" w:type="dxa"/>
            <w:noWrap w:val="0"/>
            <w:vAlign w:val="center"/>
          </w:tcPr>
          <w:p w14:paraId="7E9ADCC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5F6FB8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B48C1D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B940A5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59B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5959B0C">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材料管理</w:t>
            </w:r>
          </w:p>
        </w:tc>
        <w:tc>
          <w:tcPr>
            <w:tcW w:w="1418" w:type="dxa"/>
            <w:noWrap w:val="0"/>
            <w:vAlign w:val="center"/>
          </w:tcPr>
          <w:p w14:paraId="09566B9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00C8A9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128584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5AB643F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6276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480A9C6">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计划管理</w:t>
            </w:r>
          </w:p>
        </w:tc>
        <w:tc>
          <w:tcPr>
            <w:tcW w:w="1418" w:type="dxa"/>
            <w:noWrap w:val="0"/>
            <w:vAlign w:val="center"/>
          </w:tcPr>
          <w:p w14:paraId="03C8E3E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89103F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A984AA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4F00F6B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4CA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ED029A9">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安全管理</w:t>
            </w:r>
          </w:p>
        </w:tc>
        <w:tc>
          <w:tcPr>
            <w:tcW w:w="1418" w:type="dxa"/>
            <w:noWrap w:val="0"/>
            <w:vAlign w:val="center"/>
          </w:tcPr>
          <w:p w14:paraId="79C38DE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8E6566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D02872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5FF0B9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C39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14:paraId="18141E41">
            <w:pPr>
              <w:pStyle w:val="4"/>
              <w:keepNext/>
              <w:keepLines w:val="0"/>
              <w:pageBreakBefore w:val="0"/>
              <w:kinsoku/>
              <w:wordWrap/>
              <w:overflowPunct/>
              <w:topLinePunct w:val="0"/>
              <w:bidi w:val="0"/>
              <w:spacing w:after="0" w:line="300" w:lineRule="auto"/>
              <w:ind w:left="420" w:right="63"/>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4C54057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F49701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130BFE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18988AE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2F7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14:paraId="7BE54F4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6648AF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0FFFA8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2E3038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605F57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52B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14:paraId="7C2B818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299C5B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8D233B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B57EDF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5396466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D49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14:paraId="48E2DCF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20CD08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EF0772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2F2EF2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B45F6F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24F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14:paraId="41FDDA1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63FC4FA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4A7868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4834D9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B9935D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21C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B57676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CB0B97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461801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592AEF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C42CCF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0136D02B">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294F1503">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bookmarkStart w:id="485" w:name="_Toc12720_WPSOffice_Level2"/>
      <w:r>
        <w:rPr>
          <w:rFonts w:hint="eastAsia" w:ascii="仿宋" w:hAnsi="仿宋" w:eastAsia="仿宋" w:cs="仿宋"/>
          <w:b/>
          <w:color w:val="000000" w:themeColor="text1"/>
          <w:sz w:val="20"/>
          <w:szCs w:val="20"/>
          <w:highlight w:val="none"/>
          <w14:textFill>
            <w14:solidFill>
              <w14:schemeClr w14:val="tx1"/>
            </w14:solidFill>
          </w14:textFill>
        </w:rPr>
        <w:t>附</w:t>
      </w:r>
      <w:bookmarkStart w:id="486" w:name="_Toc296347228"/>
      <w:bookmarkStart w:id="487" w:name="_Toc296891269"/>
      <w:bookmarkStart w:id="488" w:name="_Toc296891057"/>
      <w:bookmarkStart w:id="489" w:name="_Toc296944568"/>
      <w:bookmarkStart w:id="490" w:name="_Toc296346730"/>
      <w:bookmarkStart w:id="491" w:name="_Toc296503229"/>
      <w:r>
        <w:rPr>
          <w:rFonts w:hint="eastAsia" w:ascii="仿宋" w:hAnsi="仿宋" w:eastAsia="仿宋" w:cs="仿宋"/>
          <w:b/>
          <w:color w:val="000000" w:themeColor="text1"/>
          <w:sz w:val="20"/>
          <w:szCs w:val="20"/>
          <w:highlight w:val="none"/>
          <w14:textFill>
            <w14:solidFill>
              <w14:schemeClr w14:val="tx1"/>
            </w14:solidFill>
          </w14:textFill>
        </w:rPr>
        <w:t>件6：</w:t>
      </w:r>
      <w:bookmarkEnd w:id="485"/>
    </w:p>
    <w:bookmarkEnd w:id="486"/>
    <w:bookmarkEnd w:id="487"/>
    <w:bookmarkEnd w:id="488"/>
    <w:bookmarkEnd w:id="489"/>
    <w:bookmarkEnd w:id="490"/>
    <w:bookmarkEnd w:id="491"/>
    <w:p w14:paraId="60FAF485">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分包人主要施工管理人员表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74E0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1" w:hRule="atLeast"/>
          <w:jc w:val="center"/>
        </w:trPr>
        <w:tc>
          <w:tcPr>
            <w:tcW w:w="1871" w:type="dxa"/>
            <w:noWrap w:val="0"/>
            <w:vAlign w:val="center"/>
          </w:tcPr>
          <w:p w14:paraId="1A1B2582">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1418" w:type="dxa"/>
            <w:noWrap w:val="0"/>
            <w:vAlign w:val="center"/>
          </w:tcPr>
          <w:p w14:paraId="64FEDC41">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姓名</w:t>
            </w:r>
          </w:p>
        </w:tc>
        <w:tc>
          <w:tcPr>
            <w:tcW w:w="1134" w:type="dxa"/>
            <w:noWrap w:val="0"/>
            <w:vAlign w:val="center"/>
          </w:tcPr>
          <w:p w14:paraId="0B5DC20F">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职务</w:t>
            </w:r>
          </w:p>
        </w:tc>
        <w:tc>
          <w:tcPr>
            <w:tcW w:w="1134" w:type="dxa"/>
            <w:noWrap w:val="0"/>
            <w:vAlign w:val="center"/>
          </w:tcPr>
          <w:p w14:paraId="27D5EC6C">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职称</w:t>
            </w:r>
          </w:p>
        </w:tc>
        <w:tc>
          <w:tcPr>
            <w:tcW w:w="4252" w:type="dxa"/>
            <w:noWrap w:val="0"/>
            <w:vAlign w:val="center"/>
          </w:tcPr>
          <w:p w14:paraId="57CCB71E">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主要资历、经验及承担过的项目</w:t>
            </w:r>
          </w:p>
        </w:tc>
      </w:tr>
      <w:tr w14:paraId="1DE0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6EEC6C2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一、总部人员</w:t>
            </w:r>
          </w:p>
        </w:tc>
      </w:tr>
      <w:tr w14:paraId="5D77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086B99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项目主管</w:t>
            </w:r>
          </w:p>
        </w:tc>
        <w:tc>
          <w:tcPr>
            <w:tcW w:w="1418" w:type="dxa"/>
            <w:noWrap w:val="0"/>
            <w:vAlign w:val="center"/>
          </w:tcPr>
          <w:p w14:paraId="721D8F3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D5530A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9BE8F5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B8DA1E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1EE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71A548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4B8442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E96BF1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F6BB31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92BCA1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9F6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921D7C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7657A84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E7FBD8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BFB4F9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1487A1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011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95E6C1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1E7166A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16E117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BF8D13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4FBB0A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062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0552EB6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二、现场人员</w:t>
            </w:r>
          </w:p>
        </w:tc>
      </w:tr>
      <w:tr w14:paraId="474E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51EB4C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项目经理</w:t>
            </w:r>
          </w:p>
        </w:tc>
        <w:tc>
          <w:tcPr>
            <w:tcW w:w="1418" w:type="dxa"/>
            <w:noWrap w:val="0"/>
            <w:vAlign w:val="center"/>
          </w:tcPr>
          <w:p w14:paraId="0BB84F2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F309DE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1E03C3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F9CB6C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697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F32C76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项目副经理</w:t>
            </w:r>
          </w:p>
        </w:tc>
        <w:tc>
          <w:tcPr>
            <w:tcW w:w="1418" w:type="dxa"/>
            <w:noWrap w:val="0"/>
            <w:vAlign w:val="center"/>
          </w:tcPr>
          <w:p w14:paraId="47C1ECB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CAC613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8B5235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C65E51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B903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E7DB34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技术负责人</w:t>
            </w:r>
          </w:p>
        </w:tc>
        <w:tc>
          <w:tcPr>
            <w:tcW w:w="1418" w:type="dxa"/>
            <w:noWrap w:val="0"/>
            <w:vAlign w:val="center"/>
          </w:tcPr>
          <w:p w14:paraId="21BF9FA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684F65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E96C3E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BBCB63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B62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B62C9C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造价管理</w:t>
            </w:r>
          </w:p>
        </w:tc>
        <w:tc>
          <w:tcPr>
            <w:tcW w:w="1418" w:type="dxa"/>
            <w:noWrap w:val="0"/>
            <w:vAlign w:val="center"/>
          </w:tcPr>
          <w:p w14:paraId="2D617E4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907D03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EDB1A6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146DC50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4FA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CE4AF0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质量管理</w:t>
            </w:r>
          </w:p>
        </w:tc>
        <w:tc>
          <w:tcPr>
            <w:tcW w:w="1418" w:type="dxa"/>
            <w:noWrap w:val="0"/>
            <w:vAlign w:val="center"/>
          </w:tcPr>
          <w:p w14:paraId="6FE15B5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D22841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C607B3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1EF7E4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C8E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231779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材料管理</w:t>
            </w:r>
          </w:p>
        </w:tc>
        <w:tc>
          <w:tcPr>
            <w:tcW w:w="1418" w:type="dxa"/>
            <w:noWrap w:val="0"/>
            <w:vAlign w:val="center"/>
          </w:tcPr>
          <w:p w14:paraId="4C8DAD8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1300D5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9D4AB6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4CAA30F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363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1E0E98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计划管理</w:t>
            </w:r>
          </w:p>
        </w:tc>
        <w:tc>
          <w:tcPr>
            <w:tcW w:w="1418" w:type="dxa"/>
            <w:noWrap w:val="0"/>
            <w:vAlign w:val="center"/>
          </w:tcPr>
          <w:p w14:paraId="0BC11CB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15FF04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7FFB207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00722B0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E0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CD9BA8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安全管理</w:t>
            </w:r>
          </w:p>
        </w:tc>
        <w:tc>
          <w:tcPr>
            <w:tcW w:w="1418" w:type="dxa"/>
            <w:noWrap w:val="0"/>
            <w:vAlign w:val="center"/>
          </w:tcPr>
          <w:p w14:paraId="05A919B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29C7FD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516433C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6CB2F34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39B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6B98F43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其他人员</w:t>
            </w:r>
          </w:p>
        </w:tc>
        <w:tc>
          <w:tcPr>
            <w:tcW w:w="1418" w:type="dxa"/>
            <w:noWrap w:val="0"/>
            <w:vAlign w:val="center"/>
          </w:tcPr>
          <w:p w14:paraId="37F95E8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5D2857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856A03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3C7429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F96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7783753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3445515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68034E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18B1F54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0342F5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BEB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95BF25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F7DCA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F82EF5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3A779A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587C661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85A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09B9953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C54F9E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24FAB37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325DD29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3C3C415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F519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2E8B732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59B656E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4A1ABE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637CD3E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20C728B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89A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168320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center"/>
          </w:tcPr>
          <w:p w14:paraId="4496BEB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02821EF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134" w:type="dxa"/>
            <w:noWrap w:val="0"/>
            <w:vAlign w:val="center"/>
          </w:tcPr>
          <w:p w14:paraId="46DE033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4252" w:type="dxa"/>
            <w:noWrap w:val="0"/>
            <w:vAlign w:val="center"/>
          </w:tcPr>
          <w:p w14:paraId="7033C2A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5A3A14B5">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42722049">
      <w:pPr>
        <w:pStyle w:val="6"/>
        <w:keepLines w:val="0"/>
        <w:pageBreakBefore w:val="0"/>
        <w:kinsoku/>
        <w:wordWrap/>
        <w:overflowPunct/>
        <w:topLinePunct w:val="0"/>
        <w:bidi w:val="0"/>
        <w:spacing w:after="0" w:line="300" w:lineRule="auto"/>
        <w:ind w:left="0" w:leftChars="0"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bookmarkStart w:id="492" w:name="_Toc10953_WPSOffice_Level2"/>
      <w:r>
        <w:rPr>
          <w:rFonts w:hint="eastAsia" w:ascii="仿宋" w:hAnsi="仿宋" w:eastAsia="仿宋" w:cs="仿宋"/>
          <w:b/>
          <w:color w:val="000000" w:themeColor="text1"/>
          <w:sz w:val="20"/>
          <w:szCs w:val="20"/>
          <w:highlight w:val="none"/>
          <w14:textFill>
            <w14:solidFill>
              <w14:schemeClr w14:val="tx1"/>
            </w14:solidFill>
          </w14:textFill>
        </w:rPr>
        <w:t>附件7：</w:t>
      </w:r>
      <w:bookmarkEnd w:id="492"/>
    </w:p>
    <w:p w14:paraId="1DE55C0E">
      <w:pPr>
        <w:keepLines w:val="0"/>
        <w:pageBreakBefore w:val="0"/>
        <w:kinsoku/>
        <w:wordWrap/>
        <w:overflowPunct/>
        <w:topLinePunct w:val="0"/>
        <w:bidi w:val="0"/>
        <w:spacing w:line="300" w:lineRule="auto"/>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93" w:name="_Toc12359_WPSOffice_Level2"/>
      <w:r>
        <w:rPr>
          <w:rFonts w:hint="eastAsia" w:ascii="仿宋" w:hAnsi="仿宋" w:eastAsia="仿宋" w:cs="仿宋"/>
          <w:b/>
          <w:color w:val="000000" w:themeColor="text1"/>
          <w:sz w:val="20"/>
          <w:szCs w:val="20"/>
          <w:highlight w:val="none"/>
          <w14:textFill>
            <w14:solidFill>
              <w14:schemeClr w14:val="tx1"/>
            </w14:solidFill>
          </w14:textFill>
        </w:rPr>
        <w:t>7-1：材料暂估价表</w:t>
      </w:r>
      <w:bookmarkEnd w:id="493"/>
    </w:p>
    <w:tbl>
      <w:tblPr>
        <w:tblStyle w:val="7"/>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B555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2" w:hRule="atLeast"/>
        </w:trPr>
        <w:tc>
          <w:tcPr>
            <w:tcW w:w="993" w:type="dxa"/>
            <w:noWrap w:val="0"/>
            <w:vAlign w:val="center"/>
          </w:tcPr>
          <w:p w14:paraId="49A95D2E">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984" w:type="dxa"/>
            <w:noWrap w:val="0"/>
            <w:vAlign w:val="center"/>
          </w:tcPr>
          <w:p w14:paraId="2C4F6AB2">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1" w:type="dxa"/>
            <w:noWrap w:val="0"/>
            <w:vAlign w:val="center"/>
          </w:tcPr>
          <w:p w14:paraId="532B0484">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774" w:type="dxa"/>
            <w:noWrap w:val="0"/>
            <w:vAlign w:val="center"/>
          </w:tcPr>
          <w:p w14:paraId="7F76E8BD">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352" w:type="dxa"/>
            <w:noWrap w:val="0"/>
            <w:vAlign w:val="center"/>
          </w:tcPr>
          <w:p w14:paraId="0AE56D10">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1418" w:type="dxa"/>
            <w:noWrap w:val="0"/>
            <w:vAlign w:val="center"/>
          </w:tcPr>
          <w:p w14:paraId="79FF3671">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合计(</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1701" w:type="dxa"/>
            <w:noWrap w:val="0"/>
            <w:vAlign w:val="center"/>
          </w:tcPr>
          <w:p w14:paraId="63483DA0">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51B1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592DC8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49150C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199B41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43897C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0DEDF0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06CA41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30E3BC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2719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83D77E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FAE9F2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2250D3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0B94B8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3D2D04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975817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1F08D9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961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51672F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C5986A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8033FA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3833DB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747642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C61166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2BFCB0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789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395B58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32534F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CF5757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6DB113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172049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3655E9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D1A04A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B38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E70F3F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4860BA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A382E4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064C01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7F9811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0BA399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1D735A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166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87991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FD9D76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550D82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B986F6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1BCD37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6FE282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53A094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587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EB7DD4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3D8471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180711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66072D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B55A5F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1FC221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280B89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B23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7FC24A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05A235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0F2F44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61D928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7EF7BA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280098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5F2380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084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F3EA81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350148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4B0EF8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A26C43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E3EE68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F021DD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65B270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93E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2B80D8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36C919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1C7615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A5250F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4290FA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5660E4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1D289F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6F7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E39F1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56F43C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58833D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0CFB4E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53F4AD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55F927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31850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93B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67E441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3D764B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A26A76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50BD15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2DEA0D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22138A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C9ADD3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5B3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D0CEDF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1BF87A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2C3C7B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A2E05A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1A7787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CE7243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42AC0A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FC7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60EE87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7151F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82110B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C7CF20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C15B87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81FF74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22C188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88C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02E8A1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0D602B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B32C39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261403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9555E1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6738EB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93434E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2F7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51084E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46E216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3FEDDA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06EB65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FA8CBF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6460B0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0EEA30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A95C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BF14E5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899DF5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2D736C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D6E52D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71343D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F35DE8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F55DFC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5171BF1E">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2A6727F4">
      <w:pPr>
        <w:pStyle w:val="6"/>
        <w:keepLines w:val="0"/>
        <w:pageBreakBefore w:val="0"/>
        <w:kinsoku/>
        <w:wordWrap/>
        <w:overflowPunct/>
        <w:topLinePunct w:val="0"/>
        <w:bidi w:val="0"/>
        <w:spacing w:after="0" w:line="300" w:lineRule="auto"/>
        <w:ind w:firstLine="210"/>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7-2：工程设备暂估价表</w:t>
      </w:r>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201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0" w:hRule="atLeast"/>
        </w:trPr>
        <w:tc>
          <w:tcPr>
            <w:tcW w:w="993" w:type="dxa"/>
            <w:noWrap w:val="0"/>
            <w:vAlign w:val="center"/>
          </w:tcPr>
          <w:p w14:paraId="613ACBA3">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984" w:type="dxa"/>
            <w:noWrap w:val="0"/>
            <w:vAlign w:val="center"/>
          </w:tcPr>
          <w:p w14:paraId="10BEED85">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1" w:type="dxa"/>
            <w:noWrap w:val="0"/>
            <w:vAlign w:val="center"/>
          </w:tcPr>
          <w:p w14:paraId="4FEF54E0">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774" w:type="dxa"/>
            <w:noWrap w:val="0"/>
            <w:vAlign w:val="center"/>
          </w:tcPr>
          <w:p w14:paraId="56FE1D91">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352" w:type="dxa"/>
            <w:noWrap w:val="0"/>
            <w:vAlign w:val="center"/>
          </w:tcPr>
          <w:p w14:paraId="5AB661F4">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1418" w:type="dxa"/>
            <w:noWrap w:val="0"/>
            <w:vAlign w:val="center"/>
          </w:tcPr>
          <w:p w14:paraId="1BCBD7DF">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合计(</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1701" w:type="dxa"/>
            <w:noWrap w:val="0"/>
            <w:vAlign w:val="center"/>
          </w:tcPr>
          <w:p w14:paraId="163E46D9">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500FF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108B2C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60FFE6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3D99FE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3C47FD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4D96D2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2ECD44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9861CC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BD6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C9040A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08F108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1035F4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29D3EB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EA9AF6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A265E9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94678B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A5D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DE5FBC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274285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F53341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C49C62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071CCA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0FE0DD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75A15E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E0E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B9386A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71789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48CD0D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137BA7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E3811C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03D7F6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74D4D9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BEC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DB8C48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797ECF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96CE13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EF091F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1205D2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5D858C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239F01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3B8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4F22D6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1CC68E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87B283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D00A41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41B03B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449C5B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988835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96B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FDB358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33EC6E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12163B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3DECA2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F9C9CD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1EE3E5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98E853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949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77EE9D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F7D814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9764CB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6B473D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73AF02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2364A8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7546ED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8FE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D18050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D8A934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7070CC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9F2130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9AC6BA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D5112D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CF61A7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DEE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4844EC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2312C8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D41F8B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139A88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F1FD22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872F97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64667FC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E6C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26047E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43DCF5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EB97C1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05EDD7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DC2741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30B40A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7BC396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DFD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D31801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4F4900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7EF942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0D37D8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D81C0E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5782A8A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5D55DD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ADC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433374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371FA0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5ADA88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FB08CC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AB02C3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E4D730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45C80C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8A4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5BE1C0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6ABEBB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159211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F33B6D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A6F7E5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FA1D66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256592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84B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E6C94C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256278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B4DAE3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57B1FD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78923D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9EF8D9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197525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0D2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06689D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5DDFAC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A96278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C262A0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096A7F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E08B68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EA7B2C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FD5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5591F9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0B6FE9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AEC345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3CB3A4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CB9FF5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162B5D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88C2C9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5685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9342E6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8DA523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AD58AA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6964D7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0B1E80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3735D5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48E5D2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002EF2D8">
      <w:pPr>
        <w:pStyle w:val="6"/>
        <w:keepLines w:val="0"/>
        <w:pageBreakBefore w:val="0"/>
        <w:kinsoku/>
        <w:wordWrap/>
        <w:overflowPunct/>
        <w:topLinePunct w:val="0"/>
        <w:bidi w:val="0"/>
        <w:spacing w:after="0" w:line="300" w:lineRule="auto"/>
        <w:ind w:firstLine="0" w:firstLineChars="0"/>
        <w:textAlignment w:val="auto"/>
        <w:rPr>
          <w:rFonts w:hint="eastAsia" w:ascii="仿宋" w:hAnsi="仿宋" w:eastAsia="仿宋" w:cs="仿宋"/>
          <w:b/>
          <w:color w:val="000000" w:themeColor="text1"/>
          <w:sz w:val="20"/>
          <w:szCs w:val="20"/>
          <w:highlight w:val="none"/>
          <w14:textFill>
            <w14:solidFill>
              <w14:schemeClr w14:val="tx1"/>
            </w14:solidFill>
          </w14:textFill>
        </w:rPr>
      </w:pPr>
    </w:p>
    <w:p w14:paraId="0570F362">
      <w:pPr>
        <w:pStyle w:val="6"/>
        <w:keepLines w:val="0"/>
        <w:pageBreakBefore w:val="0"/>
        <w:kinsoku/>
        <w:wordWrap/>
        <w:overflowPunct/>
        <w:topLinePunct w:val="0"/>
        <w:bidi w:val="0"/>
        <w:spacing w:after="0" w:line="300" w:lineRule="auto"/>
        <w:ind w:firstLine="210"/>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bookmarkStart w:id="494" w:name="_Toc27977_WPSOffice_Level2"/>
      <w:r>
        <w:rPr>
          <w:rFonts w:hint="eastAsia" w:ascii="仿宋" w:hAnsi="仿宋" w:eastAsia="仿宋" w:cs="仿宋"/>
          <w:b/>
          <w:color w:val="000000" w:themeColor="text1"/>
          <w:sz w:val="20"/>
          <w:szCs w:val="20"/>
          <w:highlight w:val="none"/>
          <w14:textFill>
            <w14:solidFill>
              <w14:schemeClr w14:val="tx1"/>
            </w14:solidFill>
          </w14:textFill>
        </w:rPr>
        <w:t>7-3：专业工程暂估价表</w:t>
      </w:r>
      <w:bookmarkEnd w:id="494"/>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B6E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atLeast"/>
        </w:trPr>
        <w:tc>
          <w:tcPr>
            <w:tcW w:w="993" w:type="dxa"/>
            <w:noWrap w:val="0"/>
            <w:vAlign w:val="center"/>
          </w:tcPr>
          <w:p w14:paraId="7B50FEB9">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1984" w:type="dxa"/>
            <w:noWrap w:val="0"/>
            <w:vAlign w:val="center"/>
          </w:tcPr>
          <w:p w14:paraId="34ABBC7B">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名称</w:t>
            </w:r>
          </w:p>
        </w:tc>
        <w:tc>
          <w:tcPr>
            <w:tcW w:w="851" w:type="dxa"/>
            <w:noWrap w:val="0"/>
            <w:vAlign w:val="center"/>
          </w:tcPr>
          <w:p w14:paraId="52D43364">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单位</w:t>
            </w:r>
          </w:p>
        </w:tc>
        <w:tc>
          <w:tcPr>
            <w:tcW w:w="774" w:type="dxa"/>
            <w:noWrap w:val="0"/>
            <w:vAlign w:val="center"/>
          </w:tcPr>
          <w:p w14:paraId="49953414">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数量</w:t>
            </w:r>
          </w:p>
        </w:tc>
        <w:tc>
          <w:tcPr>
            <w:tcW w:w="1352" w:type="dxa"/>
            <w:noWrap w:val="0"/>
            <w:vAlign w:val="center"/>
          </w:tcPr>
          <w:p w14:paraId="42AD8365">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单价</w:t>
            </w:r>
            <w:r>
              <w:rPr>
                <w:rFonts w:hint="eastAsia" w:ascii="仿宋" w:hAnsi="仿宋" w:eastAsia="仿宋" w:cs="仿宋"/>
                <w:b/>
                <w:color w:val="000000" w:themeColor="text1"/>
                <w:sz w:val="20"/>
                <w:szCs w:val="20"/>
                <w:highlight w:val="none"/>
                <w:lang w:eastAsia="zh-CN"/>
                <w14:textFill>
                  <w14:solidFill>
                    <w14:schemeClr w14:val="tx1"/>
                  </w14:solidFill>
                </w14:textFill>
              </w:rPr>
              <w:t>(</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1418" w:type="dxa"/>
            <w:noWrap w:val="0"/>
            <w:vAlign w:val="center"/>
          </w:tcPr>
          <w:p w14:paraId="574D24BB">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lang w:eastAsia="zh-CN"/>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合计(</w:t>
            </w:r>
            <w:r>
              <w:rPr>
                <w:rFonts w:hint="eastAsia" w:ascii="仿宋" w:hAnsi="仿宋" w:eastAsia="仿宋" w:cs="仿宋"/>
                <w:b/>
                <w:color w:val="000000" w:themeColor="text1"/>
                <w:sz w:val="20"/>
                <w:szCs w:val="20"/>
                <w:highlight w:val="none"/>
                <w14:textFill>
                  <w14:solidFill>
                    <w14:schemeClr w14:val="tx1"/>
                  </w14:solidFill>
                </w14:textFill>
              </w:rPr>
              <w:t>元</w:t>
            </w:r>
            <w:r>
              <w:rPr>
                <w:rFonts w:hint="eastAsia" w:ascii="仿宋" w:hAnsi="仿宋" w:eastAsia="仿宋" w:cs="仿宋"/>
                <w:b/>
                <w:color w:val="000000" w:themeColor="text1"/>
                <w:sz w:val="20"/>
                <w:szCs w:val="20"/>
                <w:highlight w:val="none"/>
                <w:lang w:eastAsia="zh-CN"/>
                <w14:textFill>
                  <w14:solidFill>
                    <w14:schemeClr w14:val="tx1"/>
                  </w14:solidFill>
                </w14:textFill>
              </w:rPr>
              <w:t>)</w:t>
            </w:r>
          </w:p>
        </w:tc>
        <w:tc>
          <w:tcPr>
            <w:tcW w:w="1701" w:type="dxa"/>
            <w:noWrap w:val="0"/>
            <w:vAlign w:val="center"/>
          </w:tcPr>
          <w:p w14:paraId="7B70B125">
            <w:pPr>
              <w:pStyle w:val="4"/>
              <w:keepNext/>
              <w:keepLines w:val="0"/>
              <w:pageBreakBefore w:val="0"/>
              <w:kinsoku/>
              <w:wordWrap/>
              <w:overflowPunct/>
              <w:topLinePunct w:val="0"/>
              <w:bidi w:val="0"/>
              <w:spacing w:after="0" w:line="300" w:lineRule="auto"/>
              <w:ind w:right="63"/>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备注</w:t>
            </w:r>
          </w:p>
        </w:tc>
      </w:tr>
      <w:tr w14:paraId="2F21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E10D8F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B33E8B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301FAF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2D124DA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726B78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180F26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011C6C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7F3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685366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ABC21B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313DF1C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BD80E2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215926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4A4980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1E7C90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66C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4A0981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5D61EB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1BA50C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5A5951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D24F50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1D5445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BC9655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C08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2ADBD0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3148EF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DEE1E3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34C1E4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F32527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0F79BA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ACE0F3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1A9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27A9AB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6FB95B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8A6B75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0B1F77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2F7BF8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8831D5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64C0CF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CF8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721108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FD38B8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41DE61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4FFA28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571DB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2BF1EC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B66BE4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D798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D72E21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FBD0F3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6B3A819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4EAF39B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27A4BA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8DA2EE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5E1800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C82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37A0F0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C405D2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06853BD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298E94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2158E00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060FB5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EE3E81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B64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221E98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AA314C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F7C21E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1585271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7ACD19E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0466C45B">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55A0AA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265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50143B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50C32AE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DF1BA7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A1946B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46B3AD8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BC8799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7AA1BB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701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587D54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8E1C37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628B6D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58A350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74DAED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42C3609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404BDC0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D152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81B91E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377E797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356919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837785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088AD18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BFB950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22D6AEB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24D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E5F93F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68FE0CA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69C4BD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30565F4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BB543D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832B30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6F16CD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07E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4921B9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4DF432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7E42A2D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74A6A87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18D23AC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685AF8EC">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87931C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EB6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55D7CD2">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7C77112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A81038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9B09CB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9825E5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7FD03DB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7A99386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677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F930E2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4BD2A54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507358C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1F40E7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5BC25F0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21EC7DF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98D18B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7BD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685E9D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1FB5DC7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4E0695F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6A2C1A3D">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75A668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3387284">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10B352C5">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5BB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8C35840">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0CC1C34E">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122EA72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576170DA">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6242ECE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336CB25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320E6956">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EF0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6E54F79">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984" w:type="dxa"/>
            <w:noWrap w:val="0"/>
            <w:vAlign w:val="top"/>
          </w:tcPr>
          <w:p w14:paraId="241E0EC8">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851" w:type="dxa"/>
            <w:noWrap w:val="0"/>
            <w:vAlign w:val="top"/>
          </w:tcPr>
          <w:p w14:paraId="21A97C4F">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774" w:type="dxa"/>
            <w:noWrap w:val="0"/>
            <w:vAlign w:val="top"/>
          </w:tcPr>
          <w:p w14:paraId="0B7D86F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352" w:type="dxa"/>
            <w:noWrap w:val="0"/>
            <w:vAlign w:val="top"/>
          </w:tcPr>
          <w:p w14:paraId="3550E3E7">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418" w:type="dxa"/>
            <w:noWrap w:val="0"/>
            <w:vAlign w:val="top"/>
          </w:tcPr>
          <w:p w14:paraId="1C2CD9E1">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1701" w:type="dxa"/>
            <w:noWrap w:val="0"/>
            <w:vAlign w:val="top"/>
          </w:tcPr>
          <w:p w14:paraId="07F55193">
            <w:pPr>
              <w:pStyle w:val="4"/>
              <w:keepNext/>
              <w:keepLines w:val="0"/>
              <w:pageBreakBefore w:val="0"/>
              <w:kinsoku/>
              <w:wordWrap/>
              <w:overflowPunct/>
              <w:topLinePunct w:val="0"/>
              <w:bidi w:val="0"/>
              <w:spacing w:after="0" w:line="300" w:lineRule="auto"/>
              <w:ind w:left="420" w:right="63"/>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027835BD">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14D28"/>
    <w:rsid w:val="49814D28"/>
    <w:rsid w:val="5CF01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99"/>
    <w:pPr>
      <w:spacing w:after="120"/>
      <w:ind w:left="420" w:leftChars="200"/>
    </w:pPr>
  </w:style>
  <w:style w:type="paragraph" w:styleId="4">
    <w:name w:val="Body Text"/>
    <w:basedOn w:val="1"/>
    <w:qFormat/>
    <w:uiPriority w:val="99"/>
    <w:pPr>
      <w:spacing w:after="120"/>
    </w:pPr>
  </w:style>
  <w:style w:type="paragraph" w:styleId="5">
    <w:name w:val="Plain Text"/>
    <w:basedOn w:val="1"/>
    <w:qFormat/>
    <w:uiPriority w:val="0"/>
    <w:rPr>
      <w:rFonts w:ascii="宋体" w:hAnsi="Courier New" w:cs="Courier New"/>
      <w:szCs w:val="21"/>
    </w:rPr>
  </w:style>
  <w:style w:type="paragraph" w:styleId="6">
    <w:name w:val="Body Text First Indent"/>
    <w:basedOn w:val="4"/>
    <w:unhideWhenUsed/>
    <w:qFormat/>
    <w:uiPriority w:val="99"/>
    <w:pPr>
      <w:ind w:firstLine="420" w:firstLineChars="100"/>
    </w:pPr>
    <w:rPr>
      <w:rFonts w:ascii="Times New Roman" w:hAnsi="Times New Roman" w:eastAsia="宋体" w:cs="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2026-07-10T12:08:00Z</dcterms:created>
  <dc:creator>杜航</dc:creator>
  <cp:lastModifiedBy>杜航</cp:lastModifiedBy>
  <dcterms:modified xsi:type="dcterms:W3CDTF">2026-07-10T12:08:49Z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54282A79F12C4CF0ACC56148912F5758_11</vt:lpwstr>
  </property>
  <property fmtid="{D5CDD505-2E9C-101B-9397-08002B2CF9AE}" pid="4" name="KSOTemplateDocerSaveRecord">
    <vt:lpwstr>eyJoZGlkIjoiNGVjNGI1ZWQxMDUyODY5ZDAxOTAyNjljNjE1NWUwNGQiLCJ1c2VySWQiOiIzMDgwODY2MDYifQ==</vt:lpwstr>
  </property>
</Properties>
</file>