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版本号：KY2026-3-25420260806002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复杂流体多尺度流变分析测试系统采购项目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KY2026-3-254</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复杂流体多尺度流变分析测试系统采购项目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复杂流体多尺度流变分析测试系统采购项目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宝鸡文理学院复杂流体多尺度流变分析测试系统采购项目，详见采购文件。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0917-3566017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029-81206622/81206633-842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银行账号：86113010750181502001473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说明：1.提交履约保证金的时间:中标人在合同签订前7日内支付合同金额的5%至甲方; 2.提交形式:中标人应当以支票、汇票、本票或履约担保等非现金形式缴纳; 3.收款账户:中标后由采购人提供; 4.履约保证金的退付:设备安装调试完成并验收合格后，由成交供应商提出退还申请，采购人在收到申请后15个工作日内无息退还。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应依据中标金额向采购代理机构交纳中标服务费，交费金额参照国家计委颁布的《招标代理服务收费管理暂行办法》（计价格[2002]1980号）及发改办价格[2003]857号文件的规定标准费率按货物下浮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在本项目投标文件中明确列明所采用的自有及第三方知识成果清单。对于投标人自有的背景知识产权，投标人须授予采购人一项永久的、免费的、不可撤销的、非独占的使用权，以确保采购人可对交付标的进行正常使用、维护及二次开发；对于第三方知识产权，投标人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联系人：任萍萍、黄梦迪、戈迪</w:t>
      </w:r>
    </w:p>
    <w:p>
      <w:pPr>
        <w:pStyle w:val="null3"/>
      </w:pPr>
      <w:r>
        <w:rPr>
          <w:rFonts w:ascii="仿宋_GB2312" w:hAnsi="仿宋_GB2312" w:cs="仿宋_GB2312" w:eastAsia="仿宋_GB2312"/>
        </w:rPr>
        <w:t>联系电话：029-81206622-842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宝鸡文理学院复杂流体多尺度流变分析测试系统采购项目，详见采购文件。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复杂流体多尺度流变分析测试系统采购项目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标的名称：复杂流体多尺度流变分析测试系统采购项目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项目实现的目标和绩效</w:t>
            </w:r>
          </w:p>
          <w:p>
            <w:pPr>
              <w:pStyle w:val="null3"/>
              <w:ind w:firstLine="420"/>
              <w:jc w:val="both"/>
            </w:pPr>
            <w:r>
              <w:rPr>
                <w:rFonts w:ascii="仿宋_GB2312" w:hAnsi="仿宋_GB2312" w:cs="仿宋_GB2312" w:eastAsia="仿宋_GB2312"/>
                <w:sz w:val="21"/>
              </w:rPr>
              <w:t>采购一套技术先进、性能稳定、功能完备的高性能复杂流体多尺度流变分析测试系统。建立高精度流体粘弹性检测、实时温控与润滑性能等相关联的智能流变测试技术，为重点实验室及先进润滑平台在润滑剂及相关流体性能表征与应用研发方向的科研与教学提供核心支撑，满足实验室在润滑剂粘温特性调控、剪切稳定性评估、触变行为解析、摩擦学性能关联分析等领域的研究与实验需求，并可提供覆盖工业齿轮油、发动机润滑油、特种润滑脂等多品类润滑剂的灵活开放应用场景，支撑材料科学与工程、材料工程、化学工程等学科教师和学生开展润滑剂配方优化、设备润滑方案设计、极端工况润滑机制研究等跨领域探索与创新实践，同步提升实验室在先进流体研发领域的核心竞争力和学术影响力，成为产出高水平成果、开展高水平合作、培养高水平人才的关键基础设施。</w:t>
            </w:r>
          </w:p>
          <w:p>
            <w:pPr>
              <w:pStyle w:val="null3"/>
              <w:ind w:firstLine="210"/>
            </w:pPr>
            <w:r>
              <w:rPr>
                <w:rFonts w:ascii="仿宋_GB2312" w:hAnsi="仿宋_GB2312" w:cs="仿宋_GB2312" w:eastAsia="仿宋_GB2312"/>
                <w:sz w:val="21"/>
              </w:rPr>
              <w:t>项目实施绩效：</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科研支撑。系统直接支撑科研团队对润滑剂粘温特性、流变行为、剪切稳定性等关键参数的精确测量，为揭示微观机理、构建精准预测模型提供核心数据，推动在摩擦学、材料科学、流体力学等领域的高水平学术论文、发明专利及重大科研成果产出。</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人才培养。服务于材料科学与工程、材料工程、化学工程等学科的本科生、研究生教学和实验课程，满足综合性（多参数协同分析）、创新性（新型润滑剂性能探索）、实践性（系统操作与数据解读）教学资源需求，培养具备润滑剂性能测试能力、配方设计思维与工程应用视野的高层次人才。</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学科交叉训练。提供材料表征、机械润滑、润滑剂研发等多学科交叉的训练平台，支撑国家与地方在高端装备润滑、绿色石化、新能源装备长效润滑等领域对专业人才的需求。</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产学研合作。通过与润滑油生产企业、检测认证机构及科研院所的合作，开展润滑剂性能评测、新配方开发与标准制定等应用研究，形成润滑剂领域产学研一体化示范，助力企业解决润滑失效、能耗优化等实际难题，提升实验室对区域内高端装备制造、石化产业的技术服务能力。</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主要技术参数</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b/>
              </w:rPr>
              <w:t>复杂流体多尺度流变分析测试系统</w:t>
            </w:r>
            <w:r>
              <w:rPr>
                <w:rFonts w:ascii="仿宋_GB2312" w:hAnsi="仿宋_GB2312" w:cs="仿宋_GB2312" w:eastAsia="仿宋_GB2312"/>
                <w:sz w:val="21"/>
              </w:rPr>
              <w:t xml:space="preserve"> 1套</w:t>
            </w:r>
          </w:p>
          <w:p>
            <w:pPr>
              <w:pStyle w:val="null3"/>
            </w:pPr>
            <w:r>
              <w:rPr>
                <w:rFonts w:ascii="仿宋_GB2312" w:hAnsi="仿宋_GB2312" w:cs="仿宋_GB2312" w:eastAsia="仿宋_GB2312"/>
                <w:sz w:val="21"/>
              </w:rPr>
              <w:t>系统应具备宽温域条件下稳态、瞬态和动态振荡流变测试的综合功能，实现精确的应力与应变控制，支持润滑剂、高分子、复杂流体等的基础科研、教学创新及产学研合作应用。系统须保证测量准确、运行稳定、功能可扩展，符合国家相关标准及实验室长期运行需求。</w:t>
            </w:r>
          </w:p>
          <w:p>
            <w:pPr>
              <w:pStyle w:val="null3"/>
            </w:pPr>
            <w:r>
              <w:rPr>
                <w:rFonts w:ascii="仿宋_GB2312" w:hAnsi="仿宋_GB2312" w:cs="仿宋_GB2312" w:eastAsia="仿宋_GB2312"/>
                <w:sz w:val="21"/>
              </w:rPr>
              <w:t>1）</w:t>
            </w:r>
            <w:r>
              <w:rPr>
                <w:rFonts w:ascii="仿宋_GB2312" w:hAnsi="仿宋_GB2312" w:cs="仿宋_GB2312" w:eastAsia="仿宋_GB2312"/>
                <w:sz w:val="21"/>
              </w:rPr>
              <w:t>主机技术指标要求：</w:t>
            </w:r>
          </w:p>
          <w:tbl>
            <w:tblPr>
              <w:tblBorders>
                <w:top w:val="none" w:color="000000" w:sz="4"/>
                <w:left w:val="none" w:color="000000" w:sz="4"/>
                <w:bottom w:val="none" w:color="000000" w:sz="4"/>
                <w:right w:val="none" w:color="000000" w:sz="4"/>
                <w:insideH w:val="none"/>
                <w:insideV w:val="none"/>
              </w:tblBorders>
            </w:tblPr>
            <w:tblGrid>
              <w:gridCol w:w="310"/>
              <w:gridCol w:w="1238"/>
              <w:gridCol w:w="1004"/>
            </w:tblGrid>
            <w:tr>
              <w:tc>
                <w:tcPr>
                  <w:tcW w:type="dxa" w:w="310"/>
                  <w:tcBorders>
                    <w:top w:val="singl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b/>
                      <w:color w:val="0F1115"/>
                    </w:rPr>
                    <w:t>序号</w:t>
                  </w:r>
                </w:p>
              </w:tc>
              <w:tc>
                <w:tcPr>
                  <w:tcW w:type="dxa" w:w="1238"/>
                  <w:tcBorders>
                    <w:top w:val="singl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b/>
                      <w:color w:val="0F1115"/>
                    </w:rPr>
                    <w:t>技术指标</w:t>
                  </w:r>
                </w:p>
              </w:tc>
              <w:tc>
                <w:tcPr>
                  <w:tcW w:type="dxa" w:w="1004"/>
                  <w:tcBorders>
                    <w:top w:val="singl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b/>
                      <w:color w:val="0F1115"/>
                    </w:rPr>
                    <w:t>技术要求</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1.1</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扭矩范围</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pPr>
                  <w:r>
                    <w:rPr>
                      <w:rFonts w:ascii="仿宋_GB2312" w:hAnsi="仿宋_GB2312" w:cs="仿宋_GB2312" w:eastAsia="仿宋_GB2312"/>
                      <w:sz w:val="24"/>
                      <w:color w:val="0F1115"/>
                    </w:rPr>
                    <w:t>0.</w:t>
                  </w:r>
                  <w:r>
                    <w:rPr>
                      <w:rFonts w:ascii="仿宋_GB2312" w:hAnsi="仿宋_GB2312" w:cs="仿宋_GB2312" w:eastAsia="仿宋_GB2312"/>
                      <w:sz w:val="24"/>
                      <w:color w:val="0F1115"/>
                    </w:rPr>
                    <w:t>2 mN·m～100 mN·m</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1.2</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最小扭矩</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≤2 nN·m</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1.3</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扭矩分辨率</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≤0.</w:t>
                  </w:r>
                  <w:r>
                    <w:rPr>
                      <w:rFonts w:ascii="仿宋_GB2312" w:hAnsi="仿宋_GB2312" w:cs="仿宋_GB2312" w:eastAsia="仿宋_GB2312"/>
                      <w:sz w:val="24"/>
                      <w:color w:val="0F1115"/>
                    </w:rPr>
                    <w:t>2</w:t>
                  </w:r>
                  <w:r>
                    <w:rPr>
                      <w:rFonts w:ascii="仿宋_GB2312" w:hAnsi="仿宋_GB2312" w:cs="仿宋_GB2312" w:eastAsia="仿宋_GB2312"/>
                      <w:sz w:val="24"/>
                      <w:color w:val="0F1115"/>
                    </w:rPr>
                    <w:t xml:space="preserve"> nN·m</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4"/>
                      <w:color w:val="0F1115"/>
                    </w:rPr>
                    <w:t>1.4</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马达惯量</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≤1</w:t>
                  </w:r>
                  <w:r>
                    <w:rPr>
                      <w:rFonts w:ascii="仿宋_GB2312" w:hAnsi="仿宋_GB2312" w:cs="仿宋_GB2312" w:eastAsia="仿宋_GB2312"/>
                      <w:sz w:val="24"/>
                      <w:color w:val="0F1115"/>
                    </w:rPr>
                    <w:t>0</w:t>
                  </w:r>
                  <w:r>
                    <w:rPr>
                      <w:rFonts w:ascii="仿宋_GB2312" w:hAnsi="仿宋_GB2312" w:cs="仿宋_GB2312" w:eastAsia="仿宋_GB2312"/>
                      <w:sz w:val="24"/>
                      <w:color w:val="0F1115"/>
                    </w:rPr>
                    <w:t xml:space="preserve"> </w:t>
                  </w:r>
                  <w:r>
                    <w:rPr>
                      <w:rFonts w:ascii="仿宋_GB2312" w:hAnsi="仿宋_GB2312" w:cs="仿宋_GB2312" w:eastAsia="仿宋_GB2312"/>
                      <w:sz w:val="24"/>
                      <w:color w:val="0F1115"/>
                    </w:rPr>
                    <w:t>μN·m·s</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1.5</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角位移分辨率</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≤12 nrad</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1.6</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最小角速度（控制应力模式）</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≤10⁻</w:t>
                  </w:r>
                  <w:r>
                    <w:rPr>
                      <w:rFonts w:ascii="仿宋_GB2312" w:hAnsi="仿宋_GB2312" w:cs="仿宋_GB2312" w:eastAsia="仿宋_GB2312"/>
                      <w:sz w:val="24"/>
                      <w:color w:val="0F1115"/>
                      <w:vertAlign w:val="superscript"/>
                    </w:rPr>
                    <w:t>6</w:t>
                  </w:r>
                  <w:r>
                    <w:rPr>
                      <w:rFonts w:ascii="仿宋_GB2312" w:hAnsi="仿宋_GB2312" w:cs="仿宋_GB2312" w:eastAsia="仿宋_GB2312"/>
                      <w:sz w:val="24"/>
                      <w:color w:val="0F1115"/>
                    </w:rPr>
                    <w:t xml:space="preserve"> RPM</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1.7</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最小角速度（控制速率模式）</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≤10⁻</w:t>
                  </w:r>
                  <w:r>
                    <w:rPr>
                      <w:rFonts w:ascii="仿宋_GB2312" w:hAnsi="仿宋_GB2312" w:cs="仿宋_GB2312" w:eastAsia="仿宋_GB2312"/>
                      <w:sz w:val="24"/>
                      <w:color w:val="0F1115"/>
                      <w:vertAlign w:val="superscript"/>
                    </w:rPr>
                    <w:t>7</w:t>
                  </w:r>
                  <w:r>
                    <w:rPr>
                      <w:rFonts w:ascii="仿宋_GB2312" w:hAnsi="仿宋_GB2312" w:cs="仿宋_GB2312" w:eastAsia="仿宋_GB2312"/>
                      <w:sz w:val="24"/>
                      <w:color w:val="0F1115"/>
                    </w:rPr>
                    <w:t>RPM</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w:t>
                  </w:r>
                  <w:r>
                    <w:rPr>
                      <w:rFonts w:ascii="仿宋_GB2312" w:hAnsi="仿宋_GB2312" w:cs="仿宋_GB2312" w:eastAsia="仿宋_GB2312"/>
                      <w:sz w:val="24"/>
                      <w:color w:val="0F1115"/>
                    </w:rPr>
                    <w:t>1.8</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最大角速度</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w:t>
                  </w:r>
                  <w:r>
                    <w:rPr>
                      <w:rFonts w:ascii="仿宋_GB2312" w:hAnsi="仿宋_GB2312" w:cs="仿宋_GB2312" w:eastAsia="仿宋_GB2312"/>
                      <w:sz w:val="24"/>
                      <w:color w:val="0F1115"/>
                    </w:rPr>
                    <w:t>30</w:t>
                  </w:r>
                  <w:r>
                    <w:rPr>
                      <w:rFonts w:ascii="仿宋_GB2312" w:hAnsi="仿宋_GB2312" w:cs="仿宋_GB2312" w:eastAsia="仿宋_GB2312"/>
                      <w:sz w:val="24"/>
                      <w:color w:val="0F1115"/>
                    </w:rPr>
                    <w:t>00 RPM</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1.9</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最小振荡频率</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≤10⁻⁶ Hz</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1.10</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最大振荡频率</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≥100 Hz</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1.11</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速度阶跃间隔</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≤10 ms</w:t>
                  </w:r>
                </w:p>
              </w:tc>
            </w:tr>
            <w:tr>
              <w:tc>
                <w:tcPr>
                  <w:tcW w:type="dxa" w:w="310"/>
                  <w:tcBorders>
                    <w:top w:val="none" w:color="000000" w:sz="4"/>
                    <w:left w:val="single" w:color="000000" w:sz="4"/>
                    <w:bottom w:val="single" w:color="000000" w:sz="4"/>
                    <w:right w:val="single" w:color="000000" w:sz="4"/>
                  </w:tcBorders>
                  <w:shd w:fill="FFFFFF"/>
                  <w:tcMar>
                    <w:top w:type="dxa" w:w="150"/>
                    <w:left w:type="dxa" w:w="0"/>
                    <w:bottom w:type="dxa" w:w="150"/>
                    <w:right w:type="dxa" w:w="240"/>
                  </w:tcMar>
                  <w:vAlign w:val="top"/>
                </w:tcPr>
                <w:p>
                  <w:pPr>
                    <w:pStyle w:val="null3"/>
                    <w:jc w:val="left"/>
                  </w:pPr>
                  <w:r>
                    <w:rPr>
                      <w:rFonts w:ascii="仿宋_GB2312" w:hAnsi="仿宋_GB2312" w:cs="仿宋_GB2312" w:eastAsia="仿宋_GB2312"/>
                      <w:sz w:val="24"/>
                      <w:color w:val="0F1115"/>
                    </w:rPr>
                    <w:t>1.12</w:t>
                  </w:r>
                </w:p>
              </w:tc>
              <w:tc>
                <w:tcPr>
                  <w:tcW w:type="dxa" w:w="1238"/>
                  <w:tcBorders>
                    <w:top w:val="none" w:color="000000" w:sz="4"/>
                    <w:left w:val="single" w:color="000000" w:sz="4"/>
                    <w:bottom w:val="single" w:color="000000" w:sz="4"/>
                    <w:right w:val="single" w:color="000000" w:sz="4"/>
                  </w:tcBorders>
                  <w:shd w:fill="FFFFFF"/>
                  <w:tcMar>
                    <w:top w:type="dxa" w:w="150"/>
                    <w:left w:type="dxa" w:w="240"/>
                    <w:bottom w:type="dxa" w:w="150"/>
                    <w:right w:type="dxa" w:w="240"/>
                  </w:tcMar>
                  <w:vAlign w:val="top"/>
                </w:tcPr>
                <w:p>
                  <w:pPr>
                    <w:pStyle w:val="null3"/>
                    <w:jc w:val="left"/>
                  </w:pPr>
                  <w:r>
                    <w:rPr>
                      <w:rFonts w:ascii="仿宋_GB2312" w:hAnsi="仿宋_GB2312" w:cs="仿宋_GB2312" w:eastAsia="仿宋_GB2312"/>
                      <w:sz w:val="24"/>
                      <w:color w:val="0F1115"/>
                    </w:rPr>
                    <w:t>法向</w:t>
                  </w:r>
                  <w:r>
                    <w:rPr>
                      <w:rFonts w:ascii="仿宋_GB2312" w:hAnsi="仿宋_GB2312" w:cs="仿宋_GB2312" w:eastAsia="仿宋_GB2312"/>
                      <w:sz w:val="24"/>
                      <w:color w:val="0F1115"/>
                    </w:rPr>
                    <w:t>/</w:t>
                  </w:r>
                  <w:r>
                    <w:rPr>
                      <w:rFonts w:ascii="仿宋_GB2312" w:hAnsi="仿宋_GB2312" w:cs="仿宋_GB2312" w:eastAsia="仿宋_GB2312"/>
                      <w:sz w:val="24"/>
                      <w:color w:val="0F1115"/>
                    </w:rPr>
                    <w:t>轴向力范围</w:t>
                  </w:r>
                </w:p>
              </w:tc>
              <w:tc>
                <w:tcPr>
                  <w:tcW w:type="dxa" w:w="1004"/>
                  <w:tcBorders>
                    <w:top w:val="none" w:color="000000" w:sz="4"/>
                    <w:left w:val="single" w:color="000000" w:sz="4"/>
                    <w:bottom w:val="single" w:color="000000" w:sz="4"/>
                    <w:right w:val="singl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4"/>
                      <w:color w:val="0F1115"/>
                    </w:rPr>
                    <w:t>0.01</w:t>
                  </w:r>
                  <w:r>
                    <w:rPr>
                      <w:rFonts w:ascii="仿宋_GB2312" w:hAnsi="仿宋_GB2312" w:cs="仿宋_GB2312" w:eastAsia="仿宋_GB2312"/>
                      <w:sz w:val="24"/>
                      <w:color w:val="0F1115"/>
                    </w:rPr>
                    <w:t>～</w:t>
                  </w:r>
                  <w:r>
                    <w:rPr>
                      <w:rFonts w:ascii="仿宋_GB2312" w:hAnsi="仿宋_GB2312" w:cs="仿宋_GB2312" w:eastAsia="仿宋_GB2312"/>
                      <w:sz w:val="24"/>
                      <w:color w:val="0F1115"/>
                    </w:rPr>
                    <w:t>50 N</w:t>
                  </w:r>
                </w:p>
              </w:tc>
            </w:tr>
          </w:tbl>
          <w:p>
            <w:pPr>
              <w:pStyle w:val="null3"/>
            </w:pPr>
            <w:r>
              <w:rPr>
                <w:rFonts w:ascii="仿宋_GB2312" w:hAnsi="仿宋_GB2312" w:cs="仿宋_GB2312" w:eastAsia="仿宋_GB2312"/>
                <w:sz w:val="21"/>
              </w:rPr>
              <w:t>2）控温系统要求：</w:t>
            </w:r>
          </w:p>
          <w:p>
            <w:pPr>
              <w:pStyle w:val="null3"/>
            </w:pPr>
            <w:r>
              <w:rPr>
                <w:rFonts w:ascii="仿宋_GB2312" w:hAnsi="仿宋_GB2312" w:cs="仿宋_GB2312" w:eastAsia="仿宋_GB2312"/>
                <w:sz w:val="21"/>
              </w:rPr>
              <w:t>▲①</w:t>
            </w:r>
            <w:r>
              <w:rPr>
                <w:rFonts w:ascii="仿宋_GB2312" w:hAnsi="仿宋_GB2312" w:cs="仿宋_GB2312" w:eastAsia="仿宋_GB2312"/>
                <w:sz w:val="21"/>
              </w:rPr>
              <w:t xml:space="preserve"> Peltier平锥板控温系统：温度范围-</w:t>
            </w:r>
            <w:r>
              <w:rPr>
                <w:rFonts w:ascii="仿宋_GB2312" w:hAnsi="仿宋_GB2312" w:cs="仿宋_GB2312" w:eastAsia="仿宋_GB2312"/>
                <w:sz w:val="21"/>
              </w:rPr>
              <w:t>5</w:t>
            </w:r>
            <w:r>
              <w:rPr>
                <w:rFonts w:ascii="仿宋_GB2312" w:hAnsi="仿宋_GB2312" w:cs="仿宋_GB2312" w:eastAsia="仿宋_GB2312"/>
                <w:sz w:val="21"/>
              </w:rPr>
              <w:t>0-200℃，温度精度0.01℃，温度准确度0.1℃</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Peltier同心圆筒控温系统：温度范围-30-200℃，温度精度0.01℃，温度准确度0.1℃</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夹具要求：</w:t>
            </w:r>
            <w:r>
              <w:rPr>
                <w:rFonts w:ascii="仿宋_GB2312" w:hAnsi="仿宋_GB2312" w:cs="仿宋_GB2312" w:eastAsia="仿宋_GB2312"/>
                <w:sz w:val="21"/>
              </w:rPr>
              <w:t>25mm/平行板夹具，25mm/1°锥板，35mm/平行板夹具，35mm/1°锥板钛合金材质</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转子要求：双狭缝同心圆筒转子，</w:t>
            </w:r>
            <w:r>
              <w:rPr>
                <w:rFonts w:ascii="仿宋_GB2312" w:hAnsi="仿宋_GB2312" w:cs="仿宋_GB2312" w:eastAsia="仿宋_GB2312"/>
                <w:sz w:val="21"/>
              </w:rPr>
              <w:t>CC26/CC24/CC20同心圆筒转子，FL22桨叶转子</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样品防挥发罩，</w:t>
            </w:r>
            <w:r>
              <w:rPr>
                <w:rFonts w:ascii="仿宋_GB2312" w:hAnsi="仿宋_GB2312" w:cs="仿宋_GB2312" w:eastAsia="仿宋_GB2312"/>
                <w:sz w:val="21"/>
              </w:rPr>
              <w:t>PEEK材质，最高可耐250℃</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软硬件要求：</w:t>
            </w:r>
          </w:p>
          <w:p>
            <w:pPr>
              <w:pStyle w:val="null3"/>
            </w:pPr>
            <w:r>
              <w:rPr>
                <w:rFonts w:ascii="仿宋_GB2312" w:hAnsi="仿宋_GB2312" w:cs="仿宋_GB2312" w:eastAsia="仿宋_GB2312"/>
                <w:sz w:val="21"/>
              </w:rPr>
              <w:t>①</w:t>
            </w:r>
            <w:r>
              <w:rPr>
                <w:rFonts w:ascii="仿宋_GB2312" w:hAnsi="仿宋_GB2312" w:cs="仿宋_GB2312" w:eastAsia="仿宋_GB2312"/>
                <w:sz w:val="21"/>
              </w:rPr>
              <w:t>软件：带操作、分析软件及摩擦学软件，用于高分子材料力学及粘弹特性测试。可测量的流变参数包括：弹性</w:t>
            </w:r>
            <w:r>
              <w:rPr>
                <w:rFonts w:ascii="仿宋_GB2312" w:hAnsi="仿宋_GB2312" w:cs="仿宋_GB2312" w:eastAsia="仿宋_GB2312"/>
                <w:sz w:val="21"/>
              </w:rPr>
              <w:t>/储能模量(G')，粘性/损耗模量(G''), 复合模量(G*)，模量-时间函数G(t)，相位角(G''）含中英文)，包括软件介面、参数设置、报告等；数据显示和存储：快速显示分析的结果和分析曲线；分析结果自动存储；可支持数据监测：动态单点测试、瞬态应力松弛； 触变环实验、阶跃速率扫描；动态频率、时间和应变扫描；温度阶跃实验和线性变化实验；自动调零、自动调隙和自动张力；恒定速率温度线性变化/阶跃实验；恒定应力（蠕变）；应力线性变化实验；粘性实验。</w:t>
            </w:r>
          </w:p>
          <w:p>
            <w:pPr>
              <w:pStyle w:val="null3"/>
            </w:pPr>
            <w:r>
              <w:rPr>
                <w:rFonts w:ascii="仿宋_GB2312" w:hAnsi="仿宋_GB2312" w:cs="仿宋_GB2312" w:eastAsia="仿宋_GB2312"/>
                <w:sz w:val="21"/>
              </w:rPr>
              <w:t>②</w:t>
            </w:r>
            <w:r>
              <w:rPr>
                <w:rFonts w:ascii="仿宋_GB2312" w:hAnsi="仿宋_GB2312" w:cs="仿宋_GB2312" w:eastAsia="仿宋_GB2312"/>
                <w:sz w:val="21"/>
              </w:rPr>
              <w:t>硬件：类型：</w:t>
            </w:r>
            <w:r>
              <w:rPr>
                <w:rFonts w:ascii="仿宋_GB2312" w:hAnsi="仿宋_GB2312" w:cs="仿宋_GB2312" w:eastAsia="仿宋_GB2312"/>
                <w:sz w:val="21"/>
              </w:rPr>
              <w:t>2U机架式；</w:t>
            </w:r>
            <w:r>
              <w:rPr>
                <w:rFonts w:ascii="仿宋_GB2312" w:hAnsi="仿宋_GB2312" w:cs="仿宋_GB2312" w:eastAsia="仿宋_GB2312"/>
                <w:sz w:val="22"/>
              </w:rPr>
              <w:t>处理器性能不低于第三代</w:t>
            </w:r>
            <w:r>
              <w:rPr>
                <w:rFonts w:ascii="仿宋_GB2312" w:hAnsi="仿宋_GB2312" w:cs="仿宋_GB2312" w:eastAsia="仿宋_GB2312"/>
                <w:sz w:val="22"/>
              </w:rPr>
              <w:t>Intel Xeon可扩展处理器（如5320）或同等级别产品；</w:t>
            </w:r>
            <w:r>
              <w:rPr>
                <w:rFonts w:ascii="仿宋_GB2312" w:hAnsi="仿宋_GB2312" w:cs="仿宋_GB2312" w:eastAsia="仿宋_GB2312"/>
              </w:rPr>
              <w:t xml:space="preserve"> </w:t>
            </w:r>
            <w:r>
              <w:rPr>
                <w:rFonts w:ascii="仿宋_GB2312" w:hAnsi="仿宋_GB2312" w:cs="仿宋_GB2312" w:eastAsia="仿宋_GB2312"/>
                <w:sz w:val="21"/>
              </w:rPr>
              <w:t>26核 52线程 2.2GHZ*1 个；内存：≥DDR4 RECC 32  内存≥（32G*1 根）2933MHZ，固态硬盘：≥480G SSD 固态硬盘 系统盘 2.5 寸，机械硬盘：≥3*4T，网卡：1000M，电源：800W*2个；导轨自带；操作系统：WINDOWS SERVER 2019数据中心版；显示器：≥32寸，带鼠标键盘；</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w:t>
            </w:r>
            <w:r>
              <w:rPr>
                <w:rFonts w:ascii="仿宋_GB2312" w:hAnsi="仿宋_GB2312" w:cs="仿宋_GB2312" w:eastAsia="仿宋_GB2312"/>
                <w:sz w:val="21"/>
              </w:rPr>
              <w:t>配置要求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1）摩擦附件   1套</w:t>
            </w:r>
          </w:p>
          <w:p>
            <w:pPr>
              <w:pStyle w:val="null3"/>
            </w:pPr>
            <w:r>
              <w:rPr>
                <w:rFonts w:ascii="仿宋_GB2312" w:hAnsi="仿宋_GB2312" w:cs="仿宋_GB2312" w:eastAsia="仿宋_GB2312"/>
                <w:sz w:val="21"/>
              </w:rPr>
              <w:t>（2）可选配高温炉用于聚合物测试，要求最高温度可以达到600℃；</w:t>
            </w:r>
          </w:p>
          <w:p>
            <w:pPr>
              <w:pStyle w:val="null3"/>
            </w:pPr>
            <w:r>
              <w:rPr>
                <w:rFonts w:ascii="仿宋_GB2312" w:hAnsi="仿宋_GB2312" w:cs="仿宋_GB2312" w:eastAsia="仿宋_GB2312"/>
                <w:sz w:val="21"/>
              </w:rPr>
              <w:t>（3）双数据处理系统：≥i5-10500/8G/500G/DVDRW/双串口/双网口/WIN10 EN，带鼠标键盘  2套；</w:t>
            </w:r>
          </w:p>
          <w:p>
            <w:pPr>
              <w:pStyle w:val="null3"/>
            </w:pPr>
            <w:r>
              <w:rPr>
                <w:rFonts w:ascii="仿宋_GB2312" w:hAnsi="仿宋_GB2312" w:cs="仿宋_GB2312" w:eastAsia="仿宋_GB2312"/>
                <w:sz w:val="21"/>
              </w:rPr>
              <w:t>（4）静音无油空压机，含除油，除水及除尘过滤器  1套；</w:t>
            </w:r>
          </w:p>
          <w:p>
            <w:pPr>
              <w:pStyle w:val="null3"/>
            </w:pPr>
            <w:r>
              <w:rPr>
                <w:rFonts w:ascii="仿宋_GB2312" w:hAnsi="仿宋_GB2312" w:cs="仿宋_GB2312" w:eastAsia="仿宋_GB2312"/>
                <w:sz w:val="21"/>
              </w:rPr>
              <w:t>（5）标准粘度液（高粘度、</w:t>
            </w:r>
            <w:r>
              <w:rPr>
                <w:rFonts w:ascii="仿宋_GB2312" w:hAnsi="仿宋_GB2312" w:cs="仿宋_GB2312" w:eastAsia="仿宋_GB2312"/>
                <w:sz w:val="21"/>
              </w:rPr>
              <w:t>低粘度、中等粘度共三瓶） 1套；</w:t>
            </w:r>
          </w:p>
          <w:p>
            <w:pPr>
              <w:pStyle w:val="null3"/>
            </w:pPr>
            <w:r>
              <w:rPr>
                <w:rFonts w:ascii="仿宋_GB2312" w:hAnsi="仿宋_GB2312" w:cs="仿宋_GB2312" w:eastAsia="仿宋_GB2312"/>
                <w:sz w:val="21"/>
              </w:rPr>
              <w:t>（6）样品电流阻抗测试附件（含交流阻抗数字模拟器和拟合程序、恒电流仪）              1套；</w:t>
            </w:r>
          </w:p>
          <w:p>
            <w:pPr>
              <w:pStyle w:val="null3"/>
            </w:pPr>
            <w:r>
              <w:rPr>
                <w:rFonts w:ascii="仿宋_GB2312" w:hAnsi="仿宋_GB2312" w:cs="仿宋_GB2312" w:eastAsia="仿宋_GB2312"/>
                <w:sz w:val="21"/>
              </w:rPr>
              <w:t>电压：≥10 V；电流：≥200 mA；电位精度：±1mV；恒电位范围：±40V，电极模式：支持 2、3、4 电极体系，输入阻抗&gt;10¹²Ω，允许同时独立控制两个工作电极（WE1/WE2）</w:t>
            </w:r>
          </w:p>
          <w:p>
            <w:pPr>
              <w:pStyle w:val="null3"/>
            </w:pPr>
            <w:r>
              <w:rPr>
                <w:rFonts w:ascii="仿宋_GB2312" w:hAnsi="仿宋_GB2312" w:cs="仿宋_GB2312" w:eastAsia="仿宋_GB2312"/>
                <w:sz w:val="21"/>
              </w:rPr>
              <w:t>（7）超低温循环器         1套；</w:t>
            </w:r>
          </w:p>
          <w:p>
            <w:pPr>
              <w:pStyle w:val="null3"/>
            </w:pPr>
            <w:r>
              <w:rPr>
                <w:rFonts w:ascii="仿宋_GB2312" w:hAnsi="仿宋_GB2312" w:cs="仿宋_GB2312" w:eastAsia="仿宋_GB2312"/>
                <w:sz w:val="21"/>
              </w:rPr>
              <w:t>温度：-60℃，与主机联机使用</w:t>
            </w:r>
          </w:p>
          <w:p>
            <w:pPr>
              <w:pStyle w:val="null3"/>
            </w:pPr>
            <w:r>
              <w:rPr>
                <w:rFonts w:ascii="仿宋_GB2312" w:hAnsi="仿宋_GB2312" w:cs="仿宋_GB2312" w:eastAsia="仿宋_GB2312"/>
                <w:sz w:val="21"/>
              </w:rPr>
              <w:t>（8）纳米材料前处理器     1套；</w:t>
            </w:r>
          </w:p>
          <w:p>
            <w:pPr>
              <w:pStyle w:val="null3"/>
            </w:pPr>
            <w:r>
              <w:rPr>
                <w:rFonts w:ascii="仿宋_GB2312" w:hAnsi="仿宋_GB2312" w:cs="仿宋_GB2312" w:eastAsia="仿宋_GB2312"/>
                <w:sz w:val="21"/>
              </w:rPr>
              <w:t>样品量：≥20*5ML， 制样范围：≤2μm     控温精度：±0.2℃</w:t>
            </w:r>
          </w:p>
          <w:p>
            <w:pPr>
              <w:pStyle w:val="null3"/>
            </w:pPr>
            <w:r>
              <w:rPr>
                <w:rFonts w:ascii="仿宋_GB2312" w:hAnsi="仿宋_GB2312" w:cs="仿宋_GB2312" w:eastAsia="仿宋_GB2312"/>
                <w:sz w:val="21"/>
              </w:rPr>
              <w:t>（9）真空处理器           1套；</w:t>
            </w:r>
          </w:p>
          <w:p>
            <w:pPr>
              <w:pStyle w:val="null3"/>
            </w:pPr>
            <w:r>
              <w:rPr>
                <w:rFonts w:ascii="仿宋_GB2312" w:hAnsi="仿宋_GB2312" w:cs="仿宋_GB2312" w:eastAsia="仿宋_GB2312"/>
                <w:sz w:val="21"/>
              </w:rPr>
              <w:t>抽速：≥3.7 m</w:t>
            </w:r>
            <w:r>
              <w:rPr>
                <w:rFonts w:ascii="仿宋_GB2312" w:hAnsi="仿宋_GB2312" w:cs="仿宋_GB2312" w:eastAsia="仿宋_GB2312"/>
                <w:sz w:val="21"/>
                <w:vertAlign w:val="superscript"/>
              </w:rPr>
              <w:t>2</w:t>
            </w:r>
            <w:r>
              <w:rPr>
                <w:rFonts w:ascii="仿宋_GB2312" w:hAnsi="仿宋_GB2312" w:cs="仿宋_GB2312" w:eastAsia="仿宋_GB2312"/>
                <w:sz w:val="21"/>
              </w:rPr>
              <w:t>h</w:t>
            </w:r>
          </w:p>
          <w:p>
            <w:pPr>
              <w:pStyle w:val="null3"/>
            </w:pPr>
            <w:r>
              <w:rPr>
                <w:rFonts w:ascii="仿宋_GB2312" w:hAnsi="仿宋_GB2312" w:cs="仿宋_GB2312" w:eastAsia="仿宋_GB2312"/>
                <w:sz w:val="21"/>
              </w:rPr>
              <w:t>真空压力：≥3.0 ×10</w:t>
            </w:r>
            <w:r>
              <w:rPr>
                <w:rFonts w:ascii="仿宋_GB2312" w:hAnsi="仿宋_GB2312" w:cs="仿宋_GB2312" w:eastAsia="仿宋_GB2312"/>
                <w:sz w:val="21"/>
                <w:vertAlign w:val="superscript"/>
              </w:rPr>
              <w:t>-3</w:t>
            </w:r>
            <w:r>
              <w:rPr>
                <w:rFonts w:ascii="仿宋_GB2312" w:hAnsi="仿宋_GB2312" w:cs="仿宋_GB2312" w:eastAsia="仿宋_GB2312"/>
                <w:sz w:val="21"/>
              </w:rPr>
              <w:t>mbar，带进气口阀，油雾过滤器</w:t>
            </w:r>
          </w:p>
          <w:p>
            <w:pPr>
              <w:pStyle w:val="null3"/>
            </w:pPr>
            <w:r>
              <w:rPr>
                <w:rFonts w:ascii="仿宋_GB2312" w:hAnsi="仿宋_GB2312" w:cs="仿宋_GB2312" w:eastAsia="仿宋_GB2312"/>
                <w:sz w:val="21"/>
              </w:rPr>
              <w:t>（10）样品分离纯化器      1套；</w:t>
            </w:r>
          </w:p>
          <w:p>
            <w:pPr>
              <w:pStyle w:val="null3"/>
            </w:pPr>
            <w:r>
              <w:rPr>
                <w:rFonts w:ascii="仿宋_GB2312" w:hAnsi="仿宋_GB2312" w:cs="仿宋_GB2312" w:eastAsia="仿宋_GB2312"/>
                <w:sz w:val="21"/>
              </w:rPr>
              <w:t>温度范围：-0-99℃    样品容器量：≥2000ML   降温面积：≥1500cm</w:t>
            </w:r>
            <w:r>
              <w:rPr>
                <w:rFonts w:ascii="仿宋_GB2312" w:hAnsi="仿宋_GB2312" w:cs="仿宋_GB2312" w:eastAsia="仿宋_GB2312"/>
                <w:sz w:val="21"/>
                <w:vertAlign w:val="superscript"/>
              </w:rPr>
              <w:t>2</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四、技术要求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1）技术要求：是指对采购内容的功能和质量要求，包括性能、材料、结构、外观、安全，或者服务内容和</w:t>
            </w:r>
            <w:r>
              <w:rPr>
                <w:rFonts w:ascii="仿宋_GB2312" w:hAnsi="仿宋_GB2312" w:cs="仿宋_GB2312" w:eastAsia="仿宋_GB2312"/>
                <w:sz w:val="21"/>
              </w:rPr>
              <w:t>标准等。</w:t>
            </w:r>
          </w:p>
          <w:p>
            <w:pPr>
              <w:pStyle w:val="null3"/>
            </w:pPr>
            <w:r>
              <w:rPr>
                <w:rFonts w:ascii="仿宋_GB2312" w:hAnsi="仿宋_GB2312" w:cs="仿宋_GB2312" w:eastAsia="仿宋_GB2312"/>
                <w:sz w:val="21"/>
              </w:rPr>
              <w:t xml:space="preserve">   本次采购的复杂流体多尺度流变分析测试系统应具备宽温域条件下稳态、瞬态和动态振荡流变测试的综合功能，整体系统需实现精确的应力与应变控制，支持润滑剂、高分子、复杂流体等的基础科研、教学创新及产学研合作应用。系统必须保证测量准确、运行稳定、功能可扩展，符合国家相关标准及实验室长期运行需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2）材料与结构要求。</w:t>
            </w:r>
          </w:p>
          <w:p>
            <w:pPr>
              <w:pStyle w:val="null3"/>
              <w:ind w:firstLine="420"/>
            </w:pPr>
            <w:r>
              <w:rPr>
                <w:rFonts w:ascii="仿宋_GB2312" w:hAnsi="仿宋_GB2312" w:cs="仿宋_GB2312" w:eastAsia="仿宋_GB2312"/>
                <w:sz w:val="21"/>
              </w:rPr>
              <w:t>1）测量单元核心部件（如电机、轴承、光学编码器）必须为原厂设计和制造，确保精度与可靠性。</w:t>
            </w:r>
          </w:p>
          <w:p>
            <w:pPr>
              <w:pStyle w:val="null3"/>
              <w:ind w:firstLine="420"/>
            </w:pPr>
            <w:r>
              <w:rPr>
                <w:rFonts w:ascii="仿宋_GB2312" w:hAnsi="仿宋_GB2312" w:cs="仿宋_GB2312" w:eastAsia="仿宋_GB2312"/>
                <w:sz w:val="21"/>
              </w:rPr>
              <w:t>2）与样品接触的部件（如测量转子、板、筒）须采用高强度、耐腐蚀、惰性材料（如哈氏合金、钛合金等），确保在测试各类化学物质（尤其是润滑剂、添加剂）时的长期稳定性和抗腐蚀能力。</w:t>
            </w:r>
          </w:p>
          <w:p>
            <w:pPr>
              <w:pStyle w:val="null3"/>
              <w:ind w:firstLine="420"/>
            </w:pPr>
            <w:r>
              <w:rPr>
                <w:rFonts w:ascii="仿宋_GB2312" w:hAnsi="仿宋_GB2312" w:cs="仿宋_GB2312" w:eastAsia="仿宋_GB2312"/>
                <w:sz w:val="21"/>
              </w:rPr>
              <w:t>3）仪器主体结构应坚固，具有优异的隔振能力，有效隔离外界振动干扰，保证测试数据的准确性。</w:t>
            </w:r>
          </w:p>
          <w:p>
            <w:pPr>
              <w:pStyle w:val="null3"/>
              <w:ind w:firstLine="420"/>
            </w:pPr>
            <w:r>
              <w:rPr>
                <w:rFonts w:ascii="仿宋_GB2312" w:hAnsi="仿宋_GB2312" w:cs="仿宋_GB2312" w:eastAsia="仿宋_GB2312"/>
                <w:sz w:val="21"/>
              </w:rPr>
              <w:t>4）可选配的环境系统（如高压单元、溶剂捕获罩）应设计合理，与主机连接便捷可靠。</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安全与标准，系统需符合国家及行业相关电气安全标准；仪器软件应具备多级用户权限管理功能，支持测试追踪，符合数据完整性要求。温控系统需具备超温自动保护功能，防止因过热对设备及样品造成损害。</w:t>
            </w:r>
          </w:p>
          <w:p>
            <w:pPr>
              <w:pStyle w:val="null3"/>
            </w:pPr>
            <w:r>
              <w:rPr>
                <w:rFonts w:ascii="仿宋_GB2312" w:hAnsi="仿宋_GB2312" w:cs="仿宋_GB2312" w:eastAsia="仿宋_GB2312"/>
                <w:sz w:val="21"/>
              </w:rPr>
              <w:t>（</w:t>
            </w:r>
            <w:r>
              <w:rPr>
                <w:rFonts w:ascii="仿宋_GB2312" w:hAnsi="仿宋_GB2312" w:cs="仿宋_GB2312" w:eastAsia="仿宋_GB2312"/>
                <w:sz w:val="21"/>
              </w:rPr>
              <w:t>4）服务与保障，供应商负责整套系统的安装、调试及运行测试，保证设备按期交付并达到性能指标；提供教师与学生的操作培训。</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五、其他要求</w:t>
            </w:r>
          </w:p>
          <w:p>
            <w:pPr>
              <w:pStyle w:val="null3"/>
            </w:pPr>
            <w:r>
              <w:rPr>
                <w:rFonts w:ascii="仿宋_GB2312" w:hAnsi="仿宋_GB2312" w:cs="仿宋_GB2312" w:eastAsia="仿宋_GB2312"/>
                <w:sz w:val="21"/>
              </w:rPr>
              <w:t>1、售后服务要求</w:t>
            </w:r>
          </w:p>
          <w:p>
            <w:pPr>
              <w:pStyle w:val="null3"/>
            </w:pPr>
            <w:r>
              <w:rPr>
                <w:rFonts w:ascii="仿宋_GB2312" w:hAnsi="仿宋_GB2312" w:cs="仿宋_GB2312" w:eastAsia="仿宋_GB2312"/>
                <w:sz w:val="21"/>
              </w:rPr>
              <w:t>1）售后响应时限：投标人提供7*24小时电话服务，2小时响应，提供线上指导和上门服务，上门服务响应时间不超过4小时。</w:t>
            </w:r>
          </w:p>
          <w:p>
            <w:pPr>
              <w:pStyle w:val="null3"/>
            </w:pPr>
            <w:r>
              <w:rPr>
                <w:rFonts w:ascii="仿宋_GB2312" w:hAnsi="仿宋_GB2312" w:cs="仿宋_GB2312" w:eastAsia="仿宋_GB2312"/>
                <w:sz w:val="21"/>
              </w:rPr>
              <w:t>★2）基于设备安装调试和售后服务的实际需要，中标人须承诺在中标后，合同签订前向采购人提供至少1名专职负责本项目的售后服务工程师的名单及联系方式，实施过程中不得随意更换；上述工程师按售后响应时限要求及时响应，若中标人未能按上述要求响应，或指定的工程师未能按时提供上门服务，采购人有权视为违约，并依据合同追究其违约责任。</w:t>
            </w:r>
          </w:p>
          <w:p>
            <w:pPr>
              <w:pStyle w:val="null3"/>
            </w:pPr>
            <w:r>
              <w:rPr>
                <w:rFonts w:ascii="仿宋_GB2312" w:hAnsi="仿宋_GB2312" w:cs="仿宋_GB2312" w:eastAsia="仿宋_GB2312"/>
                <w:sz w:val="21"/>
              </w:rPr>
              <w:t>2、质保期：验收合格后12个月。</w:t>
            </w:r>
          </w:p>
          <w:p>
            <w:pPr>
              <w:pStyle w:val="null3"/>
            </w:pPr>
            <w:r>
              <w:rPr>
                <w:rFonts w:ascii="仿宋_GB2312" w:hAnsi="仿宋_GB2312" w:cs="仿宋_GB2312" w:eastAsia="仿宋_GB2312"/>
                <w:sz w:val="21"/>
              </w:rPr>
              <w:t>3、包装和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sz w:val="21"/>
              </w:rPr>
              <w:t>4、（1）验收人员：采购人组织验收小组进行验收，验收小组成员由采购人代表及相关技术人员组成。</w:t>
            </w:r>
          </w:p>
          <w:p>
            <w:pPr>
              <w:pStyle w:val="null3"/>
            </w:pPr>
            <w:r>
              <w:rPr>
                <w:rFonts w:ascii="仿宋_GB2312" w:hAnsi="仿宋_GB2312" w:cs="仿宋_GB2312" w:eastAsia="仿宋_GB2312"/>
                <w:sz w:val="21"/>
              </w:rPr>
              <w:t>（2）验收时间：设备安装调试完成后30个工作日内组织验收。</w:t>
            </w:r>
          </w:p>
          <w:p>
            <w:pPr>
              <w:pStyle w:val="null3"/>
            </w:pPr>
            <w:r>
              <w:rPr>
                <w:rFonts w:ascii="仿宋_GB2312" w:hAnsi="仿宋_GB2312" w:cs="仿宋_GB2312" w:eastAsia="仿宋_GB2312"/>
                <w:sz w:val="21"/>
              </w:rPr>
              <w:t>（3）验收方式：现场验收，由供应商进行设备运行演示和技术指标测试。</w:t>
            </w:r>
          </w:p>
          <w:p>
            <w:pPr>
              <w:pStyle w:val="null3"/>
            </w:pPr>
            <w:r>
              <w:rPr>
                <w:rFonts w:ascii="仿宋_GB2312" w:hAnsi="仿宋_GB2312" w:cs="仿宋_GB2312" w:eastAsia="仿宋_GB2312"/>
                <w:sz w:val="21"/>
              </w:rPr>
              <w:t>（4）验收内容：</w:t>
            </w:r>
          </w:p>
          <w:p>
            <w:pPr>
              <w:pStyle w:val="null3"/>
            </w:pPr>
            <w:r>
              <w:rPr>
                <w:rFonts w:ascii="仿宋_GB2312" w:hAnsi="仿宋_GB2312" w:cs="仿宋_GB2312" w:eastAsia="仿宋_GB2312"/>
                <w:sz w:val="21"/>
              </w:rPr>
              <w:t>1）设备品牌、型号、配置、数量与合同及采购需求是否一致；</w:t>
            </w:r>
          </w:p>
          <w:p>
            <w:pPr>
              <w:pStyle w:val="null3"/>
            </w:pPr>
            <w:r>
              <w:rPr>
                <w:rFonts w:ascii="仿宋_GB2312" w:hAnsi="仿宋_GB2312" w:cs="仿宋_GB2312" w:eastAsia="仿宋_GB2312"/>
                <w:sz w:val="21"/>
              </w:rPr>
              <w:t>2）设备外观有无损坏；</w:t>
            </w:r>
          </w:p>
          <w:p>
            <w:pPr>
              <w:pStyle w:val="null3"/>
            </w:pPr>
            <w:r>
              <w:rPr>
                <w:rFonts w:ascii="仿宋_GB2312" w:hAnsi="仿宋_GB2312" w:cs="仿宋_GB2312" w:eastAsia="仿宋_GB2312"/>
                <w:sz w:val="21"/>
              </w:rPr>
              <w:t>3）各项技术性能指标是否达到采购需求要求；</w:t>
            </w:r>
          </w:p>
          <w:p>
            <w:pPr>
              <w:pStyle w:val="null3"/>
            </w:pPr>
            <w:r>
              <w:rPr>
                <w:rFonts w:ascii="仿宋_GB2312" w:hAnsi="仿宋_GB2312" w:cs="仿宋_GB2312" w:eastAsia="仿宋_GB2312"/>
                <w:sz w:val="21"/>
              </w:rPr>
              <w:t>4）随机资料（使用说明书、合格证、保修卡等）是否齐全；</w:t>
            </w:r>
          </w:p>
          <w:p>
            <w:pPr>
              <w:pStyle w:val="null3"/>
            </w:pPr>
            <w:r>
              <w:rPr>
                <w:rFonts w:ascii="仿宋_GB2312" w:hAnsi="仿宋_GB2312" w:cs="仿宋_GB2312" w:eastAsia="仿宋_GB2312"/>
                <w:sz w:val="21"/>
              </w:rPr>
              <w:t>5）培训是否按约定完成。</w:t>
            </w:r>
          </w:p>
          <w:p>
            <w:pPr>
              <w:pStyle w:val="null3"/>
            </w:pPr>
            <w:r>
              <w:rPr>
                <w:rFonts w:ascii="仿宋_GB2312" w:hAnsi="仿宋_GB2312" w:cs="仿宋_GB2312" w:eastAsia="仿宋_GB2312"/>
                <w:sz w:val="21"/>
              </w:rPr>
              <w:t>（5）验收标准：以采购需求中明确的技术参数和性能指标为验收标准，逐项进行测试，全部指标达标方为验收合格。如果上机测试参数性能不过关，将做退货处理并没收履约保证金。</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交货期：合同签订后60天。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宝鸡文理学院高新校区指定地点。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其他，设备全部到货、安装调试完成并经采购人最终验收合格后，成交供应商向采购人提供合同全额发票及相关验收材料，采购人收到上述材料后，达到付款条件起10个工作日内，支付合同总金额的100.0%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①验收时间：设备安装调试完成后30个工作日内组织验收。 ②验收方式：现场验收，由供应商进行设备运行演示和技术指标测试。 ③验收内容：1）设备品牌、型号、配置、数量与合同及采购需求是否一致； 2）设备外观有无损坏； 3）各项技术性能指标是否达到采购需求要求； 4）随机资料（使用说明书、合格证、保修卡等）是否齐全； 5）培训是否按约定完成。 ④验收标准：以采购需求中明确的技术参数和性能指标为验收标准，逐项进行测试，全部指标达标方为验收合格。如果上机测试参数性能不过关，将做退货处理并没收履约保证金。</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 （12）若享受以上政策优惠的企业，提供相应声明函或品目范围内产品有效认证证书。如有最新颁布的政府采购政策，按最新的文件执行。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 3、招标文件中所有的商务要求均为实质性要求，投标人必须响应并满足。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投标函 商务应答表 标的清单 投标文件封面 其他说明.docx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投标函 商务应答表 标的清单 投标文件封面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响应产品的技术指标、参数完全符合或优于招标文件要求，计43分；▲参数每负偏离一项扣2分，非▲参数每负偏离一项扣1.5分，扣完为止。 在参数响应完全满足招标文件要求的基础上，有实质性优于现有参数的，每优于一项加1分，最高4分。注：技术指标、参数必须提供相应证明材料（不限于产品彩页、测试报告、官网和功能截图等技术支持性文件资料），未提供证明材料的按负偏离处理。</w:t>
            </w:r>
          </w:p>
        </w:tc>
        <w:tc>
          <w:tcPr>
            <w:tcW w:type="dxa" w:w="831"/>
          </w:tcPr>
          <w:p>
            <w:pPr>
              <w:pStyle w:val="null3"/>
              <w:jc w:val="right"/>
            </w:pPr>
            <w:r>
              <w:rPr>
                <w:rFonts w:ascii="仿宋_GB2312" w:hAnsi="仿宋_GB2312" w:cs="仿宋_GB2312" w:eastAsia="仿宋_GB2312"/>
              </w:rPr>
              <w:t>47.0000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①总体实施方案；②进度计划及进度保障措施；③安装、调试方案；④项目配合验收方案；⑤人员配置；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所投产品制造厂家具备可靠且完善的管理制度，拥有充足的制造工艺、加工及检验能力；②所投设备选型合理、功能齐全，规格、型号，配套设施完整，技术资料齐全。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故障处理及解决问题能力；②产品易耗易损的零配件的供应及产品的损坏备货换新方案；③故障维修响应时间；④定期巡检维护方案等；⑤培训方案（应包含培训计划及所提供产品的原理和技术性能、操作维护方法、安装调试、排除故障等培训内容）。 满分5分。每有一项缺项扣1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详细评审-来源渠道.docx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提供投标人2023年1月1日至今（以合同签订日期为准）同类项目完整业绩合同，每提供1个计1分，最高得2分，提供不全不计分。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投标人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详见附件：详细评审-质量保障.docx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详见附件：详细评审-来源渠道.docx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