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西安市雁塔区中医医院医疗工艺流程规划咨询竞争性磋商公告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医疗工艺流程规划咨询</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2026年06月18日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项目编号：ZCXG-ZB-2026041</w:t>
      </w:r>
    </w:p>
    <w:p>
      <w:pPr>
        <w:pStyle w:val="null3"/>
      </w:pPr>
      <w:r>
        <w:rPr>
          <w:rFonts w:ascii="仿宋_GB2312" w:hAnsi="仿宋_GB2312" w:cs="仿宋_GB2312" w:eastAsia="仿宋_GB2312"/>
        </w:rPr>
        <w:t>项目名称：医疗工艺流程规划咨询</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预算金额：280,000.00元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采购包1：自合同签订之日起至项目竣工验收通过</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合同包1(医疗工艺流程规划咨询)落实政府采购政策需满足的资格要求如下: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合同包1(医疗工艺流程规划咨询)特定资格要求如下:</w:t>
      </w:r>
    </w:p>
    <w:p>
      <w:pPr>
        <w:pStyle w:val="null3"/>
      </w:pPr>
      <w:r>
        <w:rPr>
          <w:rFonts w:ascii="仿宋_GB2312" w:hAnsi="仿宋_GB2312" w:cs="仿宋_GB2312" w:eastAsia="仿宋_GB2312"/>
        </w:rPr>
        <w:t>(1)具有独立承担民事责任能力的法人、其他组织或自然人 , 并出具合法有效的营业执照或事业单位法人证书等国家规定的相关证明， 自然人参与的提供其身份证明；</w:t>
      </w:r>
    </w:p>
    <w:p>
      <w:pPr>
        <w:pStyle w:val="null3"/>
      </w:pPr>
      <w:r>
        <w:rPr>
          <w:rFonts w:ascii="仿宋_GB2312" w:hAnsi="仿宋_GB2312" w:cs="仿宋_GB2312" w:eastAsia="仿宋_GB2312"/>
        </w:rPr>
        <w:t>(2)提供响应时间前六个月内已缴存的至少一个月的社会保障资金缴存单据或社保机构开具的社会保险参保缴费情况证明，依法不需要缴纳社会保障资金的单位应提供相关证明材料；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(3)提供响应时间前六个月内已缴纳的至少一个月的纳税证明或完税证明，依法免税的单位应提供相关证明材料；</w:t>
      </w:r>
    </w:p>
    <w:p>
      <w:pPr>
        <w:pStyle w:val="null3"/>
      </w:pPr>
      <w:r>
        <w:rPr>
          <w:rFonts w:ascii="仿宋_GB2312" w:hAnsi="仿宋_GB2312" w:cs="仿宋_GB2312" w:eastAsia="仿宋_GB2312"/>
        </w:rPr>
        <w:t>(4)提供具有履行合同所必需的设备和专业技术能力的承诺；</w:t>
      </w:r>
    </w:p>
    <w:p>
      <w:pPr>
        <w:pStyle w:val="null3"/>
      </w:pPr>
      <w:r>
        <w:rPr>
          <w:rFonts w:ascii="仿宋_GB2312" w:hAnsi="仿宋_GB2312" w:cs="仿宋_GB2312" w:eastAsia="仿宋_GB2312"/>
        </w:rPr>
        <w:t>(5) 参加政府采购活动前3年内，在经营活动中没有重大违法记录的书面声明；</w:t>
      </w:r>
    </w:p>
    <w:p>
      <w:pPr>
        <w:pStyle w:val="null3"/>
      </w:pPr>
      <w:r>
        <w:rPr>
          <w:rFonts w:ascii="仿宋_GB2312" w:hAnsi="仿宋_GB2312" w:cs="仿宋_GB2312" w:eastAsia="仿宋_GB2312"/>
        </w:rPr>
        <w:t>(6)法定代表人授权书（附法定代表人、被授权人身份证复印件）（法定代表人直接参加的，须提供法定代表人身份证明），分支机构由负责人授权即可；</w:t>
      </w:r>
    </w:p>
    <w:p>
      <w:pPr>
        <w:pStyle w:val="null3"/>
      </w:pPr>
      <w:r>
        <w:rPr>
          <w:rFonts w:ascii="仿宋_GB2312" w:hAnsi="仿宋_GB2312" w:cs="仿宋_GB2312" w:eastAsia="仿宋_GB2312"/>
        </w:rPr>
        <w:t>(7)本项目不接受联合体。</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2026年06月08日 </w:t>
      </w:r>
      <w:r>
        <w:rPr>
          <w:rFonts w:ascii="仿宋_GB2312" w:hAnsi="仿宋_GB2312" w:cs="仿宋_GB2312" w:eastAsia="仿宋_GB2312"/>
        </w:rPr>
        <w:t>至</w:t>
      </w:r>
      <w:r>
        <w:rPr>
          <w:rFonts w:ascii="仿宋_GB2312" w:hAnsi="仿宋_GB2312" w:cs="仿宋_GB2312" w:eastAsia="仿宋_GB2312"/>
        </w:rPr>
        <w:t xml:space="preserve"> 2026年06月12日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2026年06月18日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2026年06月18日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落实的政府采购政策:(1)《政府采购促进中小企业发展管理办法》(财库(2020)46号)；(2)《财政部司法部关于政府采购支持监狱企业发展有关问题的通知》(财库 (2014] 68号)；(3)《国务院办公厅关于建立政府强制采购节能产品制度的通知》(国发办[2007)51号)；(4)《环境标志产品政府采购实施的意见》(财库(2006) 90号)；(5)《三部门联合发布关于促进残疾人就业政府采购政策的通知》(财库[2017) 141号)；(6)《财政部 发展改革委 生态环境部市场监管总局关于调整优化节能产品、环境标志产品政府采购执行机制的通知》(财库(2019) 9号)；(7) 陕西省财政厅关于印发《陕西省中小企业政府采购信用融资办法》(陕财办采(2018) 23号)；(8)《财政部农业农村部国家乡村振兴局关于运用政府采购政策支持乡村产业振兴的通知》(财库(2021)19号)；(9)《财政部 农业农村部 国家乡村振兴局中华全国供销合作总社关于印发&lt;关于深入开展政府采购脱贫地区农副产品工作推进乡村产业振兴的实施意见&gt;的通知》(财库[2021)20号)；(10)其他需要落实的政府采购政策，详见磋商文件。</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西安市雁塔区中医医院</w:t>
      </w:r>
    </w:p>
    <w:p>
      <w:pPr>
        <w:pStyle w:val="null3"/>
      </w:pPr>
      <w:r>
        <w:rPr>
          <w:rFonts w:ascii="仿宋_GB2312" w:hAnsi="仿宋_GB2312" w:cs="仿宋_GB2312" w:eastAsia="仿宋_GB2312"/>
        </w:rPr>
        <w:t>地址：</w:t>
      </w:r>
      <w:r>
        <w:rPr>
          <w:rFonts w:ascii="仿宋_GB2312" w:hAnsi="仿宋_GB2312" w:cs="仿宋_GB2312" w:eastAsia="仿宋_GB2312"/>
        </w:rPr>
        <w:t>西安市雁塔区长安南路495号</w:t>
      </w:r>
    </w:p>
    <w:p>
      <w:pPr>
        <w:pStyle w:val="null3"/>
      </w:pPr>
      <w:r>
        <w:rPr>
          <w:rFonts w:ascii="仿宋_GB2312" w:hAnsi="仿宋_GB2312" w:cs="仿宋_GB2312" w:eastAsia="仿宋_GB2312"/>
        </w:rPr>
        <w:t>联系方式：</w:t>
      </w:r>
      <w:r>
        <w:rPr>
          <w:rFonts w:ascii="仿宋_GB2312" w:hAnsi="仿宋_GB2312" w:cs="仿宋_GB2312" w:eastAsia="仿宋_GB2312"/>
        </w:rPr>
        <w:t>029-88666369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陕西众诚项目管理有限公司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西安市雁塔区南二环路老三届世纪星大厦8层K座</w:t>
      </w:r>
    </w:p>
    <w:p>
      <w:pPr>
        <w:pStyle w:val="null3"/>
      </w:pPr>
      <w:r>
        <w:rPr>
          <w:rFonts w:ascii="仿宋_GB2312" w:hAnsi="仿宋_GB2312" w:cs="仿宋_GB2312" w:eastAsia="仿宋_GB2312"/>
        </w:rPr>
        <w:t>联系方式：</w:t>
      </w:r>
      <w:r>
        <w:rPr>
          <w:rFonts w:ascii="仿宋_GB2312" w:hAnsi="仿宋_GB2312" w:cs="仿宋_GB2312" w:eastAsia="仿宋_GB2312"/>
        </w:rPr>
        <w:t>029-88816603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张航帆</w:t>
      </w:r>
    </w:p>
    <w:p>
      <w:pPr>
        <w:pStyle w:val="null3"/>
      </w:pPr>
      <w:r>
        <w:rPr>
          <w:rFonts w:ascii="仿宋_GB2312" w:hAnsi="仿宋_GB2312" w:cs="仿宋_GB2312" w:eastAsia="仿宋_GB2312"/>
        </w:rPr>
        <w:t>电话：</w:t>
      </w:r>
      <w:r>
        <w:rPr>
          <w:rFonts w:ascii="仿宋_GB2312" w:hAnsi="仿宋_GB2312" w:cs="仿宋_GB2312" w:eastAsia="仿宋_GB2312"/>
        </w:rPr>
        <w:t>029-88816603</w:t>
      </w:r>
    </w:p>
    <w:p>
      <w:pPr>
        <w:pStyle w:val="null3"/>
        <w:jc w:val="right"/>
      </w:pPr>
      <w:r>
        <w:rPr>
          <w:rFonts w:ascii="仿宋_GB2312" w:hAnsi="仿宋_GB2312" w:cs="仿宋_GB2312" w:eastAsia="仿宋_GB2312"/>
        </w:rPr>
        <w:t>陕西众诚项目管理有限公司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