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版本号：SXZX-2026-006.1B120260803001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陕西水利项目过程控制及技术支撑体系研究与应用(二次)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SXZX-2026-006.1B1</w:t>
      </w:r>
      <w:r>
        <w:br/>
      </w:r>
      <w:r>
        <w:br/>
      </w:r>
      <w:r>
        <w:br/>
      </w:r>
    </w:p>
    <w:p>
      <w:pPr>
        <w:pStyle w:val="null3"/>
        <w:jc w:val="center"/>
        <w:outlineLvl w:val="2"/>
      </w:pPr>
      <w:r>
        <w:rPr>
          <w:rFonts w:ascii="仿宋_GB2312" w:hAnsi="仿宋_GB2312" w:cs="仿宋_GB2312" w:eastAsia="仿宋_GB2312"/>
          <w:sz w:val="28"/>
          <w:b/>
        </w:rPr>
        <w:t>陕西省水利发展调查与引汉济渭工程协调中心</w:t>
      </w:r>
    </w:p>
    <w:p>
      <w:pPr>
        <w:pStyle w:val="null3"/>
        <w:jc w:val="center"/>
        <w:outlineLvl w:val="2"/>
      </w:pPr>
      <w:r>
        <w:rPr>
          <w:rFonts w:ascii="仿宋_GB2312" w:hAnsi="仿宋_GB2312" w:cs="仿宋_GB2312" w:eastAsia="仿宋_GB2312"/>
          <w:sz w:val="28"/>
          <w:b/>
        </w:rPr>
        <w:t>陕西湛信工程管理有限公司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陕西湛信工程管理有限公司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陕西省水利发展调查与引汉济渭工程协调中心</w:t>
      </w:r>
      <w:r>
        <w:rPr>
          <w:rFonts w:ascii="仿宋_GB2312" w:hAnsi="仿宋_GB2312" w:cs="仿宋_GB2312" w:eastAsia="仿宋_GB2312"/>
        </w:rPr>
        <w:t>委托，拟对</w:t>
      </w:r>
      <w:r>
        <w:rPr>
          <w:rFonts w:ascii="仿宋_GB2312" w:hAnsi="仿宋_GB2312" w:cs="仿宋_GB2312" w:eastAsia="仿宋_GB2312"/>
        </w:rPr>
        <w:t>陕西水利项目过程控制及技术支撑体系研究与应用(二次)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SXZX-2026-006.1B1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陕西水利项目过程控制及技术支撑体系研究与应用(二次)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国家及省级公共决策、水利建设管理相关政策要求，结合陕西省水利工程建设管理现状，适配新时期水利高质量发展管控需求，开展水利项目过程控制及技术支撑体系研究。搭建全省水利专业化动态专家库，建立健全水利专家评价考核体系，完善专家评价结果应用机制，形成水利项目过程管控技术支撑体系，提升陕西水利项目决策科学化、管控规范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 文件并进行电子签章。</w:t>
      </w:r>
    </w:p>
    <w:p>
      <w:pPr>
        <w:pStyle w:val="null3"/>
      </w:pPr>
      <w:r>
        <w:rPr>
          <w:rFonts w:ascii="仿宋_GB2312" w:hAnsi="仿宋_GB2312" w:cs="仿宋_GB2312" w:eastAsia="仿宋_GB2312"/>
        </w:rPr>
        <w:t>2、法定代表人身份证明或授权委托书：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供应商需在项目电子化交易系统中上传提供2025年度经审计的财务报告（包括审计报告、资产负债表、利润表、现金流量表、所有者权益变动表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陕西省水利发展调查与引汉济渭工程协调中心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西安市新城区西七路198号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029-61835356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陕西湛信工程管理有限公司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陕西省西安市未央区凤城八路与民经一路十字湖北大厦2号楼1501室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18334790172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代理服务费，由成交供应商在领取成交通知书前，向采购代理机构一次性支付招标代理服务费。户名：陕西湛信工程管理有限公司 开户行：中信银行西安高新路支行 账号：8111701013100609658。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陕西省水利发展调查与引汉济渭工程协调中心</w:t>
      </w:r>
      <w:r>
        <w:rPr>
          <w:rFonts w:ascii="仿宋_GB2312" w:hAnsi="仿宋_GB2312" w:cs="仿宋_GB2312" w:eastAsia="仿宋_GB2312"/>
        </w:rPr>
        <w:t>和</w:t>
      </w:r>
      <w:r>
        <w:rPr>
          <w:rFonts w:ascii="仿宋_GB2312" w:hAnsi="仿宋_GB2312" w:cs="仿宋_GB2312" w:eastAsia="仿宋_GB2312"/>
        </w:rPr>
        <w:t>陕西湛信工程管理有限公司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陕西省水利发展调查与引汉济渭工程协调中心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陕西湛信工程管理有限公司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陕西省水利发展调查与引汉济渭工程协调中心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陕西湛信工程管理有限公司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 标权或其它知识产权⽽引起的法律和经济纠纷，如存在前述情形，由供应商承担所有相关责任。采购⼈享有本项⽬实施过程中 产⽣的知识成果及知识产权。 ⼆、供应商将在采购项⽬实施过程中采⽤⾃有或者第三⽅知识成果的，使⽤该知识成果后，供 应商需提供开发接⼝和开发⼿册等技术资料，并承诺提供⽆限期⽀持，采购⼈享有使⽤权（含采购⼈委托第三⽅在该项⽬后续 开发的使⽤权）。 三、如采⽤供应商所不拥有的知识产权，则在报价中必须包括合法使⽤该知识产权的相关费⽤。 四、构成 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联系人：杨萌</w:t>
      </w:r>
    </w:p>
    <w:p>
      <w:pPr>
        <w:pStyle w:val="null3"/>
      </w:pPr>
      <w:r>
        <w:rPr>
          <w:rFonts w:ascii="仿宋_GB2312" w:hAnsi="仿宋_GB2312" w:cs="仿宋_GB2312" w:eastAsia="仿宋_GB2312"/>
        </w:rPr>
        <w:t>联系电话：18334790172</w:t>
      </w:r>
    </w:p>
    <w:p>
      <w:pPr>
        <w:pStyle w:val="null3"/>
      </w:pPr>
      <w:r>
        <w:rPr>
          <w:rFonts w:ascii="仿宋_GB2312" w:hAnsi="仿宋_GB2312" w:cs="仿宋_GB2312" w:eastAsia="仿宋_GB2312"/>
        </w:rPr>
        <w:t>地址：陕西省西安市未央区凤城⼋路与⺠经⼀路⼗字湖北⼤厦2号楼1501室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国家及省级公共决策、水利建设管理相关政策要求，结合陕西省水利工程建设管理现状，适配新时期水利高质量发展管控需求，开展水利项目过程控制及技术支撑体系研究。搭建全省水利专业化动态专家库，建立健全水利专家评价考核体系，完善专家评价结果应用机制，形成水利项目过程管控技术支撑体系，提升陕西水利项目决策科学化、管控规范化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陕西水利项目过程控制及技术支撑体系研究与应用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标的名称：陕西水利项目过程控制及技术支撑体系研究与应用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61"/>
              <w:gridCol w:w="488"/>
              <w:gridCol w:w="1694"/>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一、项目概况与采购目标</w:t>
                  </w:r>
                </w:p>
                <w:p>
                  <w:pPr>
                    <w:pStyle w:val="null3"/>
                    <w:ind w:firstLine="420"/>
                    <w:jc w:val="both"/>
                  </w:pPr>
                  <w:r>
                    <w:rPr>
                      <w:rFonts w:ascii="仿宋_GB2312" w:hAnsi="仿宋_GB2312" w:cs="仿宋_GB2312" w:eastAsia="仿宋_GB2312"/>
                      <w:sz w:val="21"/>
                      <w:color w:val="000000"/>
                    </w:rPr>
                    <w:t>为</w:t>
                  </w:r>
                  <w:r>
                    <w:rPr>
                      <w:rFonts w:ascii="仿宋_GB2312" w:hAnsi="仿宋_GB2312" w:cs="仿宋_GB2312" w:eastAsia="仿宋_GB2312"/>
                      <w:sz w:val="21"/>
                      <w:color w:val="000000"/>
                    </w:rPr>
                    <w:t>完善水利专家管理和项目全流程闭环管控机制，满足协同办公和数据管控需要</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采购人拟委托具备相应专业能力的第三方咨询机构开展综合</w:t>
                  </w:r>
                  <w:r>
                    <w:rPr>
                      <w:rFonts w:ascii="仿宋_GB2312" w:hAnsi="仿宋_GB2312" w:cs="仿宋_GB2312" w:eastAsia="仿宋_GB2312"/>
                      <w:sz w:val="21"/>
                      <w:color w:val="000000"/>
                    </w:rPr>
                    <w:t>研究</w:t>
                  </w:r>
                  <w:r>
                    <w:rPr>
                      <w:rFonts w:ascii="仿宋_GB2312" w:hAnsi="仿宋_GB2312" w:cs="仿宋_GB2312" w:eastAsia="仿宋_GB2312"/>
                      <w:sz w:val="21"/>
                      <w:color w:val="000000"/>
                    </w:rPr>
                    <w:t>工作。本项目旨在</w:t>
                  </w:r>
                  <w:r>
                    <w:rPr>
                      <w:rFonts w:ascii="仿宋_GB2312" w:hAnsi="仿宋_GB2312" w:cs="仿宋_GB2312" w:eastAsia="仿宋_GB2312"/>
                      <w:sz w:val="21"/>
                      <w:color w:val="000000"/>
                    </w:rPr>
                    <w:t>构建全周期动态专家管理机制，推动</w:t>
                  </w:r>
                  <w:r>
                    <w:rPr>
                      <w:rFonts w:ascii="仿宋_GB2312" w:hAnsi="仿宋_GB2312" w:cs="仿宋_GB2312" w:eastAsia="仿宋_GB2312"/>
                      <w:sz w:val="21"/>
                      <w:color w:val="000000"/>
                    </w:rPr>
                    <w:t>全省水利专家资源规范化制度化数字化管理</w:t>
                  </w:r>
                  <w:r>
                    <w:rPr>
                      <w:rFonts w:ascii="仿宋_GB2312" w:hAnsi="仿宋_GB2312" w:cs="仿宋_GB2312" w:eastAsia="仿宋_GB2312"/>
                      <w:sz w:val="21"/>
                      <w:color w:val="000000"/>
                    </w:rPr>
                    <w:t>；健全项目过程质量控制体系，聚焦水利基本建设项目技术评审关键环节</w:t>
                  </w:r>
                  <w:r>
                    <w:rPr>
                      <w:rFonts w:ascii="仿宋_GB2312" w:hAnsi="仿宋_GB2312" w:cs="仿宋_GB2312" w:eastAsia="仿宋_GB2312"/>
                      <w:sz w:val="21"/>
                      <w:color w:val="000000"/>
                    </w:rPr>
                    <w:t>，进一步</w:t>
                  </w:r>
                  <w:r>
                    <w:rPr>
                      <w:rFonts w:ascii="仿宋_GB2312" w:hAnsi="仿宋_GB2312" w:cs="仿宋_GB2312" w:eastAsia="仿宋_GB2312"/>
                      <w:sz w:val="21"/>
                      <w:color w:val="000000"/>
                    </w:rPr>
                    <w:t>规范流程、明确标准、压实责任，</w:t>
                  </w:r>
                  <w:r>
                    <w:rPr>
                      <w:rFonts w:ascii="仿宋_GB2312" w:hAnsi="仿宋_GB2312" w:cs="仿宋_GB2312" w:eastAsia="仿宋_GB2312"/>
                      <w:sz w:val="21"/>
                      <w:color w:val="000000"/>
                    </w:rPr>
                    <w:t>提升陕西水利项目决策科学化、管控精细化和管理规范化水平；</w:t>
                  </w:r>
                  <w:r>
                    <w:rPr>
                      <w:rFonts w:ascii="仿宋_GB2312" w:hAnsi="仿宋_GB2312" w:cs="仿宋_GB2312" w:eastAsia="仿宋_GB2312"/>
                      <w:sz w:val="21"/>
                      <w:color w:val="000000"/>
                    </w:rPr>
                    <w:t>推动专家智力资源融入项目管理各环节，促进技术支撑与业务管理融合。</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二、具体工作内容</w:t>
                  </w:r>
                </w:p>
                <w:p>
                  <w:pPr>
                    <w:pStyle w:val="null3"/>
                    <w:ind w:firstLine="420"/>
                    <w:jc w:val="both"/>
                  </w:pPr>
                  <w:r>
                    <w:rPr>
                      <w:rFonts w:ascii="仿宋_GB2312" w:hAnsi="仿宋_GB2312" w:cs="仿宋_GB2312" w:eastAsia="仿宋_GB2312"/>
                      <w:sz w:val="21"/>
                    </w:rPr>
                    <w:t>项目以提升陕西省水利项目全过程质量管控效能为</w:t>
                  </w:r>
                </w:p>
                <w:p>
                  <w:pPr>
                    <w:pStyle w:val="null3"/>
                    <w:jc w:val="both"/>
                  </w:pPr>
                  <w:r>
                    <w:rPr>
                      <w:rFonts w:ascii="仿宋_GB2312" w:hAnsi="仿宋_GB2312" w:cs="仿宋_GB2312" w:eastAsia="仿宋_GB2312"/>
                      <w:sz w:val="21"/>
                    </w:rPr>
                    <w:t>核心目标，聚焦专家资源整合与评审流程优化，系统推进以下重点工作：</w:t>
                  </w:r>
                </w:p>
                <w:p>
                  <w:pPr>
                    <w:pStyle w:val="null3"/>
                    <w:ind w:firstLine="420"/>
                    <w:jc w:val="both"/>
                  </w:pPr>
                  <w:r>
                    <w:rPr>
                      <w:rFonts w:ascii="仿宋_GB2312" w:hAnsi="仿宋_GB2312" w:cs="仿宋_GB2312" w:eastAsia="仿宋_GB2312"/>
                      <w:sz w:val="21"/>
                    </w:rPr>
                    <w:t>（一）专家库构建与管理</w:t>
                  </w:r>
                </w:p>
                <w:p>
                  <w:pPr>
                    <w:pStyle w:val="null3"/>
                    <w:ind w:firstLine="420"/>
                    <w:jc w:val="both"/>
                  </w:pPr>
                  <w:r>
                    <w:rPr>
                      <w:rFonts w:ascii="仿宋_GB2312" w:hAnsi="仿宋_GB2312" w:cs="仿宋_GB2312" w:eastAsia="仿宋_GB2312"/>
                      <w:sz w:val="21"/>
                    </w:rPr>
                    <w:t>1.结合全省水利工程实际，制定专家遴选入库标准与分类框架，汇聚全省高水平水利专业技术人才，为项目全过程提供专业支撑。</w:t>
                  </w:r>
                </w:p>
                <w:p>
                  <w:pPr>
                    <w:pStyle w:val="null3"/>
                    <w:ind w:firstLine="420"/>
                    <w:jc w:val="both"/>
                  </w:pPr>
                  <w:r>
                    <w:rPr>
                      <w:rFonts w:ascii="仿宋_GB2312" w:hAnsi="仿宋_GB2312" w:cs="仿宋_GB2312" w:eastAsia="仿宋_GB2312"/>
                      <w:sz w:val="21"/>
                    </w:rPr>
                    <w:t>2.对入库专家实行动态管理，</w:t>
                  </w:r>
                  <w:r>
                    <w:rPr>
                      <w:rFonts w:ascii="仿宋_GB2312" w:hAnsi="仿宋_GB2312" w:cs="仿宋_GB2312" w:eastAsia="仿宋_GB2312"/>
                      <w:sz w:val="21"/>
                    </w:rPr>
                    <w:t>支撑</w:t>
                  </w:r>
                  <w:r>
                    <w:rPr>
                      <w:rFonts w:ascii="仿宋_GB2312" w:hAnsi="仿宋_GB2312" w:cs="仿宋_GB2312" w:eastAsia="仿宋_GB2312"/>
                      <w:sz w:val="21"/>
                    </w:rPr>
                    <w:t>后续结果应用。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针对入库专家，制定</w:t>
                  </w:r>
                  <w:r>
                    <w:rPr>
                      <w:rFonts w:ascii="仿宋_GB2312" w:hAnsi="仿宋_GB2312" w:cs="仿宋_GB2312" w:eastAsia="仿宋_GB2312"/>
                      <w:sz w:val="21"/>
                    </w:rPr>
                    <w:t>前沿技术、</w:t>
                  </w:r>
                  <w:r>
                    <w:rPr>
                      <w:rFonts w:ascii="仿宋_GB2312" w:hAnsi="仿宋_GB2312" w:cs="仿宋_GB2312" w:eastAsia="仿宋_GB2312"/>
                      <w:sz w:val="21"/>
                    </w:rPr>
                    <w:t>法律</w:t>
                  </w:r>
                  <w:r>
                    <w:rPr>
                      <w:rFonts w:ascii="仿宋_GB2312" w:hAnsi="仿宋_GB2312" w:cs="仿宋_GB2312" w:eastAsia="仿宋_GB2312"/>
                      <w:sz w:val="21"/>
                    </w:rPr>
                    <w:t>法规政策、评审</w:t>
                  </w:r>
                  <w:r>
                    <w:rPr>
                      <w:rFonts w:ascii="仿宋_GB2312" w:hAnsi="仿宋_GB2312" w:cs="仿宋_GB2312" w:eastAsia="仿宋_GB2312"/>
                      <w:sz w:val="21"/>
                    </w:rPr>
                    <w:t>知识</w:t>
                  </w:r>
                  <w:r>
                    <w:rPr>
                      <w:rFonts w:ascii="仿宋_GB2312" w:hAnsi="仿宋_GB2312" w:cs="仿宋_GB2312" w:eastAsia="仿宋_GB2312"/>
                      <w:sz w:val="21"/>
                    </w:rPr>
                    <w:t>、实操技能等</w:t>
                  </w:r>
                  <w:r>
                    <w:rPr>
                      <w:rFonts w:ascii="仿宋_GB2312" w:hAnsi="仿宋_GB2312" w:cs="仿宋_GB2312" w:eastAsia="仿宋_GB2312"/>
                      <w:sz w:val="21"/>
                    </w:rPr>
                    <w:t>宣讲培训方案</w:t>
                  </w:r>
                  <w:r>
                    <w:rPr>
                      <w:rFonts w:ascii="仿宋_GB2312" w:hAnsi="仿宋_GB2312" w:cs="仿宋_GB2312" w:eastAsia="仿宋_GB2312"/>
                      <w:sz w:val="21"/>
                    </w:rPr>
                    <w:t>，保障评审工作的合规性和专业性。</w:t>
                  </w:r>
                </w:p>
                <w:p>
                  <w:pPr>
                    <w:pStyle w:val="null3"/>
                    <w:ind w:firstLine="420"/>
                    <w:jc w:val="both"/>
                  </w:pPr>
                  <w:r>
                    <w:rPr>
                      <w:rFonts w:ascii="仿宋_GB2312" w:hAnsi="仿宋_GB2312" w:cs="仿宋_GB2312" w:eastAsia="仿宋_GB2312"/>
                      <w:sz w:val="21"/>
                    </w:rPr>
                    <w:t>4.通过邮箱短信等</w:t>
                  </w:r>
                  <w:r>
                    <w:rPr>
                      <w:rFonts w:ascii="仿宋_GB2312" w:hAnsi="仿宋_GB2312" w:cs="仿宋_GB2312" w:eastAsia="仿宋_GB2312"/>
                      <w:sz w:val="21"/>
                    </w:rPr>
                    <w:t>渠道</w:t>
                  </w:r>
                  <w:r>
                    <w:rPr>
                      <w:rFonts w:ascii="仿宋_GB2312" w:hAnsi="仿宋_GB2312" w:cs="仿宋_GB2312" w:eastAsia="仿宋_GB2312"/>
                      <w:sz w:val="21"/>
                    </w:rPr>
                    <w:t>，向专家定向推送系统通知、</w:t>
                  </w:r>
                  <w:r>
                    <w:rPr>
                      <w:rFonts w:ascii="仿宋_GB2312" w:hAnsi="仿宋_GB2312" w:cs="仿宋_GB2312" w:eastAsia="仿宋_GB2312"/>
                      <w:sz w:val="21"/>
                    </w:rPr>
                    <w:t>及</w:t>
                  </w:r>
                  <w:r>
                    <w:rPr>
                      <w:rFonts w:ascii="仿宋_GB2312" w:hAnsi="仿宋_GB2312" w:cs="仿宋_GB2312" w:eastAsia="仿宋_GB2312"/>
                      <w:sz w:val="21"/>
                    </w:rPr>
                    <w:t>评审事项等各类信息；</w:t>
                  </w:r>
                </w:p>
                <w:p>
                  <w:pPr>
                    <w:pStyle w:val="null3"/>
                    <w:ind w:firstLine="420"/>
                    <w:jc w:val="both"/>
                  </w:pPr>
                  <w:r>
                    <w:rPr>
                      <w:rFonts w:ascii="仿宋_GB2312" w:hAnsi="仿宋_GB2312" w:cs="仿宋_GB2312" w:eastAsia="仿宋_GB2312"/>
                      <w:sz w:val="21"/>
                    </w:rPr>
                    <w:t>5.建设规范化评审项目库，实现专家资源与</w:t>
                  </w:r>
                  <w:r>
                    <w:rPr>
                      <w:rFonts w:ascii="仿宋_GB2312" w:hAnsi="仿宋_GB2312" w:cs="仿宋_GB2312" w:eastAsia="仿宋_GB2312"/>
                      <w:sz w:val="21"/>
                    </w:rPr>
                    <w:t>评审</w:t>
                  </w:r>
                  <w:r>
                    <w:rPr>
                      <w:rFonts w:ascii="仿宋_GB2312" w:hAnsi="仿宋_GB2312" w:cs="仿宋_GB2312" w:eastAsia="仿宋_GB2312"/>
                      <w:sz w:val="21"/>
                    </w:rPr>
                    <w:t>项目间的信息互联、流程互通、情况互查与成效互评。</w:t>
                  </w:r>
                </w:p>
                <w:p>
                  <w:pPr>
                    <w:pStyle w:val="null3"/>
                    <w:ind w:firstLine="420"/>
                    <w:jc w:val="both"/>
                  </w:pPr>
                  <w:r>
                    <w:rPr>
                      <w:rFonts w:ascii="仿宋_GB2312" w:hAnsi="仿宋_GB2312" w:cs="仿宋_GB2312" w:eastAsia="仿宋_GB2312"/>
                      <w:sz w:val="21"/>
                    </w:rPr>
                    <w:t>（二）专家评价体系建设</w:t>
                  </w:r>
                </w:p>
                <w:p>
                  <w:pPr>
                    <w:pStyle w:val="null3"/>
                    <w:ind w:firstLine="420"/>
                    <w:jc w:val="both"/>
                  </w:pPr>
                  <w:r>
                    <w:rPr>
                      <w:rFonts w:ascii="仿宋_GB2312" w:hAnsi="仿宋_GB2312" w:cs="仿宋_GB2312" w:eastAsia="仿宋_GB2312"/>
                      <w:sz w:val="21"/>
                    </w:rPr>
                    <w:t>1.研究不同评价主体对专家的评价内容</w:t>
                  </w:r>
                  <w:r>
                    <w:rPr>
                      <w:rFonts w:ascii="仿宋_GB2312" w:hAnsi="仿宋_GB2312" w:cs="仿宋_GB2312" w:eastAsia="仿宋_GB2312"/>
                      <w:sz w:val="21"/>
                    </w:rPr>
                    <w:t>与</w:t>
                  </w:r>
                  <w:r>
                    <w:rPr>
                      <w:rFonts w:ascii="仿宋_GB2312" w:hAnsi="仿宋_GB2312" w:cs="仿宋_GB2312" w:eastAsia="仿宋_GB2312"/>
                      <w:sz w:val="21"/>
                    </w:rPr>
                    <w:t>细则。</w:t>
                  </w:r>
                </w:p>
                <w:p>
                  <w:pPr>
                    <w:pStyle w:val="null3"/>
                    <w:ind w:firstLine="420"/>
                    <w:jc w:val="both"/>
                  </w:pPr>
                  <w:r>
                    <w:rPr>
                      <w:rFonts w:ascii="仿宋_GB2312" w:hAnsi="仿宋_GB2312" w:cs="仿宋_GB2312" w:eastAsia="仿宋_GB2312"/>
                      <w:sz w:val="21"/>
                    </w:rPr>
                    <w:t>2.建立多元评价方式</w:t>
                  </w:r>
                  <w:r>
                    <w:rPr>
                      <w:rFonts w:ascii="仿宋_GB2312" w:hAnsi="仿宋_GB2312" w:cs="仿宋_GB2312" w:eastAsia="仿宋_GB2312"/>
                      <w:sz w:val="21"/>
                    </w:rPr>
                    <w:t>，</w:t>
                  </w:r>
                  <w:r>
                    <w:rPr>
                      <w:rFonts w:ascii="仿宋_GB2312" w:hAnsi="仿宋_GB2312" w:cs="仿宋_GB2312" w:eastAsia="仿宋_GB2312"/>
                      <w:sz w:val="21"/>
                    </w:rPr>
                    <w:t>确保评价结果全面客观。</w:t>
                  </w:r>
                </w:p>
                <w:p>
                  <w:pPr>
                    <w:pStyle w:val="null3"/>
                    <w:ind w:firstLine="420"/>
                    <w:jc w:val="both"/>
                  </w:pPr>
                  <w:r>
                    <w:rPr>
                      <w:rFonts w:ascii="仿宋_GB2312" w:hAnsi="仿宋_GB2312" w:cs="仿宋_GB2312" w:eastAsia="仿宋_GB2312"/>
                      <w:sz w:val="21"/>
                    </w:rPr>
                    <w:t>3.建</w:t>
                  </w:r>
                  <w:r>
                    <w:rPr>
                      <w:rFonts w:ascii="仿宋_GB2312" w:hAnsi="仿宋_GB2312" w:cs="仿宋_GB2312" w:eastAsia="仿宋_GB2312"/>
                      <w:sz w:val="21"/>
                    </w:rPr>
                    <w:t>立</w:t>
                  </w:r>
                  <w:r>
                    <w:rPr>
                      <w:rFonts w:ascii="仿宋_GB2312" w:hAnsi="仿宋_GB2312" w:cs="仿宋_GB2312" w:eastAsia="仿宋_GB2312"/>
                      <w:sz w:val="21"/>
                    </w:rPr>
                    <w:t>“专家评价等级-抽取资格-任务匹配”的联动机制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依托</w:t>
                  </w:r>
                  <w:r>
                    <w:rPr>
                      <w:rFonts w:ascii="仿宋_GB2312" w:hAnsi="仿宋_GB2312" w:cs="仿宋_GB2312" w:eastAsia="仿宋_GB2312"/>
                      <w:sz w:val="21"/>
                    </w:rPr>
                    <w:t>现有水利工程质量保障体系，完善技术审查流程，在项目关键节点融合专家评价成果，实现项目过程质量跟踪和控制。</w:t>
                  </w:r>
                </w:p>
                <w:p>
                  <w:pPr>
                    <w:pStyle w:val="null3"/>
                    <w:ind w:firstLine="420"/>
                    <w:jc w:val="both"/>
                  </w:pPr>
                  <w:r>
                    <w:rPr>
                      <w:rFonts w:ascii="仿宋_GB2312" w:hAnsi="仿宋_GB2312" w:cs="仿宋_GB2312" w:eastAsia="仿宋_GB2312"/>
                      <w:sz w:val="21"/>
                    </w:rPr>
                    <w:t>（三）结果应用</w:t>
                  </w:r>
                </w:p>
                <w:p>
                  <w:pPr>
                    <w:pStyle w:val="null3"/>
                    <w:ind w:firstLine="420"/>
                    <w:jc w:val="both"/>
                  </w:pPr>
                  <w:r>
                    <w:rPr>
                      <w:rFonts w:ascii="仿宋_GB2312" w:hAnsi="仿宋_GB2312" w:cs="仿宋_GB2312" w:eastAsia="仿宋_GB2312"/>
                      <w:sz w:val="21"/>
                    </w:rPr>
                    <w:t>推动专家智力支持与项目过程管控相融合，实现专家资源高效利用与项目全过程控制的协同目标。</w:t>
                  </w:r>
                </w:p>
                <w:p>
                  <w:pPr>
                    <w:pStyle w:val="null3"/>
                    <w:ind w:firstLine="420"/>
                    <w:jc w:val="both"/>
                  </w:pPr>
                  <w:r>
                    <w:rPr>
                      <w:rFonts w:ascii="仿宋_GB2312" w:hAnsi="仿宋_GB2312" w:cs="仿宋_GB2312" w:eastAsia="仿宋_GB2312"/>
                      <w:sz w:val="21"/>
                    </w:rPr>
                    <w:t>1.容错机制的界定与标准构建：对因非主观技术偏差、资料缺陷导致的结论偏差等情形，设计“容错整改-复核保留-刚性退出”的分级管理流程，实现专家库的动态优化。</w:t>
                  </w:r>
                </w:p>
                <w:p>
                  <w:pPr>
                    <w:pStyle w:val="null3"/>
                    <w:ind w:firstLine="420"/>
                    <w:jc w:val="both"/>
                  </w:pPr>
                  <w:r>
                    <w:rPr>
                      <w:rFonts w:ascii="仿宋_GB2312" w:hAnsi="仿宋_GB2312" w:cs="仿宋_GB2312" w:eastAsia="仿宋_GB2312"/>
                      <w:sz w:val="21"/>
                    </w:rPr>
                    <w:t>2.研究违规违纪行为查处机制，为专家管理提供依据。</w:t>
                  </w:r>
                </w:p>
                <w:p>
                  <w:pPr>
                    <w:pStyle w:val="null3"/>
                    <w:ind w:firstLine="420"/>
                    <w:jc w:val="both"/>
                  </w:pPr>
                  <w:r>
                    <w:rPr>
                      <w:rFonts w:ascii="仿宋_GB2312" w:hAnsi="仿宋_GB2312" w:cs="仿宋_GB2312" w:eastAsia="仿宋_GB2312"/>
                      <w:sz w:val="21"/>
                    </w:rPr>
                    <w:t>3.研究评优激励机制，建立与评价结果挂钩的多层级激励体系，激发专家价值创造活力。</w:t>
                  </w:r>
                </w:p>
                <w:p>
                  <w:pPr>
                    <w:pStyle w:val="null3"/>
                    <w:ind w:firstLine="420"/>
                    <w:jc w:val="both"/>
                  </w:pPr>
                  <w:r>
                    <w:rPr>
                      <w:rFonts w:ascii="仿宋_GB2312" w:hAnsi="仿宋_GB2312" w:cs="仿宋_GB2312" w:eastAsia="仿宋_GB2312"/>
                      <w:sz w:val="21"/>
                    </w:rPr>
                    <w:t>4.研究项目过程质量控制机制，项目过程中完成专家资源的精准匹配，并实现专家评审结果与项目过程控制的管理闭环。</w:t>
                  </w:r>
                </w:p>
                <w:p>
                  <w:pPr>
                    <w:pStyle w:val="null3"/>
                    <w:ind w:firstLine="420"/>
                    <w:jc w:val="both"/>
                  </w:pPr>
                  <w:r>
                    <w:rPr>
                      <w:rFonts w:ascii="仿宋_GB2312" w:hAnsi="仿宋_GB2312" w:cs="仿宋_GB2312" w:eastAsia="仿宋_GB2312"/>
                      <w:sz w:val="21"/>
                    </w:rPr>
                    <w:t>5.研究项目关键节点质量评价机制，实现专家评审意见在关键节点应用的全程留痕与闭环管理。</w:t>
                  </w:r>
                </w:p>
                <w:p>
                  <w:pPr>
                    <w:pStyle w:val="null3"/>
                    <w:ind w:left="420"/>
                    <w:jc w:val="both"/>
                  </w:pPr>
                  <w:r>
                    <w:rPr>
                      <w:rFonts w:ascii="仿宋_GB2312" w:hAnsi="仿宋_GB2312" w:cs="仿宋_GB2312" w:eastAsia="仿宋_GB2312"/>
                      <w:sz w:val="21"/>
                    </w:rPr>
                    <w:t>（四）平</w:t>
                  </w:r>
                  <w:r>
                    <w:rPr>
                      <w:rFonts w:ascii="仿宋_GB2312" w:hAnsi="仿宋_GB2312" w:cs="仿宋_GB2312" w:eastAsia="仿宋_GB2312"/>
                      <w:sz w:val="21"/>
                    </w:rPr>
                    <w:t>台</w:t>
                  </w:r>
                  <w:r>
                    <w:rPr>
                      <w:rFonts w:ascii="仿宋_GB2312" w:hAnsi="仿宋_GB2312" w:cs="仿宋_GB2312" w:eastAsia="仿宋_GB2312"/>
                      <w:sz w:val="21"/>
                    </w:rPr>
                    <w:t>建设</w:t>
                  </w:r>
                </w:p>
                <w:p>
                  <w:pPr>
                    <w:pStyle w:val="null3"/>
                    <w:ind w:firstLine="420"/>
                    <w:jc w:val="both"/>
                  </w:pPr>
                  <w:r>
                    <w:rPr>
                      <w:rFonts w:ascii="仿宋_GB2312" w:hAnsi="仿宋_GB2312" w:cs="仿宋_GB2312" w:eastAsia="仿宋_GB2312"/>
                      <w:sz w:val="21"/>
                    </w:rPr>
                    <w:t>1.平台覆盖</w:t>
                  </w:r>
                  <w:r>
                    <w:rPr>
                      <w:rFonts w:ascii="仿宋_GB2312" w:hAnsi="仿宋_GB2312" w:cs="仿宋_GB2312" w:eastAsia="仿宋_GB2312"/>
                      <w:sz w:val="21"/>
                    </w:rPr>
                    <w:t>专家</w:t>
                  </w:r>
                  <w:r>
                    <w:rPr>
                      <w:rFonts w:ascii="仿宋_GB2312" w:hAnsi="仿宋_GB2312" w:cs="仿宋_GB2312" w:eastAsia="仿宋_GB2312"/>
                      <w:sz w:val="21"/>
                    </w:rPr>
                    <w:t>入库</w:t>
                  </w:r>
                  <w:r>
                    <w:rPr>
                      <w:rFonts w:ascii="仿宋_GB2312" w:hAnsi="仿宋_GB2312" w:cs="仿宋_GB2312" w:eastAsia="仿宋_GB2312"/>
                      <w:sz w:val="21"/>
                    </w:rPr>
                    <w:t>申请、专家库动态更新</w:t>
                  </w:r>
                  <w:r>
                    <w:rPr>
                      <w:rFonts w:ascii="仿宋_GB2312" w:hAnsi="仿宋_GB2312" w:cs="仿宋_GB2312" w:eastAsia="仿宋_GB2312"/>
                      <w:sz w:val="21"/>
                    </w:rPr>
                    <w:t>、专家评价</w:t>
                  </w:r>
                  <w:r>
                    <w:rPr>
                      <w:rFonts w:ascii="仿宋_GB2312" w:hAnsi="仿宋_GB2312" w:cs="仿宋_GB2312" w:eastAsia="仿宋_GB2312"/>
                      <w:sz w:val="21"/>
                    </w:rPr>
                    <w:t>、评审会议管理、评审会专家抽选以及项目过程管控，搭建完整业务闭环；支持文件录入、检索、统计分析，一站式解决工作人员日常信息管理工作。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平台搭建完备的</w:t>
                  </w:r>
                  <w:r>
                    <w:rPr>
                      <w:rFonts w:ascii="仿宋_GB2312" w:hAnsi="仿宋_GB2312" w:cs="仿宋_GB2312" w:eastAsia="仿宋_GB2312"/>
                      <w:sz w:val="21"/>
                    </w:rPr>
                    <w:t>角色</w:t>
                  </w:r>
                  <w:r>
                    <w:rPr>
                      <w:rFonts w:ascii="仿宋_GB2312" w:hAnsi="仿宋_GB2312" w:cs="仿宋_GB2312" w:eastAsia="仿宋_GB2312"/>
                      <w:sz w:val="21"/>
                    </w:rPr>
                    <w:t>权限管理体系，采用角色分级授权架构，区分操作访问权限，实现用户权限精细化、规范化管控，保障平台数据访问安全。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平台需保障功能完备、运行稳定，交互</w:t>
                  </w:r>
                  <w:r>
                    <w:rPr>
                      <w:rFonts w:ascii="仿宋_GB2312" w:hAnsi="仿宋_GB2312" w:cs="仿宋_GB2312" w:eastAsia="仿宋_GB2312"/>
                      <w:sz w:val="21"/>
                    </w:rPr>
                    <w:t>友好</w:t>
                  </w:r>
                  <w:r>
                    <w:rPr>
                      <w:rFonts w:ascii="仿宋_GB2312" w:hAnsi="仿宋_GB2312" w:cs="仿宋_GB2312" w:eastAsia="仿宋_GB2312"/>
                      <w:sz w:val="21"/>
                    </w:rPr>
                    <w:t>。系统界面设计简洁规范、友好直观，操作高效；全方位提升用户办公使用体验。</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平台需保障数据存储安全，软硬件整体运行稳定可靠。系统支持注册用户规模</w:t>
                  </w:r>
                  <w:r>
                    <w:rPr>
                      <w:rFonts w:ascii="仿宋_GB2312" w:hAnsi="仿宋_GB2312" w:cs="仿宋_GB2312" w:eastAsia="仿宋_GB2312"/>
                      <w:sz w:val="21"/>
                    </w:rPr>
                    <w:t>1000人以上，可满足50至100名用户同时在线操作，并发运行流畅、响应迅速。同时平台功能完善、界面简洁友好、操作便捷，页面加载顺畅，适配日常办公使用。</w:t>
                  </w:r>
                </w:p>
                <w:p>
                  <w:pPr>
                    <w:pStyle w:val="null3"/>
                    <w:ind w:firstLine="420"/>
                    <w:jc w:val="both"/>
                  </w:pPr>
                  <w:r>
                    <w:rPr>
                      <w:rFonts w:ascii="仿宋_GB2312" w:hAnsi="仿宋_GB2312" w:cs="仿宋_GB2312" w:eastAsia="仿宋_GB2312"/>
                      <w:sz w:val="21"/>
                    </w:rPr>
                    <w:t>5.遵循《网络安全法》及网络安全等级保护标准开展相关设计开发</w:t>
                  </w:r>
                  <w:r>
                    <w:rPr>
                      <w:rFonts w:ascii="仿宋_GB2312" w:hAnsi="仿宋_GB2312" w:cs="仿宋_GB2312" w:eastAsia="仿宋_GB2312"/>
                      <w:sz w:val="21"/>
                    </w:rPr>
                    <w:t>。</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三、成果形式与交付要求</w:t>
                  </w:r>
                </w:p>
                <w:p>
                  <w:pPr>
                    <w:pStyle w:val="null3"/>
                    <w:ind w:firstLine="420"/>
                    <w:jc w:val="both"/>
                  </w:pPr>
                  <w:r>
                    <w:rPr>
                      <w:rFonts w:ascii="仿宋_GB2312" w:hAnsi="仿宋_GB2312" w:cs="仿宋_GB2312" w:eastAsia="仿宋_GB2312"/>
                      <w:sz w:val="21"/>
                    </w:rPr>
                    <w:t>1、交付成果：供应商须提交</w:t>
                  </w:r>
                  <w:r>
                    <w:rPr>
                      <w:rFonts w:ascii="仿宋_GB2312" w:hAnsi="仿宋_GB2312" w:cs="仿宋_GB2312" w:eastAsia="仿宋_GB2312"/>
                      <w:sz w:val="21"/>
                    </w:rPr>
                    <w:t>《</w:t>
                  </w:r>
                  <w:r>
                    <w:rPr>
                      <w:rFonts w:ascii="仿宋_GB2312" w:hAnsi="仿宋_GB2312" w:cs="仿宋_GB2312" w:eastAsia="仿宋_GB2312"/>
                      <w:sz w:val="21"/>
                    </w:rPr>
                    <w:t>陕西水利项目过程控制及技术支撑体系研究报告</w:t>
                  </w:r>
                  <w:r>
                    <w:rPr>
                      <w:rFonts w:ascii="仿宋_GB2312" w:hAnsi="仿宋_GB2312" w:cs="仿宋_GB2312" w:eastAsia="仿宋_GB2312"/>
                      <w:sz w:val="21"/>
                    </w:rPr>
                    <w:t>》；</w:t>
                  </w:r>
                  <w:r>
                    <w:rPr>
                      <w:rFonts w:ascii="仿宋_GB2312" w:hAnsi="仿宋_GB2312" w:cs="仿宋_GB2312" w:eastAsia="仿宋_GB2312"/>
                      <w:sz w:val="21"/>
                    </w:rPr>
                    <w:t>《陕西省水利专家库管理使用实施细则》</w:t>
                  </w:r>
                  <w:r>
                    <w:rPr>
                      <w:rFonts w:ascii="仿宋_GB2312" w:hAnsi="仿宋_GB2312" w:cs="仿宋_GB2312" w:eastAsia="仿宋_GB2312"/>
                      <w:sz w:val="21"/>
                    </w:rPr>
                    <w:t>；</w:t>
                  </w:r>
                  <w:r>
                    <w:rPr>
                      <w:rFonts w:ascii="仿宋_GB2312" w:hAnsi="仿宋_GB2312" w:cs="仿宋_GB2312" w:eastAsia="仿宋_GB2312"/>
                      <w:sz w:val="21"/>
                    </w:rPr>
                    <w:t>专家库成果应用及软件著作权</w:t>
                  </w:r>
                  <w:r>
                    <w:rPr>
                      <w:rFonts w:ascii="仿宋_GB2312" w:hAnsi="仿宋_GB2312" w:cs="仿宋_GB2312" w:eastAsia="仿宋_GB2312"/>
                      <w:sz w:val="21"/>
                    </w:rPr>
                    <w:t>；《</w:t>
                  </w:r>
                  <w:r>
                    <w:rPr>
                      <w:rFonts w:ascii="仿宋_GB2312" w:hAnsi="仿宋_GB2312" w:cs="仿宋_GB2312" w:eastAsia="仿宋_GB2312"/>
                      <w:sz w:val="21"/>
                    </w:rPr>
                    <w:t>用户手册</w:t>
                  </w:r>
                  <w:r>
                    <w:rPr>
                      <w:rFonts w:ascii="仿宋_GB2312" w:hAnsi="仿宋_GB2312" w:cs="仿宋_GB2312" w:eastAsia="仿宋_GB2312"/>
                      <w:sz w:val="21"/>
                    </w:rPr>
                    <w:t>》</w:t>
                  </w:r>
                  <w:r>
                    <w:rPr>
                      <w:rFonts w:ascii="仿宋_GB2312" w:hAnsi="仿宋_GB2312" w:cs="仿宋_GB2312" w:eastAsia="仿宋_GB2312"/>
                      <w:sz w:val="21"/>
                    </w:rPr>
                    <w:t>（管理单位、使用单位、专家个人）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2、交付标准：提交的</w:t>
                  </w:r>
                  <w:r>
                    <w:rPr>
                      <w:rFonts w:ascii="仿宋_GB2312" w:hAnsi="仿宋_GB2312" w:cs="仿宋_GB2312" w:eastAsia="仿宋_GB2312"/>
                      <w:sz w:val="21"/>
                    </w:rPr>
                    <w:t>文档资料</w:t>
                  </w:r>
                  <w:r>
                    <w:rPr>
                      <w:rFonts w:ascii="仿宋_GB2312" w:hAnsi="仿宋_GB2312" w:cs="仿宋_GB2312" w:eastAsia="仿宋_GB2312"/>
                      <w:sz w:val="21"/>
                    </w:rPr>
                    <w:t>须逻辑严密、论证充分、</w:t>
                  </w:r>
                  <w:r>
                    <w:rPr>
                      <w:rFonts w:ascii="仿宋_GB2312" w:hAnsi="仿宋_GB2312" w:cs="仿宋_GB2312" w:eastAsia="仿宋_GB2312"/>
                      <w:sz w:val="21"/>
                    </w:rPr>
                    <w:t>包</w:t>
                  </w:r>
                  <w:r>
                    <w:rPr>
                      <w:rFonts w:ascii="仿宋_GB2312" w:hAnsi="仿宋_GB2312" w:cs="仿宋_GB2312" w:eastAsia="仿宋_GB2312"/>
                      <w:sz w:val="21"/>
                    </w:rPr>
                    <w:t>含正式纸质版及电子版</w:t>
                  </w:r>
                  <w:r>
                    <w:rPr>
                      <w:rFonts w:ascii="仿宋_GB2312" w:hAnsi="仿宋_GB2312" w:cs="仿宋_GB2312" w:eastAsia="仿宋_GB2312"/>
                      <w:sz w:val="21"/>
                    </w:rPr>
                    <w:t>。</w:t>
                  </w:r>
                  <w:r>
                    <w:rPr>
                      <w:rFonts w:ascii="仿宋_GB2312" w:hAnsi="仿宋_GB2312" w:cs="仿宋_GB2312" w:eastAsia="仿宋_GB2312"/>
                      <w:sz w:val="21"/>
                    </w:rPr>
                    <w:t>成果应用软件应功能完善，</w:t>
                  </w:r>
                  <w:r>
                    <w:rPr>
                      <w:rFonts w:ascii="仿宋_GB2312" w:hAnsi="仿宋_GB2312" w:cs="仿宋_GB2312" w:eastAsia="仿宋_GB2312"/>
                      <w:sz w:val="21"/>
                    </w:rPr>
                    <w:t>具备可操作性</w:t>
                  </w:r>
                  <w:r>
                    <w:rPr>
                      <w:rFonts w:ascii="仿宋_GB2312" w:hAnsi="仿宋_GB2312" w:cs="仿宋_GB2312" w:eastAsia="仿宋_GB2312"/>
                      <w:sz w:val="21"/>
                    </w:rPr>
                    <w:t>。全部交付物需通过</w:t>
                  </w:r>
                  <w:r>
                    <w:rPr>
                      <w:rFonts w:ascii="仿宋_GB2312" w:hAnsi="仿宋_GB2312" w:cs="仿宋_GB2312" w:eastAsia="仿宋_GB2312"/>
                      <w:sz w:val="21"/>
                    </w:rPr>
                    <w:t>采购人组织的专家评审验收，并根据评审专家意见进行修改完善。</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进度款，提交初步成果并通过初验后，达到付款条件起10个工作日内，支付合同总金额的30.0%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3、支付进度以第八章拟签订采购合同文本为准。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提供营业执照、组织机构代码证、税务登记证（三证合一只提供营业执照，事业单位提供事业单位法人证书，自然人应提供身份证）合法有效；供应商需在项目电子化交易系统中按要求上传相应证明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响应函 供应商资格证明.docx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提供2025年度经审计的财务报告（包括审计报告、资产负债表、利润表、现金流量表、所有者权益变动表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供应商资格证明.docx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磋商响应⽂件的签字盖章符合采购⽂件要求</w:t>
            </w:r>
          </w:p>
        </w:tc>
        <w:tc>
          <w:tcPr>
            <w:tcW w:type="dxa" w:w="1661"/>
          </w:tcPr>
          <w:p>
            <w:pPr>
              <w:pStyle w:val="null3"/>
            </w:pPr>
            <w:r>
              <w:rPr>
                <w:rFonts w:ascii="仿宋_GB2312" w:hAnsi="仿宋_GB2312" w:cs="仿宋_GB2312" w:eastAsia="仿宋_GB2312"/>
              </w:rPr>
              <w:t>响应文件封面 标的清单 服务内容及服务要求应答表.docx 商务应答表.docx 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一、评审内容： 对本项目的理解及认识方案，内容包含：①项目背景分析；②区域现状分析；③工作目的；④工作任务与提交成果。 二、评审标准： 1、完整性：对评审内容中的四项内容均有完整阐述，无缺项； 2、可实施性：整体思路、工作安排流程清晰、分工合理，具备落地执行条件； 三、赋分标准: ①项目背景分析（满分2分）：每完全满足一个评审标准得1分，基本满足（准确但分析较简略）得0.5分，不满足（错误或未分析）得0分；②区域现状分析（满分2分）：每完全满足一个评审标准得1分，基本满足（准确但分析较简略）得0.5分，不满足（错误或未分析）得0分；③工作目的（满分2分）：每完全满足一个评审标准得1分，基本满足（准确但分析较简略）得0.5分，不满足（错误或未分析）得0分；④工作任务与提交成果（满分2分）：每完全满足一个评审标准得1分，基本满足（准确但分析较简略）得0.5分，不满足（错误或未分析）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对本项目工作方案及内容，内容包含： ①工作依据；②工作原则；③工作范围；④主要工作内容；⑤报告及细则编制提纲；⑥实施思路与技术路径。 二、评审标准： 1、完整性：对评审内容中的六项内容均有完整阐述，无缺项； 2、可实施性：实施方案步骤清晰、逻辑通顺，贴合本项目基本情况，具备落地执行条件，编制合理的方案； 3、针对性：方案能够紧扣本项目采购专属特点，紧扣项目实际情况，内容科学合理。 三、赋分标准: ①工作依据（满分3分）：每完全满足一个评审标准得1分，基本满足（准确但分析较简略）得0.5分，不满足（错误或未分析）得0分；②工作原则（满分3分）：每完全满足一个评审标准得1分，基本满足（准确但分析较简略）得0.5分，不满足（错误或未分析）得0分；③工作范围（满分3分）：每完全满足一个评审标准得1分，基本满足（准确但分析较简略）得0.5分，不满足（错误或未分析）得0分；④主要工作内容（满分3分）：每完全满足一个评审标准得1分，基本满足（准确但分析较简略）得0.5分，不满足（错误或未分析）得0分；⑤报告及细则编制提纲（满分3分）：每完全满足一个评审标准得1分，基本满足（准确但分析较简略）得0.5分，不满足（错误或未分析）得0分；⑥实施思路与技术路径（满分3分）：每完全满足一个评审标准得1分，基本满足（准确但分析较简略）得0.5分，不满足（错误或未分析）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提供针对本项目的质量保障措施方案，内容包括但不限于：①质量管理体系；②质量保障措施等。 二、评审标准： 1、完整性：方案必须全面，对评审内容中的各项要求有详细描述； 2、可实施性：切合本项目实际情况，承诺内容务实、保障措施可行、实施计划步骤清晰合理； 三、赋分标准: ①质量管理体系（满分2分）：每完全满足一个评审标准得1分，基本满足（内容较全面但不够详尽）得0.5分，不满足（内容简单、描述粗略）得0分； ②质量保障措施（满分2分）：每完全满足一个评审标准得1分，基本满足（措施有框架但细节不足）得0.5分，不满足（无实施保障计划）得0分。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一、评审内容： 针对本项目提供进度方案，方案内容包括但不限于：①工作进度计划安排；②进度保证措施；③工作节点规划； 二、评审标准： 1、完整性：方案必须全面，对评审内容中的各项要求有详细描述； 2、可实施性：切合本项目实际情况，进度计划安排合理、保障进度措施可行、工作节点清晰，步骤明确可落地； 三、赋分标准: ①工作进度计划安排（满分2分）：每完全满足一个评审标准得1分，基本满足（进度安排基本合理但与实际贴合度一般）得0.5分，不满足（进度安排不合理）得0分； ②进度保证措施（满分2分）：每完全满足一个评审标准得1分，基本满足（有措施但不明确需协调）得0.5分，不满足（措施简单或未制定）得0分； ③工作节点规划（满分2分）：每完全满足一个评审标准得1分，基本满足（节点有规划但不够清晰）得0.5分，不满足（无节点规划）得0分。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针对本项目编制保密措施方案，有相应的保障细则，内容包含：①保密范围；②保密措施。 二、评审标准： 1、完整性：方案必须全面，对评审内容中的各项要求有详细描述； 2、可实施性：切合本项目实际情况，承诺内容务实、保密措施可行、保密措施计划步骤清晰合理； 三、赋分标准: ①保密范围（满分2分）：每完全满足一个评审标准得1分，基本满足（内容较全面但不够详尽）得0.5分，不满足（内容简单、描述粗略）得0分； ②保密措施（满分2分）：每完全满足一个评审标准得1分，基本满足（措施有框架但细节不足）得0.5分，不满足（无实施计划）得0分。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1、供应商拟投入项目负责人具备与本项目相关专业高级职称的得3分，中级职称得2分，其余不得分； 2、项目负责人硕士及以上学历4分；大学本科学历3分；大学专科学历2分。其他0分。 注：（1）响应文件中须提供项目负责人身份证、学历证、职称证、在职证明（证明人员与供应商具有劳动关系的证明材料，例如：包括但不限于劳动合同或社保缴纳证明复印件等。（2）相关专业涵盖水利类（水利水电、水文、水利信息工程）</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服务团队履约能力</w:t>
            </w:r>
          </w:p>
        </w:tc>
        <w:tc>
          <w:tcPr>
            <w:tcW w:type="dxa" w:w="2492"/>
          </w:tcPr>
          <w:p>
            <w:pPr>
              <w:pStyle w:val="null3"/>
            </w:pPr>
            <w:r>
              <w:rPr>
                <w:rFonts w:ascii="仿宋_GB2312" w:hAnsi="仿宋_GB2312" w:cs="仿宋_GB2312" w:eastAsia="仿宋_GB2312"/>
              </w:rPr>
              <w:t>团队人员配备（18分）（不含项目负责人），每配备一名相关专业中级职称人员得2分，高级职称得3分，本项累计最高18分。 注：1.须提供团队人员身份证、职称证、社保缴纳凭证复印件；2.相关专业为水利水电、水文、水利信息工程等水利类相关专业；</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提供2023年1月1日至响应文件递交截止之日供应商完成的类似项目，每提供一份得3分，满分15分。【注：以合同协议书首页、关键页、签字盖章页或中标通知书证明为准】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2.满足磋商文件要求且投标报价最低的为评标基准价，其价格分为满分。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详见附件：供应商认为需要提供的其它材料.docx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详见附件：合同参考模板陕西水利..docx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