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版本号：GXTC-C-2657015020260612004</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交通云平台及专网主干网设备维护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GXTC-C-26570150</w:t>
      </w:r>
      <w:r>
        <w:br/>
      </w:r>
      <w:r>
        <w:br/>
      </w:r>
      <w:r>
        <w:br/>
      </w:r>
    </w:p>
    <w:p>
      <w:pPr>
        <w:pStyle w:val="null3"/>
        <w:jc w:val="center"/>
        <w:outlineLvl w:val="2"/>
      </w:pPr>
      <w:r>
        <w:rPr>
          <w:rFonts w:ascii="仿宋_GB2312" w:hAnsi="仿宋_GB2312" w:cs="仿宋_GB2312" w:eastAsia="仿宋_GB2312"/>
          <w:sz w:val="28"/>
          <w:b/>
        </w:rPr>
        <w:t>陕西省交通运行监测中心</w:t>
      </w:r>
    </w:p>
    <w:p>
      <w:pPr>
        <w:pStyle w:val="null3"/>
        <w:jc w:val="center"/>
        <w:outlineLvl w:val="2"/>
      </w:pPr>
      <w:r>
        <w:rPr>
          <w:rFonts w:ascii="仿宋_GB2312" w:hAnsi="仿宋_GB2312" w:cs="仿宋_GB2312" w:eastAsia="仿宋_GB2312"/>
          <w:sz w:val="28"/>
          <w:b/>
        </w:rPr>
        <w:t>国信招标集团股份有限公司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国信招标集团股份有限公司</w:t>
      </w:r>
      <w:r>
        <w:rPr>
          <w:rFonts w:ascii="仿宋_GB2312" w:hAnsi="仿宋_GB2312" w:cs="仿宋_GB2312" w:eastAsia="仿宋_GB2312"/>
        </w:rPr>
        <w:t>（以下简称“代理机构”）受</w:t>
      </w:r>
      <w:r>
        <w:rPr>
          <w:rFonts w:ascii="仿宋_GB2312" w:hAnsi="仿宋_GB2312" w:cs="仿宋_GB2312" w:eastAsia="仿宋_GB2312"/>
        </w:rPr>
        <w:t>陕西省交通运行监测中心</w:t>
      </w:r>
      <w:r>
        <w:rPr>
          <w:rFonts w:ascii="仿宋_GB2312" w:hAnsi="仿宋_GB2312" w:cs="仿宋_GB2312" w:eastAsia="仿宋_GB2312"/>
        </w:rPr>
        <w:t>委托，拟对</w:t>
      </w:r>
      <w:r>
        <w:rPr>
          <w:rFonts w:ascii="仿宋_GB2312" w:hAnsi="仿宋_GB2312" w:cs="仿宋_GB2312" w:eastAsia="仿宋_GB2312"/>
        </w:rPr>
        <w:t>交通云平台及专网主干网设备维护</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GXTC-C-26570150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交通云平台及专网主干网设备维护</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交通云平台及专网主干网维护包括对交通云平台、交通行业专网主干网项目中的主机、存储、安全设备及相关硬件（含系统软件）进行维护，包括故障的分析排除、设备质保、备件管理和更换，以及网络的优化、调整、配置等运维保障，从而支撑交通专网主干网及云平台系统稳定运行。</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陕西省交通运行监测中心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029-88869270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国信招标集团股份有限公司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肖君玲、贾天佼、杜静、张海飞、刘洋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15637780510、13299087301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文件规定标准的85%计算，若单项目服务费不足5000元按5000元计取，按“服务类”向中标供应商收取代理服务费。 服务费收取账号： 户名：国信招标集团股份有限公司陕西分公司 开户银行：招商银行西安城南支行 虚拟账号：1299104125105012600010598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陕西省交通运行监测中心</w:t>
      </w:r>
      <w:r>
        <w:rPr>
          <w:rFonts w:ascii="仿宋_GB2312" w:hAnsi="仿宋_GB2312" w:cs="仿宋_GB2312" w:eastAsia="仿宋_GB2312"/>
        </w:rPr>
        <w:t>和</w:t>
      </w:r>
      <w:r>
        <w:rPr>
          <w:rFonts w:ascii="仿宋_GB2312" w:hAnsi="仿宋_GB2312" w:cs="仿宋_GB2312" w:eastAsia="仿宋_GB2312"/>
        </w:rPr>
        <w:t>国信招标集团股份有限公司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陕西省交通运行监测中心</w:t>
      </w:r>
      <w:r>
        <w:rPr>
          <w:rFonts w:ascii="仿宋_GB2312" w:hAnsi="仿宋_GB2312" w:cs="仿宋_GB2312" w:eastAsia="仿宋_GB2312"/>
        </w:rPr>
        <w:t>负责解释。除上述招标文件内容，其他内容由</w:t>
      </w:r>
      <w:r>
        <w:rPr>
          <w:rFonts w:ascii="仿宋_GB2312" w:hAnsi="仿宋_GB2312" w:cs="仿宋_GB2312" w:eastAsia="仿宋_GB2312"/>
        </w:rPr>
        <w:t>国信招标集团股份有限公司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陕西省交通运行监测中心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国信招标集团股份有限公司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采购人按采购文件规定或采购合同的约定进行验收。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国信招标集团股份有限公司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国信招标集团股份有限公司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国信招标集团股份有限公司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联系人：肖君玲、贾天佼、刘洋</w:t>
      </w:r>
    </w:p>
    <w:p>
      <w:pPr>
        <w:pStyle w:val="null3"/>
      </w:pPr>
      <w:r>
        <w:rPr>
          <w:rFonts w:ascii="仿宋_GB2312" w:hAnsi="仿宋_GB2312" w:cs="仿宋_GB2312" w:eastAsia="仿宋_GB2312"/>
        </w:rPr>
        <w:t>联系电话：15637780510</w:t>
      </w:r>
    </w:p>
    <w:p>
      <w:pPr>
        <w:pStyle w:val="null3"/>
      </w:pPr>
      <w:r>
        <w:rPr>
          <w:rFonts w:ascii="仿宋_GB2312" w:hAnsi="仿宋_GB2312" w:cs="仿宋_GB2312" w:eastAsia="仿宋_GB2312"/>
        </w:rPr>
        <w:t>地址：陕西省西安市雁塔区南二环西段成长大厦20层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交通云平台及专网主干网维护包括对交通云平台、交通行业专网主干网项目中的主机、存储、安全设备及相关硬件（含系统软件）进行维护，包括故障的分析排除、设备质保、备件管理和更换，以及网络的优化、调整、配置等运维保障，从而支撑交通专网主干网及云平台系统稳定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2,050,000.00</w:t>
      </w:r>
    </w:p>
    <w:p>
      <w:pPr>
        <w:pStyle w:val="null3"/>
      </w:pPr>
      <w:r>
        <w:rPr>
          <w:rFonts w:ascii="仿宋_GB2312" w:hAnsi="仿宋_GB2312" w:cs="仿宋_GB2312" w:eastAsia="仿宋_GB2312"/>
        </w:rPr>
        <w:t>采购包最高限价（元）: 2,050,000.00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交通云平台及专网主干网设备维护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标的名称：交通云平台及专网主干网设备维护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 xml:space="preserve"> 软硬件维保</w:t>
            </w:r>
          </w:p>
          <w:p>
            <w:pPr>
              <w:pStyle w:val="null3"/>
            </w:pPr>
            <w:r>
              <w:rPr>
                <w:rFonts w:ascii="仿宋_GB2312" w:hAnsi="仿宋_GB2312" w:cs="仿宋_GB2312" w:eastAsia="仿宋_GB2312"/>
              </w:rPr>
              <w:t>（</w:t>
            </w:r>
            <w:r>
              <w:rPr>
                <w:rFonts w:ascii="仿宋_GB2312" w:hAnsi="仿宋_GB2312" w:cs="仿宋_GB2312" w:eastAsia="仿宋_GB2312"/>
              </w:rPr>
              <w:t>1）云平台涉及主要硬件设备和基础软件维保工作，其中备份软件（壹进制 UnaDPMSoft）、下一代防火墙、WEB安全网关、下一代防火墙40GE、云安全资源防护、统一身份认证和单点登录等必须购买原厂服务（1年），提供</w:t>
            </w:r>
            <w:r>
              <w:rPr>
                <w:rFonts w:ascii="仿宋_GB2312" w:hAnsi="仿宋_GB2312" w:cs="仿宋_GB2312" w:eastAsia="仿宋_GB2312"/>
              </w:rPr>
              <w:t>能够</w:t>
            </w:r>
            <w:r>
              <w:rPr>
                <w:rFonts w:ascii="仿宋_GB2312" w:hAnsi="仿宋_GB2312" w:cs="仿宋_GB2312" w:eastAsia="仿宋_GB2312"/>
              </w:rPr>
              <w:t>原厂服务承诺函；其他设备和软件由投标人自行决定是否购买原厂服务，如未购买原厂服务，由投标人提供服务承诺函，在运维期内出现问题需服务、更换、维修的，由投标人负责。</w:t>
            </w:r>
          </w:p>
          <w:p>
            <w:pPr>
              <w:pStyle w:val="null3"/>
            </w:pPr>
            <w:r>
              <w:rPr>
                <w:rFonts w:ascii="仿宋_GB2312" w:hAnsi="仿宋_GB2312" w:cs="仿宋_GB2312" w:eastAsia="仿宋_GB2312"/>
              </w:rPr>
              <w:t>软硬件设备分别位于茶张路</w:t>
            </w:r>
            <w:r>
              <w:rPr>
                <w:rFonts w:ascii="仿宋_GB2312" w:hAnsi="仿宋_GB2312" w:cs="仿宋_GB2312" w:eastAsia="仿宋_GB2312"/>
              </w:rPr>
              <w:t>1号陕西省信息化中心机房及唐延路6号陕西省交通厅机房。</w:t>
            </w:r>
          </w:p>
          <w:p>
            <w:pPr>
              <w:pStyle w:val="null3"/>
            </w:pPr>
            <w:r>
              <w:rPr>
                <w:rFonts w:ascii="仿宋_GB2312" w:hAnsi="仿宋_GB2312" w:cs="仿宋_GB2312" w:eastAsia="仿宋_GB2312"/>
              </w:rPr>
              <w:t>云平台</w:t>
            </w:r>
            <w:r>
              <w:rPr>
                <w:rFonts w:ascii="仿宋_GB2312" w:hAnsi="仿宋_GB2312" w:cs="仿宋_GB2312" w:eastAsia="仿宋_GB2312"/>
              </w:rPr>
              <w:t>陕西省信息化中心机房软硬件维保清单如下：</w:t>
            </w:r>
          </w:p>
          <w:tbl>
            <w:tblPr>
              <w:tblInd w:type="dxa" w:w="105"/>
              <w:tblBorders>
                <w:top w:val="none" w:color="000000" w:sz="4"/>
                <w:left w:val="none" w:color="000000" w:sz="4"/>
                <w:bottom w:val="none" w:color="000000" w:sz="4"/>
                <w:right w:val="none" w:color="000000" w:sz="4"/>
                <w:insideH w:val="none"/>
                <w:insideV w:val="none"/>
              </w:tblBorders>
            </w:tblPr>
            <w:tblGrid>
              <w:gridCol w:w="286"/>
              <w:gridCol w:w="792"/>
              <w:gridCol w:w="1210"/>
              <w:gridCol w:w="313"/>
              <w:gridCol w:w="286"/>
              <w:gridCol w:w="286"/>
            </w:tblGrid>
            <w:tr>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7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w:t>
                  </w:r>
                  <w:r>
                    <w:rPr>
                      <w:rFonts w:ascii="仿宋_GB2312" w:hAnsi="仿宋_GB2312" w:cs="仿宋_GB2312" w:eastAsia="仿宋_GB2312"/>
                      <w:sz w:val="19"/>
                    </w:rPr>
                    <w:t>/软件名称</w:t>
                  </w:r>
                </w:p>
              </w:tc>
              <w:tc>
                <w:tcPr>
                  <w:tcW w:type="dxa" w:w="1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品牌型号</w:t>
                  </w:r>
                </w:p>
              </w:tc>
              <w:tc>
                <w:tcPr>
                  <w:tcW w:type="dxa" w:w="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单位</w:t>
                  </w:r>
                </w:p>
              </w:tc>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计算服务器</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新华三</w:t>
                  </w:r>
                  <w:r>
                    <w:rPr>
                      <w:rFonts w:ascii="仿宋_GB2312" w:hAnsi="仿宋_GB2312" w:cs="仿宋_GB2312" w:eastAsia="仿宋_GB2312"/>
                      <w:sz w:val="19"/>
                    </w:rPr>
                    <w:t>UIS-Cell3010 G3</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数据服务器</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新华三</w:t>
                  </w:r>
                  <w:r>
                    <w:rPr>
                      <w:rFonts w:ascii="仿宋_GB2312" w:hAnsi="仿宋_GB2312" w:cs="仿宋_GB2312" w:eastAsia="仿宋_GB2312"/>
                      <w:sz w:val="19"/>
                    </w:rPr>
                    <w:t>UIS-Cell6000 G3</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部署服务器</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新华三</w:t>
                  </w:r>
                  <w:r>
                    <w:rPr>
                      <w:rFonts w:ascii="仿宋_GB2312" w:hAnsi="仿宋_GB2312" w:cs="仿宋_GB2312" w:eastAsia="仿宋_GB2312"/>
                      <w:sz w:val="19"/>
                    </w:rPr>
                    <w:t>UIS-Cell3010 G3</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云平台管理服务器</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新华三</w:t>
                  </w:r>
                  <w:r>
                    <w:rPr>
                      <w:rFonts w:ascii="仿宋_GB2312" w:hAnsi="仿宋_GB2312" w:cs="仿宋_GB2312" w:eastAsia="仿宋_GB2312"/>
                      <w:sz w:val="19"/>
                    </w:rPr>
                    <w:t>UIS-Cell3010 G3</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业务核心交换机</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华为</w:t>
                  </w:r>
                  <w:r>
                    <w:rPr>
                      <w:rFonts w:ascii="仿宋_GB2312" w:hAnsi="仿宋_GB2312" w:cs="仿宋_GB2312" w:eastAsia="仿宋_GB2312"/>
                      <w:sz w:val="19"/>
                    </w:rPr>
                    <w:t>CE16808</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业务汇聚交换机</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华为</w:t>
                  </w:r>
                  <w:r>
                    <w:rPr>
                      <w:rFonts w:ascii="仿宋_GB2312" w:hAnsi="仿宋_GB2312" w:cs="仿宋_GB2312" w:eastAsia="仿宋_GB2312"/>
                      <w:sz w:val="19"/>
                    </w:rPr>
                    <w:t>S7706</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业务接入交换机</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华为</w:t>
                  </w:r>
                  <w:r>
                    <w:rPr>
                      <w:rFonts w:ascii="仿宋_GB2312" w:hAnsi="仿宋_GB2312" w:cs="仿宋_GB2312" w:eastAsia="仿宋_GB2312"/>
                      <w:sz w:val="19"/>
                    </w:rPr>
                    <w:t>CE6881-48S6CQ</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托管接入交换机</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华为</w:t>
                  </w:r>
                  <w:r>
                    <w:rPr>
                      <w:rFonts w:ascii="仿宋_GB2312" w:hAnsi="仿宋_GB2312" w:cs="仿宋_GB2312" w:eastAsia="仿宋_GB2312"/>
                      <w:sz w:val="19"/>
                    </w:rPr>
                    <w:t>S5730-36C-HI</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管理区汇聚交换机</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华为</w:t>
                  </w:r>
                  <w:r>
                    <w:rPr>
                      <w:rFonts w:ascii="仿宋_GB2312" w:hAnsi="仿宋_GB2312" w:cs="仿宋_GB2312" w:eastAsia="仿宋_GB2312"/>
                      <w:sz w:val="19"/>
                    </w:rPr>
                    <w:t>S5731-H48T4XC</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带外管理接入交换机</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华为</w:t>
                  </w:r>
                  <w:r>
                    <w:rPr>
                      <w:rFonts w:ascii="仿宋_GB2312" w:hAnsi="仿宋_GB2312" w:cs="仿宋_GB2312" w:eastAsia="仿宋_GB2312"/>
                      <w:sz w:val="19"/>
                    </w:rPr>
                    <w:t>S5731-S24T4X</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大容量存储</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华为</w:t>
                  </w:r>
                  <w:r>
                    <w:rPr>
                      <w:rFonts w:ascii="仿宋_GB2312" w:hAnsi="仿宋_GB2312" w:cs="仿宋_GB2312" w:eastAsia="仿宋_GB2312"/>
                      <w:sz w:val="19"/>
                    </w:rPr>
                    <w:t>OceanStor 5510 V5</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全闪双活存储</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华为</w:t>
                  </w:r>
                  <w:r>
                    <w:rPr>
                      <w:rFonts w:ascii="仿宋_GB2312" w:hAnsi="仿宋_GB2312" w:cs="仿宋_GB2312" w:eastAsia="仿宋_GB2312"/>
                      <w:sz w:val="19"/>
                    </w:rPr>
                    <w:t>OceanStor Dorado 5500 V6</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光纤交换机</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思科</w:t>
                  </w:r>
                  <w:r>
                    <w:rPr>
                      <w:rFonts w:ascii="仿宋_GB2312" w:hAnsi="仿宋_GB2312" w:cs="仿宋_GB2312" w:eastAsia="仿宋_GB2312"/>
                      <w:sz w:val="19"/>
                    </w:rPr>
                    <w:t>MDS 9396S</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本地备份存储</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华为</w:t>
                  </w:r>
                  <w:r>
                    <w:rPr>
                      <w:rFonts w:ascii="仿宋_GB2312" w:hAnsi="仿宋_GB2312" w:cs="仿宋_GB2312" w:eastAsia="仿宋_GB2312"/>
                      <w:sz w:val="19"/>
                    </w:rPr>
                    <w:t>OceanStor 5310 V5</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异地数据容灾存储</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华为</w:t>
                  </w:r>
                  <w:r>
                    <w:rPr>
                      <w:rFonts w:ascii="仿宋_GB2312" w:hAnsi="仿宋_GB2312" w:cs="仿宋_GB2312" w:eastAsia="仿宋_GB2312"/>
                      <w:sz w:val="19"/>
                    </w:rPr>
                    <w:t>OceanStor 5310 V5</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存储扩容</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华为</w:t>
                  </w:r>
                  <w:r>
                    <w:rPr>
                      <w:rFonts w:ascii="仿宋_GB2312" w:hAnsi="仿宋_GB2312" w:cs="仿宋_GB2312" w:eastAsia="仿宋_GB2312"/>
                      <w:sz w:val="19"/>
                    </w:rPr>
                    <w:t>OceanStor 5310 V5</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17</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出口链路负载均衡</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深信服</w:t>
                  </w:r>
                  <w:r>
                    <w:rPr>
                      <w:rFonts w:ascii="仿宋_GB2312" w:hAnsi="仿宋_GB2312" w:cs="仿宋_GB2312" w:eastAsia="仿宋_GB2312"/>
                      <w:sz w:val="19"/>
                    </w:rPr>
                    <w:t>AD-1000-E640-U9</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下一代防火墙</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网神</w:t>
                  </w:r>
                  <w:r>
                    <w:rPr>
                      <w:rFonts w:ascii="仿宋_GB2312" w:hAnsi="仿宋_GB2312" w:cs="仿宋_GB2312" w:eastAsia="仿宋_GB2312"/>
                      <w:sz w:val="19"/>
                    </w:rPr>
                    <w:t xml:space="preserve">  </w:t>
                  </w:r>
                  <w:r>
                    <w:rPr>
                      <w:rFonts w:ascii="仿宋_GB2312" w:hAnsi="仿宋_GB2312" w:cs="仿宋_GB2312" w:eastAsia="仿宋_GB2312"/>
                      <w:sz w:val="19"/>
                    </w:rPr>
                    <w:t>NSG5000-TG15M-Q</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19</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入侵防御</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网神</w:t>
                  </w:r>
                  <w:r>
                    <w:rPr>
                      <w:rFonts w:ascii="仿宋_GB2312" w:hAnsi="仿宋_GB2312" w:cs="仿宋_GB2312" w:eastAsia="仿宋_GB2312"/>
                      <w:sz w:val="19"/>
                    </w:rPr>
                    <w:t>P7000-TX14M</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VPN网关</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深信服</w:t>
                  </w:r>
                  <w:r>
                    <w:rPr>
                      <w:rFonts w:ascii="仿宋_GB2312" w:hAnsi="仿宋_GB2312" w:cs="仿宋_GB2312" w:eastAsia="仿宋_GB2312"/>
                      <w:sz w:val="19"/>
                    </w:rPr>
                    <w:t>VPN-1000-E620-LV</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21</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下一代防火墙</w:t>
                  </w:r>
                  <w:r>
                    <w:rPr>
                      <w:rFonts w:ascii="仿宋_GB2312" w:hAnsi="仿宋_GB2312" w:cs="仿宋_GB2312" w:eastAsia="仿宋_GB2312"/>
                      <w:sz w:val="19"/>
                    </w:rPr>
                    <w:t>40GE</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网神</w:t>
                  </w:r>
                  <w:r>
                    <w:rPr>
                      <w:rFonts w:ascii="仿宋_GB2312" w:hAnsi="仿宋_GB2312" w:cs="仿宋_GB2312" w:eastAsia="仿宋_GB2312"/>
                      <w:sz w:val="19"/>
                    </w:rPr>
                    <w:t>NSG9000TZ30M-Q</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22</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WEB安全网关</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网神</w:t>
                  </w:r>
                  <w:r>
                    <w:rPr>
                      <w:rFonts w:ascii="仿宋_GB2312" w:hAnsi="仿宋_GB2312" w:cs="仿宋_GB2312" w:eastAsia="仿宋_GB2312"/>
                      <w:sz w:val="19"/>
                    </w:rPr>
                    <w:t>W1500-U010P</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23</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应用负载均衡</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深信服</w:t>
                  </w:r>
                  <w:r>
                    <w:rPr>
                      <w:rFonts w:ascii="仿宋_GB2312" w:hAnsi="仿宋_GB2312" w:cs="仿宋_GB2312" w:eastAsia="仿宋_GB2312"/>
                      <w:sz w:val="19"/>
                    </w:rPr>
                    <w:t>AD-1000-G642-U9</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24</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入侵检测</w:t>
                  </w:r>
                  <w:r>
                    <w:rPr>
                      <w:rFonts w:ascii="仿宋_GB2312" w:hAnsi="仿宋_GB2312" w:cs="仿宋_GB2312" w:eastAsia="仿宋_GB2312"/>
                      <w:sz w:val="19"/>
                    </w:rPr>
                    <w:t>IDS</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网神</w:t>
                  </w:r>
                  <w:r>
                    <w:rPr>
                      <w:rFonts w:ascii="仿宋_GB2312" w:hAnsi="仿宋_GB2312" w:cs="仿宋_GB2312" w:eastAsia="仿宋_GB2312"/>
                      <w:sz w:val="19"/>
                    </w:rPr>
                    <w:t>D7000-TX24M</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数据库审计</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网神</w:t>
                  </w:r>
                  <w:r>
                    <w:rPr>
                      <w:rFonts w:ascii="仿宋_GB2312" w:hAnsi="仿宋_GB2312" w:cs="仿宋_GB2312" w:eastAsia="仿宋_GB2312"/>
                      <w:sz w:val="19"/>
                    </w:rPr>
                    <w:t>K6000-H-TF10M</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26</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堡垒机</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网神</w:t>
                  </w:r>
                  <w:r>
                    <w:rPr>
                      <w:rFonts w:ascii="仿宋_GB2312" w:hAnsi="仿宋_GB2312" w:cs="仿宋_GB2312" w:eastAsia="仿宋_GB2312"/>
                      <w:sz w:val="19"/>
                    </w:rPr>
                    <w:t>C6100-H-TF10P</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27</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服务器</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华为</w:t>
                  </w:r>
                  <w:r>
                    <w:rPr>
                      <w:rFonts w:ascii="仿宋_GB2312" w:hAnsi="仿宋_GB2312" w:cs="仿宋_GB2312" w:eastAsia="仿宋_GB2312"/>
                      <w:sz w:val="19"/>
                    </w:rPr>
                    <w:t>2288H V5</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28</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虚拟化软件</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vmware vCenter Standard、 vmware vSphere Enterprise Plus</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29</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云操作系统</w:t>
                  </w:r>
                  <w:r>
                    <w:rPr>
                      <w:rFonts w:ascii="仿宋_GB2312" w:hAnsi="仿宋_GB2312" w:cs="仿宋_GB2312" w:eastAsia="仿宋_GB2312"/>
                      <w:sz w:val="19"/>
                    </w:rPr>
                    <w:t>&amp;运行智能管理</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新华三</w:t>
                  </w:r>
                  <w:r>
                    <w:rPr>
                      <w:rFonts w:ascii="仿宋_GB2312" w:hAnsi="仿宋_GB2312" w:cs="仿宋_GB2312" w:eastAsia="仿宋_GB2312"/>
                      <w:sz w:val="19"/>
                    </w:rPr>
                    <w:t>CloudOS&amp;Ucenter</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备份软件</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壹进制</w:t>
                  </w:r>
                  <w:r>
                    <w:rPr>
                      <w:rFonts w:ascii="仿宋_GB2312" w:hAnsi="仿宋_GB2312" w:cs="仿宋_GB2312" w:eastAsia="仿宋_GB2312"/>
                      <w:sz w:val="19"/>
                    </w:rPr>
                    <w:t>UnaDPMSoft</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31</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云安全资源防护</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网神</w:t>
                  </w:r>
                  <w:r>
                    <w:rPr>
                      <w:rFonts w:ascii="仿宋_GB2312" w:hAnsi="仿宋_GB2312" w:cs="仿宋_GB2312" w:eastAsia="仿宋_GB2312"/>
                      <w:sz w:val="19"/>
                    </w:rPr>
                    <w:t xml:space="preserve">  </w:t>
                  </w:r>
                  <w:r>
                    <w:rPr>
                      <w:rFonts w:ascii="仿宋_GB2312" w:hAnsi="仿宋_GB2312" w:cs="仿宋_GB2312" w:eastAsia="仿宋_GB2312"/>
                      <w:sz w:val="19"/>
                    </w:rPr>
                    <w:t>云安全管理平台软件</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32</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统一身份认证和单点登录</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国民认证</w:t>
                  </w:r>
                  <w:r>
                    <w:rPr>
                      <w:rFonts w:ascii="仿宋_GB2312" w:hAnsi="仿宋_GB2312" w:cs="仿宋_GB2312" w:eastAsia="仿宋_GB2312"/>
                      <w:sz w:val="19"/>
                    </w:rPr>
                    <w:t>基于终端生物识别的网络身份认证系统</w:t>
                  </w:r>
                  <w:r>
                    <w:rPr>
                      <w:rFonts w:ascii="仿宋_GB2312" w:hAnsi="仿宋_GB2312" w:cs="仿宋_GB2312" w:eastAsia="仿宋_GB2312"/>
                      <w:sz w:val="19"/>
                    </w:rPr>
                    <w:t>V1.0</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33</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企业服务总线</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东方通</w:t>
                  </w:r>
                  <w:r>
                    <w:rPr>
                      <w:rFonts w:ascii="仿宋_GB2312" w:hAnsi="仿宋_GB2312" w:cs="仿宋_GB2312" w:eastAsia="仿宋_GB2312"/>
                      <w:sz w:val="19"/>
                    </w:rPr>
                    <w:t>TongESB V5</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34</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应用中间件</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东方通应用服务器软件</w:t>
                  </w:r>
                  <w:r>
                    <w:rPr>
                      <w:rFonts w:ascii="仿宋_GB2312" w:hAnsi="仿宋_GB2312" w:cs="仿宋_GB2312" w:eastAsia="仿宋_GB2312"/>
                      <w:sz w:val="19"/>
                    </w:rPr>
                    <w:t>[简称：TongWeb]V6.1（企业版）</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35</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消息中间件</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东方通消息中间件软件</w:t>
                  </w:r>
                  <w:r>
                    <w:rPr>
                      <w:rFonts w:ascii="仿宋_GB2312" w:hAnsi="仿宋_GB2312" w:cs="仿宋_GB2312" w:eastAsia="仿宋_GB2312"/>
                      <w:sz w:val="19"/>
                    </w:rPr>
                    <w:t>[简称：TongLINK/Q]V8.1</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36</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日志服务与管理系统</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日志易日志搜索分析软件</w:t>
                  </w:r>
                  <w:r>
                    <w:rPr>
                      <w:rFonts w:ascii="仿宋_GB2312" w:hAnsi="仿宋_GB2312" w:cs="仿宋_GB2312" w:eastAsia="仿宋_GB2312"/>
                      <w:sz w:val="19"/>
                    </w:rPr>
                    <w:t>V2.0</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rFonts w:ascii="仿宋_GB2312" w:hAnsi="仿宋_GB2312" w:cs="仿宋_GB2312" w:eastAsia="仿宋_GB2312"/>
              </w:rPr>
              <w:t xml:space="preserve"> </w:t>
            </w:r>
            <w:r>
              <w:rPr>
                <w:rFonts w:ascii="仿宋_GB2312" w:hAnsi="仿宋_GB2312" w:cs="仿宋_GB2312" w:eastAsia="仿宋_GB2312"/>
              </w:rPr>
              <w:t>云平台陕西省交通厅机房软硬件维保清单如下：</w:t>
            </w:r>
          </w:p>
          <w:tbl>
            <w:tblPr>
              <w:tblInd w:type="dxa" w:w="120"/>
              <w:tblBorders>
                <w:top w:val="none" w:color="000000" w:sz="4"/>
                <w:left w:val="none" w:color="000000" w:sz="4"/>
                <w:bottom w:val="none" w:color="000000" w:sz="4"/>
                <w:right w:val="none" w:color="000000" w:sz="4"/>
                <w:insideH w:val="none"/>
                <w:insideV w:val="none"/>
              </w:tblBorders>
            </w:tblPr>
            <w:tblGrid>
              <w:gridCol w:w="252"/>
              <w:gridCol w:w="782"/>
              <w:gridCol w:w="791"/>
              <w:gridCol w:w="243"/>
              <w:gridCol w:w="234"/>
              <w:gridCol w:w="252"/>
            </w:tblGrid>
            <w:tr>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7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设备</w:t>
                  </w:r>
                  <w:r>
                    <w:rPr>
                      <w:rFonts w:ascii="仿宋_GB2312" w:hAnsi="仿宋_GB2312" w:cs="仿宋_GB2312" w:eastAsia="仿宋_GB2312"/>
                      <w:sz w:val="19"/>
                    </w:rPr>
                    <w:t>/软件名称</w:t>
                  </w:r>
                </w:p>
              </w:tc>
              <w:tc>
                <w:tcPr>
                  <w:tcW w:type="dxa" w:w="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品牌型号</w:t>
                  </w: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数量</w:t>
                  </w:r>
                </w:p>
              </w:tc>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单位</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备注</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虚拟化资源池服务器</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浪潮</w:t>
                  </w:r>
                  <w:r>
                    <w:rPr>
                      <w:rFonts w:ascii="仿宋_GB2312" w:hAnsi="仿宋_GB2312" w:cs="仿宋_GB2312" w:eastAsia="仿宋_GB2312"/>
                      <w:sz w:val="19"/>
                    </w:rPr>
                    <w:t>NF8460M4</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12</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台</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地市数据应用服务器</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浪潮</w:t>
                  </w:r>
                  <w:r>
                    <w:rPr>
                      <w:rFonts w:ascii="仿宋_GB2312" w:hAnsi="仿宋_GB2312" w:cs="仿宋_GB2312" w:eastAsia="仿宋_GB2312"/>
                      <w:sz w:val="19"/>
                    </w:rPr>
                    <w:t>NF5280M4</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6</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台</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交换服务器</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浪潮</w:t>
                  </w:r>
                  <w:r>
                    <w:rPr>
                      <w:rFonts w:ascii="仿宋_GB2312" w:hAnsi="仿宋_GB2312" w:cs="仿宋_GB2312" w:eastAsia="仿宋_GB2312"/>
                      <w:sz w:val="19"/>
                    </w:rPr>
                    <w:t>NF5280M4</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18</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台</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磁盘阵列</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宏杉</w:t>
                  </w:r>
                  <w:r>
                    <w:rPr>
                      <w:rFonts w:ascii="仿宋_GB2312" w:hAnsi="仿宋_GB2312" w:cs="仿宋_GB2312" w:eastAsia="仿宋_GB2312"/>
                      <w:sz w:val="19"/>
                    </w:rPr>
                    <w:t>MS3000G2</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台</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5</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地市磁盘阵列</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宏杉</w:t>
                  </w:r>
                  <w:r>
                    <w:rPr>
                      <w:rFonts w:ascii="仿宋_GB2312" w:hAnsi="仿宋_GB2312" w:cs="仿宋_GB2312" w:eastAsia="仿宋_GB2312"/>
                      <w:sz w:val="19"/>
                    </w:rPr>
                    <w:t>MS2500G2-16A</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台</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6</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接入交换机</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新华三</w:t>
                  </w:r>
                  <w:r>
                    <w:rPr>
                      <w:rFonts w:ascii="仿宋_GB2312" w:hAnsi="仿宋_GB2312" w:cs="仿宋_GB2312" w:eastAsia="仿宋_GB2312"/>
                      <w:sz w:val="19"/>
                    </w:rPr>
                    <w:t>S5560-54S-EI</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台</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7</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FC交换机</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新华三</w:t>
                  </w:r>
                  <w:r>
                    <w:rPr>
                      <w:rFonts w:ascii="仿宋_GB2312" w:hAnsi="仿宋_GB2312" w:cs="仿宋_GB2312" w:eastAsia="仿宋_GB2312"/>
                      <w:sz w:val="19"/>
                    </w:rPr>
                    <w:t>S6800-2C</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台</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8</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防火墙</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天融信</w:t>
                  </w:r>
                  <w:r>
                    <w:rPr>
                      <w:rFonts w:ascii="仿宋_GB2312" w:hAnsi="仿宋_GB2312" w:cs="仿宋_GB2312" w:eastAsia="仿宋_GB2312"/>
                      <w:sz w:val="19"/>
                    </w:rPr>
                    <w:t>NGFW-4000-UF（6电口4光口）</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台</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9</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地市接入交换机</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新华三</w:t>
                  </w:r>
                  <w:r>
                    <w:rPr>
                      <w:rFonts w:ascii="仿宋_GB2312" w:hAnsi="仿宋_GB2312" w:cs="仿宋_GB2312" w:eastAsia="仿宋_GB2312"/>
                      <w:sz w:val="19"/>
                    </w:rPr>
                    <w:t>S5130S-28P-EI</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7</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台</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10</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地市防火墙</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天融信</w:t>
                  </w:r>
                  <w:r>
                    <w:rPr>
                      <w:rFonts w:ascii="仿宋_GB2312" w:hAnsi="仿宋_GB2312" w:cs="仿宋_GB2312" w:eastAsia="仿宋_GB2312"/>
                      <w:sz w:val="19"/>
                    </w:rPr>
                    <w:t>NGFW-4000-UF（10电口）</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台</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11</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防病毒软件</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企业终端安全管理系统软件</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套</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12</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虚拟化管理软件</w:t>
                  </w: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vmwarevSphere6Enterprise Plus vmware vCenter Server 6 Standard for vSphere 6</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套</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rFonts w:ascii="仿宋_GB2312" w:hAnsi="仿宋_GB2312" w:cs="仿宋_GB2312" w:eastAsia="仿宋_GB2312"/>
              </w:rPr>
              <w:t>（</w:t>
            </w:r>
            <w:r>
              <w:rPr>
                <w:rFonts w:ascii="仿宋_GB2312" w:hAnsi="仿宋_GB2312" w:cs="仿宋_GB2312" w:eastAsia="仿宋_GB2312"/>
              </w:rPr>
              <w:t>2）专网主干网运维设备主要包括10台专网二级汇聚路由器。需完成交通行业专网网络设备硬件的日常维护保养、硬件(含系统软件)故障的分析排除、设备质保、备件管理和更换，以及网络的优化、调整、配置等工作，保障网络正常运行。</w:t>
            </w:r>
          </w:p>
          <w:p>
            <w:pPr>
              <w:pStyle w:val="null3"/>
            </w:pPr>
            <w:r>
              <w:rPr>
                <w:rFonts w:ascii="仿宋_GB2312" w:hAnsi="仿宋_GB2312" w:cs="仿宋_GB2312" w:eastAsia="仿宋_GB2312"/>
              </w:rPr>
              <w:t>专网主干网软硬件维保清单如下：</w:t>
            </w:r>
          </w:p>
          <w:tbl>
            <w:tblPr>
              <w:tblInd w:type="dxa" w:w="120"/>
              <w:tblBorders>
                <w:top w:val="none" w:color="000000" w:sz="4"/>
                <w:left w:val="none" w:color="000000" w:sz="4"/>
                <w:bottom w:val="none" w:color="000000" w:sz="4"/>
                <w:right w:val="none" w:color="000000" w:sz="4"/>
                <w:insideH w:val="none"/>
                <w:insideV w:val="none"/>
              </w:tblBorders>
            </w:tblPr>
            <w:tblGrid>
              <w:gridCol w:w="301"/>
              <w:gridCol w:w="757"/>
              <w:gridCol w:w="527"/>
              <w:gridCol w:w="527"/>
              <w:gridCol w:w="527"/>
              <w:gridCol w:w="527"/>
            </w:tblGrid>
            <w:tr>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设备</w:t>
                  </w:r>
                  <w:r>
                    <w:rPr>
                      <w:rFonts w:ascii="仿宋_GB2312" w:hAnsi="仿宋_GB2312" w:cs="仿宋_GB2312" w:eastAsia="仿宋_GB2312"/>
                      <w:sz w:val="19"/>
                    </w:rPr>
                    <w:t>/软件名称</w:t>
                  </w:r>
                </w:p>
              </w:tc>
              <w:tc>
                <w:tcPr>
                  <w:tcW w:type="dxa" w:w="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品牌型号</w:t>
                  </w:r>
                </w:p>
              </w:tc>
              <w:tc>
                <w:tcPr>
                  <w:tcW w:type="dxa" w:w="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数量</w:t>
                  </w:r>
                </w:p>
              </w:tc>
              <w:tc>
                <w:tcPr>
                  <w:tcW w:type="dxa" w:w="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单位</w:t>
                  </w:r>
                </w:p>
              </w:tc>
              <w:tc>
                <w:tcPr>
                  <w:tcW w:type="dxa" w:w="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备注</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汇聚</w:t>
                  </w:r>
                  <w:r>
                    <w:rPr>
                      <w:rFonts w:ascii="仿宋_GB2312" w:hAnsi="仿宋_GB2312" w:cs="仿宋_GB2312" w:eastAsia="仿宋_GB2312"/>
                      <w:sz w:val="19"/>
                    </w:rPr>
                    <w:t>路由器</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华为</w:t>
                  </w:r>
                  <w:r>
                    <w:rPr>
                      <w:rFonts w:ascii="仿宋_GB2312" w:hAnsi="仿宋_GB2312" w:cs="仿宋_GB2312" w:eastAsia="仿宋_GB2312"/>
                      <w:sz w:val="19"/>
                    </w:rPr>
                    <w:t>NE20</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10</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台</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日常维护工作</w:t>
            </w:r>
          </w:p>
          <w:p>
            <w:pPr>
              <w:pStyle w:val="null3"/>
            </w:pPr>
            <w:r>
              <w:rPr>
                <w:rFonts w:ascii="仿宋_GB2312" w:hAnsi="仿宋_GB2312" w:cs="仿宋_GB2312" w:eastAsia="仿宋_GB2312"/>
                <w:b/>
              </w:rPr>
              <w:t>（</w:t>
            </w:r>
            <w:r>
              <w:rPr>
                <w:rFonts w:ascii="仿宋_GB2312" w:hAnsi="仿宋_GB2312" w:cs="仿宋_GB2312" w:eastAsia="仿宋_GB2312"/>
                <w:b/>
              </w:rPr>
              <w:t>1）云服务部署与配置</w:t>
            </w:r>
          </w:p>
          <w:p>
            <w:pPr>
              <w:pStyle w:val="null3"/>
            </w:pPr>
            <w:r>
              <w:rPr>
                <w:rFonts w:ascii="仿宋_GB2312" w:hAnsi="仿宋_GB2312" w:cs="仿宋_GB2312" w:eastAsia="仿宋_GB2312"/>
              </w:rPr>
              <w:t>根据业务需求配置网络和存储资源，确保服务的稳定性、可扩展性和高可用性。</w:t>
            </w:r>
          </w:p>
          <w:p>
            <w:pPr>
              <w:pStyle w:val="null3"/>
            </w:pPr>
            <w:r>
              <w:rPr>
                <w:rFonts w:ascii="仿宋_GB2312" w:hAnsi="仿宋_GB2312" w:cs="仿宋_GB2312" w:eastAsia="仿宋_GB2312"/>
                <w:b/>
              </w:rPr>
              <w:t>（</w:t>
            </w:r>
            <w:r>
              <w:rPr>
                <w:rFonts w:ascii="仿宋_GB2312" w:hAnsi="仿宋_GB2312" w:cs="仿宋_GB2312" w:eastAsia="仿宋_GB2312"/>
                <w:b/>
              </w:rPr>
              <w:t>2）系统监控与维护</w:t>
            </w:r>
          </w:p>
          <w:p>
            <w:pPr>
              <w:pStyle w:val="null3"/>
            </w:pPr>
            <w:r>
              <w:rPr>
                <w:rFonts w:ascii="仿宋_GB2312" w:hAnsi="仿宋_GB2312" w:cs="仿宋_GB2312" w:eastAsia="仿宋_GB2312"/>
              </w:rPr>
              <w:t>系统监控是云服务运维的核心工作之一。通过部署各种监控工具和日志收集系统，实时收集和分析云服务的运行状态、性能指标、错误日志等信息。一旦发现异常，立即进行干预，确保系统的稳定运行。定期进行系统维护，如更新操作系统和软件包、清理日志文件、检查磁盘空间等。</w:t>
            </w:r>
          </w:p>
          <w:p>
            <w:pPr>
              <w:pStyle w:val="null3"/>
            </w:pPr>
            <w:r>
              <w:rPr>
                <w:rFonts w:ascii="仿宋_GB2312" w:hAnsi="仿宋_GB2312" w:cs="仿宋_GB2312" w:eastAsia="仿宋_GB2312"/>
                <w:b/>
              </w:rPr>
              <w:t>（</w:t>
            </w:r>
            <w:r>
              <w:rPr>
                <w:rFonts w:ascii="仿宋_GB2312" w:hAnsi="仿宋_GB2312" w:cs="仿宋_GB2312" w:eastAsia="仿宋_GB2312"/>
                <w:b/>
              </w:rPr>
              <w:t>3）性能优化与调整</w:t>
            </w:r>
          </w:p>
          <w:p>
            <w:pPr>
              <w:pStyle w:val="null3"/>
            </w:pPr>
            <w:r>
              <w:rPr>
                <w:rFonts w:ascii="仿宋_GB2312" w:hAnsi="仿宋_GB2312" w:cs="仿宋_GB2312" w:eastAsia="仿宋_GB2312"/>
              </w:rPr>
              <w:t>针对运行过程中出现的性能瓶颈进行性能优化与调整。包括但不限于优化数据库查询、调整系统参数、升级硬件资源、优化网络配置等。通过持续的优化和调整，提升云服务的性能和响应时间，为用户提供更好的服务体验。</w:t>
            </w:r>
          </w:p>
          <w:p>
            <w:pPr>
              <w:pStyle w:val="null3"/>
            </w:pPr>
            <w:r>
              <w:rPr>
                <w:rFonts w:ascii="仿宋_GB2312" w:hAnsi="仿宋_GB2312" w:cs="仿宋_GB2312" w:eastAsia="仿宋_GB2312"/>
                <w:b/>
              </w:rPr>
              <w:t>（</w:t>
            </w:r>
            <w:r>
              <w:rPr>
                <w:rFonts w:ascii="仿宋_GB2312" w:hAnsi="仿宋_GB2312" w:cs="仿宋_GB2312" w:eastAsia="仿宋_GB2312"/>
                <w:b/>
              </w:rPr>
              <w:t>4）故障诊断与排除</w:t>
            </w:r>
          </w:p>
          <w:p>
            <w:pPr>
              <w:pStyle w:val="null3"/>
            </w:pPr>
            <w:r>
              <w:rPr>
                <w:rFonts w:ascii="仿宋_GB2312" w:hAnsi="仿宋_GB2312" w:cs="仿宋_GB2312" w:eastAsia="仿宋_GB2312"/>
              </w:rPr>
              <w:t>出现故障时，迅速进行故障诊断与排除。建立完善的故障应对机制，确保在故障发生时能够迅速响应和恢复服务。</w:t>
            </w:r>
          </w:p>
          <w:p>
            <w:pPr>
              <w:pStyle w:val="null3"/>
            </w:pPr>
            <w:r>
              <w:rPr>
                <w:rFonts w:ascii="仿宋_GB2312" w:hAnsi="仿宋_GB2312" w:cs="仿宋_GB2312" w:eastAsia="仿宋_GB2312"/>
                <w:b/>
              </w:rPr>
              <w:t>（</w:t>
            </w:r>
            <w:r>
              <w:rPr>
                <w:rFonts w:ascii="仿宋_GB2312" w:hAnsi="仿宋_GB2312" w:cs="仿宋_GB2312" w:eastAsia="仿宋_GB2312"/>
                <w:b/>
              </w:rPr>
              <w:t>5）数据备份与恢复</w:t>
            </w:r>
          </w:p>
          <w:p>
            <w:pPr>
              <w:pStyle w:val="null3"/>
            </w:pPr>
            <w:r>
              <w:rPr>
                <w:rFonts w:ascii="仿宋_GB2312" w:hAnsi="仿宋_GB2312" w:cs="仿宋_GB2312" w:eastAsia="仿宋_GB2312"/>
              </w:rPr>
              <w:t>定期备份重要数据，并确保备份数据的完整性和可用性。同时建立数据恢复机制，以便在数据丢失或损坏时能够迅速恢复。这对于保障业务连续性和数据安全至关重要。</w:t>
            </w:r>
          </w:p>
          <w:p>
            <w:pPr>
              <w:pStyle w:val="null3"/>
            </w:pPr>
            <w:r>
              <w:rPr>
                <w:rFonts w:ascii="仿宋_GB2312" w:hAnsi="仿宋_GB2312" w:cs="仿宋_GB2312" w:eastAsia="仿宋_GB2312"/>
                <w:b/>
              </w:rPr>
              <w:t>（</w:t>
            </w:r>
            <w:r>
              <w:rPr>
                <w:rFonts w:ascii="仿宋_GB2312" w:hAnsi="仿宋_GB2312" w:cs="仿宋_GB2312" w:eastAsia="仿宋_GB2312"/>
                <w:b/>
              </w:rPr>
              <w:t>6）安全管理与防护</w:t>
            </w:r>
          </w:p>
          <w:p>
            <w:pPr>
              <w:pStyle w:val="null3"/>
            </w:pPr>
            <w:r>
              <w:rPr>
                <w:rFonts w:ascii="仿宋_GB2312" w:hAnsi="仿宋_GB2312" w:cs="仿宋_GB2312" w:eastAsia="仿宋_GB2312"/>
              </w:rPr>
              <w:t>关注网络安全、主机安全、数据安全等方面，采取多种措施防范安全威胁。包括但不限于部署防火墙、配置安全组、启用加密通信、定期更新安全补丁等。定期进行安全审计和风险评估，确保云服务的安全稳定。</w:t>
            </w:r>
          </w:p>
          <w:p>
            <w:pPr>
              <w:pStyle w:val="null3"/>
            </w:pPr>
            <w:r>
              <w:rPr>
                <w:rFonts w:ascii="仿宋_GB2312" w:hAnsi="仿宋_GB2312" w:cs="仿宋_GB2312" w:eastAsia="仿宋_GB2312"/>
                <w:b/>
              </w:rPr>
              <w:t>（</w:t>
            </w:r>
            <w:r>
              <w:rPr>
                <w:rFonts w:ascii="仿宋_GB2312" w:hAnsi="仿宋_GB2312" w:cs="仿宋_GB2312" w:eastAsia="仿宋_GB2312"/>
                <w:b/>
              </w:rPr>
              <w:t>7）容量规划与扩展</w:t>
            </w:r>
          </w:p>
          <w:p>
            <w:pPr>
              <w:pStyle w:val="null3"/>
            </w:pPr>
            <w:r>
              <w:rPr>
                <w:rFonts w:ascii="仿宋_GB2312" w:hAnsi="仿宋_GB2312" w:cs="仿宋_GB2312" w:eastAsia="仿宋_GB2312"/>
              </w:rPr>
              <w:t>随着业务的发展，云服务的容量需求可能会不断增长。根据业务需求预测未来的资源需求，提前进行资源准备和扩容操作。同时，我们还要关注资源的利用情况和性能瓶颈，及时进行资源调整和优化。通过合理的容量规划与扩展，确保云服务能够满足业务发展的需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云平台资源优化工作</w:t>
            </w:r>
          </w:p>
          <w:p>
            <w:pPr>
              <w:pStyle w:val="null3"/>
            </w:pPr>
            <w:r>
              <w:rPr>
                <w:rFonts w:ascii="仿宋_GB2312" w:hAnsi="仿宋_GB2312" w:cs="仿宋_GB2312" w:eastAsia="仿宋_GB2312"/>
              </w:rPr>
              <w:t>根据业务需求，为</w:t>
            </w:r>
            <w:r>
              <w:rPr>
                <w:rFonts w:ascii="仿宋_GB2312" w:hAnsi="仿宋_GB2312" w:cs="仿宋_GB2312" w:eastAsia="仿宋_GB2312"/>
              </w:rPr>
              <w:t>采购人</w:t>
            </w:r>
            <w:r>
              <w:rPr>
                <w:rFonts w:ascii="仿宋_GB2312" w:hAnsi="仿宋_GB2312" w:cs="仿宋_GB2312" w:eastAsia="仿宋_GB2312"/>
              </w:rPr>
              <w:t>提供云平台的优化和资源管理优化服务实施工作，进一步提升云平台的稳定性和利用率。</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b/>
              </w:rPr>
              <w:t>服务指标</w:t>
            </w:r>
          </w:p>
          <w:p>
            <w:pPr>
              <w:pStyle w:val="null3"/>
            </w:pPr>
            <w:r>
              <w:rPr>
                <w:rFonts w:ascii="仿宋_GB2312" w:hAnsi="仿宋_GB2312" w:cs="仿宋_GB2312" w:eastAsia="仿宋_GB2312"/>
              </w:rPr>
              <w:t>（</w:t>
            </w:r>
            <w:r>
              <w:rPr>
                <w:rFonts w:ascii="仿宋_GB2312" w:hAnsi="仿宋_GB2312" w:cs="仿宋_GB2312" w:eastAsia="仿宋_GB2312"/>
              </w:rPr>
              <w:t>1）每周7×24小时，全年保持电话及时响应。</w:t>
            </w:r>
          </w:p>
          <w:p>
            <w:pPr>
              <w:pStyle w:val="null3"/>
            </w:pPr>
            <w:r>
              <w:rPr>
                <w:rFonts w:ascii="仿宋_GB2312" w:hAnsi="仿宋_GB2312" w:cs="仿宋_GB2312" w:eastAsia="仿宋_GB2312"/>
              </w:rPr>
              <w:t>（</w:t>
            </w:r>
            <w:r>
              <w:rPr>
                <w:rFonts w:ascii="仿宋_GB2312" w:hAnsi="仿宋_GB2312" w:cs="仿宋_GB2312" w:eastAsia="仿宋_GB2312"/>
              </w:rPr>
              <w:t>2）对维护的计算、网络、存储、安全等设备（以下简称“设备”）硬件可能随时发生的一般故障，在接到故障申告时起，1小时内到达省信息化中心5楼机房，紧急故障在接到故障申告后30分钟内到达中心机房。</w:t>
            </w:r>
          </w:p>
          <w:p>
            <w:pPr>
              <w:pStyle w:val="null3"/>
            </w:pPr>
            <w:r>
              <w:rPr>
                <w:rFonts w:ascii="仿宋_GB2312" w:hAnsi="仿宋_GB2312" w:cs="仿宋_GB2312" w:eastAsia="仿宋_GB2312"/>
              </w:rPr>
              <w:t>（</w:t>
            </w:r>
            <w:r>
              <w:rPr>
                <w:rFonts w:ascii="仿宋_GB2312" w:hAnsi="仿宋_GB2312" w:cs="仿宋_GB2312" w:eastAsia="仿宋_GB2312"/>
              </w:rPr>
              <w:t>3）维护方到达故障现场时起，故障诊断时间不超过1小时。非运营商链路中断造成的故障，系统恢复运行时间不超过2小时。</w:t>
            </w:r>
          </w:p>
          <w:p>
            <w:pPr>
              <w:pStyle w:val="null3"/>
            </w:pPr>
            <w:r>
              <w:rPr>
                <w:rFonts w:ascii="仿宋_GB2312" w:hAnsi="仿宋_GB2312" w:cs="仿宋_GB2312" w:eastAsia="仿宋_GB2312"/>
              </w:rPr>
              <w:t>（</w:t>
            </w:r>
            <w:r>
              <w:rPr>
                <w:rFonts w:ascii="仿宋_GB2312" w:hAnsi="仿宋_GB2312" w:cs="仿宋_GB2312" w:eastAsia="仿宋_GB2312"/>
              </w:rPr>
              <w:t>4）如需要更换备件，在接到故障申告时起，1小时内备件到达故障现场，部分特殊订制备件到场时间不超过14天，从备件到场时起，更换备件作业时间不超过2小时。</w:t>
            </w:r>
          </w:p>
          <w:p>
            <w:pPr>
              <w:pStyle w:val="null3"/>
            </w:pPr>
            <w:r>
              <w:rPr>
                <w:rFonts w:ascii="仿宋_GB2312" w:hAnsi="仿宋_GB2312" w:cs="仿宋_GB2312" w:eastAsia="仿宋_GB2312"/>
              </w:rPr>
              <w:t>（</w:t>
            </w:r>
            <w:r>
              <w:rPr>
                <w:rFonts w:ascii="仿宋_GB2312" w:hAnsi="仿宋_GB2312" w:cs="仿宋_GB2312" w:eastAsia="仿宋_GB2312"/>
              </w:rPr>
              <w:t>5）每月一次对现场所维护的设备硬件进行常规检测，并详细记录检测内容和结果。对随时发现的故障和不合理的使用进行解决和纠正。对所有设备进行运行日志分析，发现潜在的硬件故障，并着手对故障进行解决。</w:t>
            </w:r>
          </w:p>
          <w:p>
            <w:pPr>
              <w:pStyle w:val="null3"/>
            </w:pPr>
            <w:r>
              <w:rPr>
                <w:rFonts w:ascii="仿宋_GB2312" w:hAnsi="仿宋_GB2312" w:cs="仿宋_GB2312" w:eastAsia="仿宋_GB2312"/>
              </w:rPr>
              <w:t>（</w:t>
            </w:r>
            <w:r>
              <w:rPr>
                <w:rFonts w:ascii="仿宋_GB2312" w:hAnsi="仿宋_GB2312" w:cs="仿宋_GB2312" w:eastAsia="仿宋_GB2312"/>
              </w:rPr>
              <w:t>6）每两个月一次派遣技术专家对维护的所有设备硬件进行常规检测，并详细记录检测内容和结果。对发现的故障隐患和不合理内容进行处理。</w:t>
            </w:r>
          </w:p>
          <w:p>
            <w:pPr>
              <w:pStyle w:val="null3"/>
            </w:pPr>
            <w:r>
              <w:rPr>
                <w:rFonts w:ascii="仿宋_GB2312" w:hAnsi="仿宋_GB2312" w:cs="仿宋_GB2312" w:eastAsia="仿宋_GB2312"/>
              </w:rPr>
              <w:t>（</w:t>
            </w:r>
            <w:r>
              <w:rPr>
                <w:rFonts w:ascii="仿宋_GB2312" w:hAnsi="仿宋_GB2312" w:cs="仿宋_GB2312" w:eastAsia="仿宋_GB2312"/>
              </w:rPr>
              <w:t>7）对本次维护的所有设备硬件的故障排除、运行监测、检测和备件更换等所有操作都应有文字记录；每月1日以简报方式向</w:t>
            </w:r>
            <w:r>
              <w:rPr>
                <w:rFonts w:ascii="仿宋_GB2312" w:hAnsi="仿宋_GB2312" w:cs="仿宋_GB2312" w:eastAsia="仿宋_GB2312"/>
              </w:rPr>
              <w:t>采购人</w:t>
            </w:r>
            <w:r>
              <w:rPr>
                <w:rFonts w:ascii="仿宋_GB2312" w:hAnsi="仿宋_GB2312" w:cs="仿宋_GB2312" w:eastAsia="仿宋_GB2312"/>
              </w:rPr>
              <w:t>相关负责人提交上月维护报告；年末汇报总结全年的维护情况。</w:t>
            </w:r>
          </w:p>
          <w:p>
            <w:pPr>
              <w:pStyle w:val="null3"/>
            </w:pPr>
            <w:r>
              <w:rPr>
                <w:rFonts w:ascii="仿宋_GB2312" w:hAnsi="仿宋_GB2312" w:cs="仿宋_GB2312" w:eastAsia="仿宋_GB2312"/>
              </w:rPr>
              <w:t>（</w:t>
            </w:r>
            <w:r>
              <w:rPr>
                <w:rFonts w:ascii="仿宋_GB2312" w:hAnsi="仿宋_GB2312" w:cs="仿宋_GB2312" w:eastAsia="仿宋_GB2312"/>
              </w:rPr>
              <w:t>8）每两</w:t>
            </w:r>
            <w:r>
              <w:rPr>
                <w:rFonts w:ascii="仿宋_GB2312" w:hAnsi="仿宋_GB2312" w:cs="仿宋_GB2312" w:eastAsia="仿宋_GB2312"/>
              </w:rPr>
              <w:t>个</w:t>
            </w:r>
            <w:r>
              <w:rPr>
                <w:rFonts w:ascii="仿宋_GB2312" w:hAnsi="仿宋_GB2312" w:cs="仿宋_GB2312" w:eastAsia="仿宋_GB2312"/>
              </w:rPr>
              <w:t>月打扫一次中心机房和机柜内部灰尘。每年两次清理本次合同范围内的所有网络设备、安全设备硬件机箱内部的灰尘。</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0"/>
                <w:b/>
              </w:rPr>
              <w:t>预提交成果</w:t>
            </w:r>
          </w:p>
          <w:p>
            <w:pPr>
              <w:pStyle w:val="null3"/>
              <w:jc w:val="both"/>
            </w:pPr>
            <w:r>
              <w:rPr>
                <w:rFonts w:ascii="仿宋_GB2312" w:hAnsi="仿宋_GB2312" w:cs="仿宋_GB2312" w:eastAsia="仿宋_GB2312"/>
                <w:sz w:val="20"/>
              </w:rPr>
              <w:t>故障分析与排除报告：对于发生的每一次硬件（含系统软件）故障，提交详细的故障分析报告，包括故障现象描述、诊断过程、根本原因分析及采取的解决措施。</w:t>
            </w:r>
          </w:p>
          <w:p>
            <w:pPr>
              <w:pStyle w:val="null3"/>
            </w:pPr>
            <w:r>
              <w:rPr>
                <w:rFonts w:ascii="仿宋_GB2312" w:hAnsi="仿宋_GB2312" w:cs="仿宋_GB2312" w:eastAsia="仿宋_GB2312"/>
                <w:sz w:val="20"/>
              </w:rPr>
              <w:t>设备监测与备件管理台账：所有网络设备、安全设备硬件的故障排除、运行监测、检测和备件更换等所有操作都应有文字记录，建立备件库存清单，包括备件种类、数量、存放位置及更换记录，确保关键备件充足且易于获取。</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本次项目整体的运维工作将采用驻场外包的服务模式，运维形式将采用常规人员驻场（1名项目经理+2名运维工程师驻场）和二线技术支撑相互结合的服务模式。</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2026年7月8日至2027年7月7日。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（1）投标人需参加采购人组织的运维单位考核，按照《陕西省交通运行监测中心信息化系统运维服务考核办法》执行。（2）合同期满，运维项目必须通过采购人验收。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其他，合同签订后投标人必须提供相应发票给采购人，达到付款条件起10个工作日内，支付合同总金额的100.0%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1.按《中华人民共和国民法典》中的相关条款和本合同的约定执行。 2.未按合同或政府采购招投标文件要求提供产品、服务，或供应的产品、服务质量不能满足采购人技术要求，经书面告知在合理期限内整改但仍不予调整的，采购人有权终止合同，并有权对投标人违约行为进行追究。 3.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 4.采购人的违约责任：采购人因自身原因不按合同约定向投标人付款，每逾期一天，须按迟延付款额的0.01%向投标人支付延期付款的违约金。采购人不按照合同约定提供相关资料及其它协作事项的，应提前7日书面通知投标人，项目完成时间予以顺延。 5.投标人的违约责任：投标人未按照本合同约定保质保量提供产品或服务，经采购人催告后履行仍不符合合同约定的，采购人有权解除本合同，同时有权要求投标人按照合同价款的10%承担违约金。采购人维权支付的诉讼费、保全费、律师费等费用由投标人承担。合同履行期限结束，投标人未能按期完成服务期限的内容，投标人应继续履行自身义务直至符合合同约定。同时从合同履行期限届满之日开始起算，每逾期一天按合同总金额的0.03%向采购人支付违约金。 若本项目经采购人验收不合格，采购人有权要求投标人在10日内整改完善，投标人必须予以整改完善。因此导致成果逾期提交的，履行期限不予顺延，每逾期一天，应按合同总金额的0.03%向采购人支付违约金；限期补充完善仍未达到采购人要求的，采购人有权单方解除合同，投标人除应承担上述逾期违约金外，还应赔偿因此给采购人造成的实际损失（例如：鉴定费、委托第三方为采购人提供完善项目所产生的费用、项目建设进度顺延给采购人造成的损失、诉讼费、律师费等），赔偿金额原则上不超过本合同总金额的30%，但采购人的实际损失超过合同总金额30%的，投标人应当承担补足责任。 甲乙双方任何一方违反保密义务的，违约方应向对方支付合同总金额10%的违约金，违约金不足以弥补对方损失的还应当承担补足责任。 投标人没有采购人的书面同意转让合同或将项目的全部或部分分包或转包出去，采购人可向投标人发出书面违约通知书，提出终止部分或全部合同。若采购人部分终止合同的，投标人应继续履行合同其他义务，并按照合同金额的10%支付违约金。若采购人全部终止合同的，投标人应按合同总金额30%的支付违约金。同时采购人的实际损失超过合同总金额30%的，投标人应当承担补足责任。 投标人违反合同约定的其它责任、义务视为违约，需向采购人支付合同总价款的30%违约金。同时采购人的实际损失超过合同总金额30%的，投标人应当承担补足责任。 合同争议的解决：合同执行中发生争议的，当事人双方应协商解决，协商达不成一致时，可向采购人所在地人民法院提请诉讼。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3.4.1安全保密：签订《交通云平台及专网主干网设备维护保密协议》，确保信息安全。 3.4.2.质量标准：符合国家及行业质量验收合格标准。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其他资格证明文件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评标委员会认为投标人投标报价明显低于市场价格，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其他资格证明文件 投标函 中小企业声明函 残疾人福利性单位声明函 投标文件封面 商务要求应答表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（1）投标报价符合唯一性要求； （2）投标报价表填写符合要求；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符合招标文件第三章“3.3商务要求”。</w:t>
            </w:r>
          </w:p>
        </w:tc>
        <w:tc>
          <w:tcPr>
            <w:tcW w:type="dxa" w:w="1661"/>
          </w:tcPr>
          <w:p>
            <w:pPr>
              <w:pStyle w:val="null3"/>
            </w:pPr>
            <w:r>
              <w:rPr>
                <w:rFonts w:ascii="仿宋_GB2312" w:hAnsi="仿宋_GB2312" w:cs="仿宋_GB2312" w:eastAsia="仿宋_GB2312"/>
              </w:rPr>
              <w:t>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投标人应满足招标文件的实质性要求，也不得存在招标文件规定的无效情形。</w:t>
            </w:r>
          </w:p>
        </w:tc>
        <w:tc>
          <w:tcPr>
            <w:tcW w:type="dxa" w:w="1661"/>
          </w:tcPr>
          <w:p>
            <w:pPr>
              <w:pStyle w:val="null3"/>
            </w:pPr>
            <w:r>
              <w:rPr>
                <w:rFonts w:ascii="仿宋_GB2312" w:hAnsi="仿宋_GB2312" w:cs="仿宋_GB2312" w:eastAsia="仿宋_GB2312"/>
              </w:rPr>
              <w:t>开标一览表 分项报价表 响应承诺书 中小企业声明函 投标人应提交的相关资格证明材料 政府采购供应商拒绝政府采购领域商业贿赂承诺书 其他资格证明文件 投标函 残疾人福利性单位声明函 投标人业绩一览表 服务方案 投标文件封面 商务要求应答表 监狱企业的证明文件 人员明细表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项目总体分析</w:t>
            </w:r>
          </w:p>
        </w:tc>
        <w:tc>
          <w:tcPr>
            <w:tcW w:type="dxa" w:w="2492"/>
          </w:tcPr>
          <w:p>
            <w:pPr>
              <w:pStyle w:val="null3"/>
            </w:pPr>
            <w:r>
              <w:rPr>
                <w:rFonts w:ascii="仿宋_GB2312" w:hAnsi="仿宋_GB2312" w:cs="仿宋_GB2312" w:eastAsia="仿宋_GB2312"/>
              </w:rPr>
              <w:t>对交通云平台及专网主干网现状熟悉，能清晰分析计算、存储、网络、安全以及云管平台等系统的现状；同时对本项目需求理解深入。根据投标人提供的内容的完整性及合理性进行赋分。 1.对现状需求分析科学合理、理解透彻、内容完整，得10分； 2.对现状需求分析内容均有所涉及但分析不透彻，合理性有所欠缺得7分； 3.对现状需求分析不符合本项目要求，内容短缺，得4分； 4.未提供或其他情况不得分。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根据投标人的维保服务工作，提出确保设备、系统安全可靠的安全策略、措施和步骤进行综合评审： 1.安全体系完整，安全策略及措施步骤内容全面清楚，得6分； 2.具有安全体系、安全策略及措施步骤，内容不全面，有欠缺，得4分； 3.内容不贴合项目情况，缺项严重，得2分； 4.未提供或其他情况不得分。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为使用单位培训操作维护人员，包含维护方法、故障排除等，制定培训课程计划表。 1.培训方案科学合理、规范，可操作性强得7分； 2.培训方案基本合理，可操作性一般得5分； 3.培训方案简略，可操作性差得3分； 4.未提供或其他情况不得分。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运维服务体系方案</w:t>
            </w:r>
          </w:p>
        </w:tc>
        <w:tc>
          <w:tcPr>
            <w:tcW w:type="dxa" w:w="2492"/>
          </w:tcPr>
          <w:p>
            <w:pPr>
              <w:pStyle w:val="null3"/>
            </w:pPr>
            <w:r>
              <w:rPr>
                <w:rFonts w:ascii="仿宋_GB2312" w:hAnsi="仿宋_GB2312" w:cs="仿宋_GB2312" w:eastAsia="仿宋_GB2312"/>
              </w:rPr>
              <w:t>根据投标人提供的运维服务体系方案设计合理、架构完整、层次清楚，（包括但不限于日常维护保养、硬件（含系统软件）故障的分析排除、设备质保、备件管理和更换，以及系统的优化建议、调整、配置等工作保障其正常运行方面）进行评审： 1.服务方案内容科学合理、切实可行、有针对性，完全满足项目采购要求，得15分； 2.服务方案内容比较明确、有较好的可操作性，能基本满足项目采购要求，得10分； 3.服务方案内容不够全面完善、针对性较差，部分满足项目采购要求，得5分； 4.未提供或其他情况不得分。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运维服务质量保障措施</w:t>
            </w:r>
          </w:p>
        </w:tc>
        <w:tc>
          <w:tcPr>
            <w:tcW w:type="dxa" w:w="2492"/>
          </w:tcPr>
          <w:p>
            <w:pPr>
              <w:pStyle w:val="null3"/>
            </w:pPr>
            <w:r>
              <w:rPr>
                <w:rFonts w:ascii="仿宋_GB2312" w:hAnsi="仿宋_GB2312" w:cs="仿宋_GB2312" w:eastAsia="仿宋_GB2312"/>
              </w:rPr>
              <w:t>根据投标人提供的质量保证措施内容进行赋分： 1.保障措施全面具体，科学合理，专业化程度高，能够充分保障运维服务质量，得7分； 2.保障措施较全面，具有一定的保障力度，得5分； 3.提供保障措施，措施内容不详细，缺乏保障力度，得3分； 4.未提供或其他情况不得分。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实施保障方案</w:t>
            </w:r>
          </w:p>
        </w:tc>
        <w:tc>
          <w:tcPr>
            <w:tcW w:type="dxa" w:w="2492"/>
          </w:tcPr>
          <w:p>
            <w:pPr>
              <w:pStyle w:val="null3"/>
            </w:pPr>
            <w:r>
              <w:rPr>
                <w:rFonts w:ascii="仿宋_GB2312" w:hAnsi="仿宋_GB2312" w:cs="仿宋_GB2312" w:eastAsia="仿宋_GB2312"/>
              </w:rPr>
              <w:t>投标人项目实施保障工作有序、到位，针对用户业务现状提供有效、可行的业务连续性方案： 1.实施保障工作满足采购需求，得7分； 2.实施保障工作有待加强，得5分； 3.实施保障工作差不全面，得3分； 4.未提供或其他情况不得分。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根据投标人对服务范围制订应急处置方案进行综合评审： 1.应急预案科学合理、针对性强得6分； 2.应急预案合理性、针对性一般得4分； 3.应急预案合理性、针对性不足的得2分； 4.未提供或其他情况不得分。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针对本项目提供的售后服务方案（包括但不限于售后服务范围和内容、售后服务人员的配备、服务能力、服务效率、服务标准、服务承诺等方面）进行评审： 1.售后服务方案详细、完整、科学、合理、可行性高，完全满足采购要求的，得7分； 2.售后服务方案比较详细、完整、科学、合理，可行性较高，满足采购要求的，得5分； 3.售后服务方案不够详细、完整、科学、合理，可行性较差，部分满足采购要求的，得3分； 4.未提供或其他情况不得分。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项目经理（驻场1名）</w:t>
            </w:r>
          </w:p>
        </w:tc>
        <w:tc>
          <w:tcPr>
            <w:tcW w:type="dxa" w:w="2492"/>
          </w:tcPr>
          <w:p>
            <w:pPr>
              <w:pStyle w:val="null3"/>
            </w:pPr>
            <w:r>
              <w:rPr>
                <w:rFonts w:ascii="仿宋_GB2312" w:hAnsi="仿宋_GB2312" w:cs="仿宋_GB2312" w:eastAsia="仿宋_GB2312"/>
              </w:rPr>
              <w:t>具有与本项目相关专业的高级及以上工程师职称得5分；具有与本项目相关专业的中级工程师职称得2分。注:提供身份证、职称证书复印件、提供近一年内任意1个月社保缴纳证明材料，资料不齐全不得分。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人员明细表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项目经理业绩（驻场1名）</w:t>
            </w:r>
          </w:p>
        </w:tc>
        <w:tc>
          <w:tcPr>
            <w:tcW w:type="dxa" w:w="2492"/>
          </w:tcPr>
          <w:p>
            <w:pPr>
              <w:pStyle w:val="null3"/>
            </w:pPr>
            <w:r>
              <w:rPr>
                <w:rFonts w:ascii="仿宋_GB2312" w:hAnsi="仿宋_GB2312" w:cs="仿宋_GB2312" w:eastAsia="仿宋_GB2312"/>
              </w:rPr>
              <w:t>2023年1月1日至投标文件递交截止时间(以合同签订时间为准)具有1个同类项目业绩，得4分。注:项目经理业绩以合同复印件或甲方提供的盖章证明材料为准(需体现项目经理姓名）。</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人员明细表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运维工程师（驻场2名）</w:t>
            </w:r>
          </w:p>
        </w:tc>
        <w:tc>
          <w:tcPr>
            <w:tcW w:type="dxa" w:w="2492"/>
          </w:tcPr>
          <w:p>
            <w:pPr>
              <w:pStyle w:val="null3"/>
            </w:pPr>
            <w:r>
              <w:rPr>
                <w:rFonts w:ascii="仿宋_GB2312" w:hAnsi="仿宋_GB2312" w:cs="仿宋_GB2312" w:eastAsia="仿宋_GB2312"/>
              </w:rPr>
              <w:t>每有1人具有计算机网络相关专业的工程师职称或中级及以上网络工程师证书、网络运维工程师证书得3分。 注：提供身份证、证书复印件及近一年内任意1个月社保缴纳证明材料，资料不齐全不得分。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人员明细表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投标人提供2023年1月1日至投标文件递交截止时间（以合同签订时间为准）类似项目业绩，每提供1份得2分，满分10分。 注：以投标文件中提供的合同复印件为准。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满足招标文件要求且最低的投标报价为评标基准价，其价格分为满分。 各投标人的报价得分按下列公式计算： 报价得分=（评标基准价/投标报价）×10。 投标报价不完整的，不计入评标基准价的计算，本项得0分。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符合《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详见附件：其他资格证明文件</w:t>
      </w:r>
    </w:p>
    <w:p>
      <w:pPr>
        <w:pStyle w:val="null3"/>
        <w:ind w:firstLine="960"/>
      </w:pPr>
      <w:r>
        <w:rPr>
          <w:rFonts w:ascii="仿宋_GB2312" w:hAnsi="仿宋_GB2312" w:cs="仿宋_GB2312" w:eastAsia="仿宋_GB2312"/>
        </w:rPr>
        <w:t>详见附件：商务要求应答表</w:t>
      </w:r>
    </w:p>
    <w:p>
      <w:pPr>
        <w:pStyle w:val="null3"/>
        <w:ind w:firstLine="960"/>
      </w:pPr>
      <w:r>
        <w:rPr>
          <w:rFonts w:ascii="仿宋_GB2312" w:hAnsi="仿宋_GB2312" w:cs="仿宋_GB2312" w:eastAsia="仿宋_GB2312"/>
        </w:rPr>
        <w:t>详见附件：投标人业绩一览表</w:t>
      </w:r>
    </w:p>
    <w:p>
      <w:pPr>
        <w:pStyle w:val="null3"/>
        <w:ind w:firstLine="960"/>
      </w:pPr>
      <w:r>
        <w:rPr>
          <w:rFonts w:ascii="仿宋_GB2312" w:hAnsi="仿宋_GB2312" w:cs="仿宋_GB2312" w:eastAsia="仿宋_GB2312"/>
        </w:rPr>
        <w:t>详见附件：响应承诺书</w:t>
      </w:r>
    </w:p>
    <w:p>
      <w:pPr>
        <w:pStyle w:val="null3"/>
        <w:ind w:firstLine="960"/>
      </w:pPr>
      <w:r>
        <w:rPr>
          <w:rFonts w:ascii="仿宋_GB2312" w:hAnsi="仿宋_GB2312" w:cs="仿宋_GB2312" w:eastAsia="仿宋_GB2312"/>
        </w:rPr>
        <w:t>详见附件：人员明细表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