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83951">
      <w:pPr>
        <w:adjustRightInd/>
        <w:spacing w:line="240" w:lineRule="auto"/>
        <w:jc w:val="center"/>
        <w:outlineLvl w:val="1"/>
        <w:rPr>
          <w:rFonts w:ascii="仿宋" w:hAnsi="仿宋" w:eastAsia="仿宋" w:cs="仿宋"/>
          <w:b/>
          <w:bCs/>
          <w:sz w:val="28"/>
          <w:szCs w:val="28"/>
        </w:rPr>
      </w:pPr>
      <w:r>
        <w:rPr>
          <w:rFonts w:hint="eastAsia" w:ascii="仿宋" w:hAnsi="仿宋" w:eastAsia="仿宋" w:cs="仿宋"/>
          <w:b/>
          <w:bCs/>
          <w:sz w:val="28"/>
          <w:szCs w:val="28"/>
        </w:rPr>
        <w:t>商务及合同主要条款</w:t>
      </w:r>
    </w:p>
    <w:tbl>
      <w:tblPr>
        <w:tblStyle w:val="3"/>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169FE80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12B76B58">
            <w:pPr>
              <w:adjustRightInd w:val="0"/>
              <w:spacing w:line="500" w:lineRule="exact"/>
              <w:rPr>
                <w:rFonts w:ascii="仿宋" w:hAnsi="仿宋" w:eastAsia="仿宋" w:cs="仿宋"/>
                <w:sz w:val="28"/>
                <w:szCs w:val="28"/>
              </w:rPr>
            </w:pPr>
            <w:r>
              <w:rPr>
                <w:rFonts w:hint="eastAsia" w:ascii="仿宋" w:hAnsi="仿宋" w:eastAsia="仿宋" w:cs="仿宋"/>
                <w:sz w:val="28"/>
                <w:szCs w:val="28"/>
              </w:rPr>
              <w:t>条款号</w:t>
            </w:r>
          </w:p>
        </w:tc>
        <w:tc>
          <w:tcPr>
            <w:tcW w:w="7301" w:type="dxa"/>
            <w:vAlign w:val="center"/>
          </w:tcPr>
          <w:p w14:paraId="3299369A">
            <w:pPr>
              <w:adjustRightInd w:val="0"/>
              <w:spacing w:line="500" w:lineRule="exact"/>
              <w:jc w:val="center"/>
              <w:rPr>
                <w:rFonts w:ascii="仿宋" w:hAnsi="仿宋" w:eastAsia="仿宋" w:cs="仿宋"/>
                <w:sz w:val="28"/>
                <w:szCs w:val="28"/>
              </w:rPr>
            </w:pPr>
            <w:r>
              <w:rPr>
                <w:rFonts w:hint="eastAsia" w:ascii="仿宋" w:hAnsi="仿宋" w:eastAsia="仿宋" w:cs="仿宋"/>
                <w:b/>
                <w:bCs/>
                <w:sz w:val="28"/>
                <w:szCs w:val="28"/>
              </w:rPr>
              <w:t>内      容</w:t>
            </w:r>
          </w:p>
        </w:tc>
      </w:tr>
      <w:tr w14:paraId="1D156E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020F6256">
            <w:pPr>
              <w:adjustRightInd w:val="0"/>
              <w:spacing w:line="500" w:lineRule="exact"/>
              <w:jc w:val="center"/>
              <w:rPr>
                <w:rFonts w:ascii="仿宋" w:hAnsi="仿宋" w:eastAsia="仿宋" w:cs="仿宋"/>
                <w:sz w:val="28"/>
                <w:szCs w:val="28"/>
              </w:rPr>
            </w:pPr>
            <w:r>
              <w:rPr>
                <w:rFonts w:hint="eastAsia" w:ascii="仿宋" w:hAnsi="仿宋" w:eastAsia="仿宋" w:cs="仿宋"/>
                <w:sz w:val="28"/>
                <w:szCs w:val="28"/>
              </w:rPr>
              <w:t>1</w:t>
            </w:r>
          </w:p>
        </w:tc>
        <w:tc>
          <w:tcPr>
            <w:tcW w:w="7301" w:type="dxa"/>
            <w:vAlign w:val="center"/>
          </w:tcPr>
          <w:p w14:paraId="1B754EB5">
            <w:pPr>
              <w:adjustRightInd w:val="0"/>
              <w:spacing w:line="50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服务地点：陕西省西安市</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指定地点。</w:t>
            </w:r>
          </w:p>
        </w:tc>
      </w:tr>
      <w:tr w14:paraId="6447C7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5ECE93D4">
            <w:pPr>
              <w:adjustRightInd w:val="0"/>
              <w:spacing w:line="500" w:lineRule="exact"/>
              <w:jc w:val="center"/>
              <w:rPr>
                <w:rFonts w:ascii="仿宋" w:hAnsi="仿宋" w:eastAsia="仿宋" w:cs="仿宋"/>
                <w:sz w:val="28"/>
                <w:szCs w:val="28"/>
              </w:rPr>
            </w:pPr>
            <w:r>
              <w:rPr>
                <w:rFonts w:hint="eastAsia" w:ascii="仿宋" w:hAnsi="仿宋" w:eastAsia="仿宋" w:cs="仿宋"/>
                <w:sz w:val="28"/>
                <w:szCs w:val="28"/>
              </w:rPr>
              <w:t>2</w:t>
            </w:r>
          </w:p>
        </w:tc>
        <w:tc>
          <w:tcPr>
            <w:tcW w:w="7301" w:type="dxa"/>
            <w:vAlign w:val="center"/>
          </w:tcPr>
          <w:p w14:paraId="0F235C11">
            <w:pPr>
              <w:adjustRightInd w:val="0"/>
              <w:spacing w:line="50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服务期限：2026年7月8日至2027年7月7日。</w:t>
            </w:r>
          </w:p>
        </w:tc>
      </w:tr>
      <w:tr w14:paraId="092507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1276C37C">
            <w:pPr>
              <w:adjustRightInd w:val="0"/>
              <w:spacing w:line="500" w:lineRule="exact"/>
              <w:jc w:val="center"/>
              <w:rPr>
                <w:rFonts w:ascii="仿宋" w:hAnsi="仿宋" w:eastAsia="仿宋" w:cs="仿宋"/>
                <w:sz w:val="28"/>
                <w:szCs w:val="28"/>
              </w:rPr>
            </w:pPr>
            <w:r>
              <w:rPr>
                <w:rFonts w:hint="eastAsia" w:ascii="仿宋" w:hAnsi="仿宋" w:eastAsia="仿宋" w:cs="仿宋"/>
                <w:sz w:val="28"/>
                <w:szCs w:val="28"/>
              </w:rPr>
              <w:t>3</w:t>
            </w:r>
          </w:p>
        </w:tc>
        <w:tc>
          <w:tcPr>
            <w:tcW w:w="7301" w:type="dxa"/>
            <w:vAlign w:val="center"/>
          </w:tcPr>
          <w:p w14:paraId="7D6ABADD">
            <w:pPr>
              <w:adjustRightInd w:val="0"/>
              <w:spacing w:line="500" w:lineRule="exact"/>
              <w:rPr>
                <w:rFonts w:ascii="仿宋" w:hAnsi="仿宋" w:eastAsia="仿宋" w:cs="仿宋"/>
                <w:sz w:val="28"/>
                <w:szCs w:val="28"/>
              </w:rPr>
            </w:pPr>
            <w:r>
              <w:rPr>
                <w:rFonts w:hint="eastAsia" w:ascii="仿宋" w:hAnsi="仿宋" w:eastAsia="仿宋" w:cs="仿宋"/>
                <w:sz w:val="28"/>
                <w:szCs w:val="28"/>
              </w:rPr>
              <w:t>付款程序及付款方式：</w:t>
            </w:r>
          </w:p>
          <w:p w14:paraId="5AB3A78A">
            <w:pPr>
              <w:adjustRightInd w:val="0"/>
              <w:spacing w:line="500" w:lineRule="exact"/>
              <w:rPr>
                <w:rFonts w:ascii="仿宋" w:hAnsi="仿宋" w:eastAsia="仿宋" w:cs="仿宋"/>
                <w:sz w:val="28"/>
                <w:szCs w:val="28"/>
              </w:rPr>
            </w:pPr>
            <w:r>
              <w:rPr>
                <w:rFonts w:hint="eastAsia" w:ascii="仿宋" w:hAnsi="仿宋" w:eastAsia="仿宋" w:cs="仿宋"/>
                <w:sz w:val="28"/>
                <w:szCs w:val="28"/>
              </w:rPr>
              <w:t>（1）银行转账。</w:t>
            </w:r>
          </w:p>
          <w:p w14:paraId="5B2ED0DB">
            <w:pPr>
              <w:adjustRightInd w:val="0"/>
              <w:spacing w:line="500" w:lineRule="exact"/>
              <w:rPr>
                <w:rFonts w:hint="eastAsia" w:ascii="仿宋" w:hAnsi="仿宋" w:eastAsia="仿宋" w:cs="仿宋"/>
                <w:sz w:val="28"/>
                <w:szCs w:val="28"/>
                <w:highlight w:val="yellow"/>
                <w:lang w:eastAsia="zh-CN"/>
              </w:rPr>
            </w:pPr>
            <w:r>
              <w:rPr>
                <w:rFonts w:hint="eastAsia" w:ascii="仿宋" w:hAnsi="仿宋" w:eastAsia="仿宋" w:cs="仿宋"/>
                <w:sz w:val="28"/>
                <w:szCs w:val="28"/>
              </w:rPr>
              <w:t>（2）合同签订后</w:t>
            </w:r>
            <w:r>
              <w:rPr>
                <w:rFonts w:hint="eastAsia" w:ascii="仿宋" w:hAnsi="仿宋" w:eastAsia="仿宋" w:cs="仿宋"/>
                <w:sz w:val="28"/>
                <w:szCs w:val="28"/>
                <w:lang w:val="en-US" w:eastAsia="zh-CN"/>
              </w:rPr>
              <w:t>乙方</w:t>
            </w:r>
            <w:r>
              <w:rPr>
                <w:rFonts w:hint="eastAsia" w:ascii="仿宋" w:hAnsi="仿宋" w:eastAsia="仿宋" w:cs="仿宋"/>
                <w:sz w:val="28"/>
                <w:szCs w:val="28"/>
              </w:rPr>
              <w:t>必须提供相应发票给</w:t>
            </w:r>
            <w:r>
              <w:rPr>
                <w:rFonts w:hint="eastAsia" w:ascii="仿宋" w:hAnsi="仿宋" w:eastAsia="仿宋" w:cs="仿宋"/>
                <w:sz w:val="28"/>
                <w:szCs w:val="28"/>
                <w:lang w:val="en-US" w:eastAsia="zh-CN"/>
              </w:rPr>
              <w:t>甲方</w:t>
            </w:r>
            <w:r>
              <w:rPr>
                <w:rFonts w:hint="eastAsia" w:ascii="仿宋" w:hAnsi="仿宋" w:eastAsia="仿宋" w:cs="仿宋"/>
                <w:sz w:val="28"/>
                <w:szCs w:val="28"/>
              </w:rPr>
              <w:t>，达到付款条件起1</w:t>
            </w:r>
            <w:r>
              <w:rPr>
                <w:rFonts w:hint="eastAsia" w:ascii="仿宋" w:hAnsi="仿宋" w:eastAsia="仿宋" w:cs="仿宋"/>
                <w:sz w:val="28"/>
                <w:szCs w:val="28"/>
                <w:lang w:val="en-US" w:eastAsia="zh-CN"/>
              </w:rPr>
              <w:t>0个工作</w:t>
            </w:r>
            <w:r>
              <w:rPr>
                <w:rFonts w:hint="eastAsia" w:ascii="仿宋" w:hAnsi="仿宋" w:eastAsia="仿宋" w:cs="仿宋"/>
                <w:sz w:val="28"/>
                <w:szCs w:val="28"/>
              </w:rPr>
              <w:t>日内，支付合同总金额的100.00%。</w:t>
            </w:r>
          </w:p>
          <w:p w14:paraId="3DABECEF">
            <w:pPr>
              <w:adjustRightInd w:val="0"/>
              <w:spacing w:line="500" w:lineRule="exact"/>
              <w:rPr>
                <w:rFonts w:ascii="仿宋" w:hAnsi="仿宋" w:eastAsia="仿宋" w:cs="仿宋"/>
                <w:sz w:val="28"/>
                <w:szCs w:val="28"/>
              </w:rPr>
            </w:pPr>
            <w:r>
              <w:rPr>
                <w:rFonts w:hint="eastAsia" w:ascii="仿宋" w:hAnsi="仿宋" w:eastAsia="仿宋" w:cs="仿宋"/>
                <w:sz w:val="28"/>
                <w:szCs w:val="28"/>
              </w:rPr>
              <w:t xml:space="preserve">乙方开户行：                  </w:t>
            </w:r>
          </w:p>
          <w:p w14:paraId="761D6286">
            <w:pPr>
              <w:adjustRightInd w:val="0"/>
              <w:spacing w:line="500" w:lineRule="exact"/>
              <w:rPr>
                <w:rFonts w:ascii="仿宋" w:hAnsi="仿宋" w:eastAsia="仿宋" w:cs="仿宋"/>
                <w:sz w:val="28"/>
                <w:szCs w:val="28"/>
              </w:rPr>
            </w:pPr>
            <w:r>
              <w:rPr>
                <w:rFonts w:hint="eastAsia" w:ascii="仿宋" w:hAnsi="仿宋" w:eastAsia="仿宋" w:cs="仿宋"/>
                <w:sz w:val="28"/>
                <w:szCs w:val="28"/>
              </w:rPr>
              <w:t xml:space="preserve">乙方户  名：                  </w:t>
            </w:r>
          </w:p>
          <w:p w14:paraId="2FFACACA">
            <w:pPr>
              <w:adjustRightInd w:val="0"/>
              <w:spacing w:line="500" w:lineRule="exact"/>
              <w:rPr>
                <w:rFonts w:ascii="仿宋" w:hAnsi="仿宋" w:eastAsia="仿宋" w:cs="仿宋"/>
                <w:sz w:val="28"/>
                <w:szCs w:val="28"/>
              </w:rPr>
            </w:pPr>
            <w:r>
              <w:rPr>
                <w:rFonts w:hint="eastAsia" w:ascii="仿宋" w:hAnsi="仿宋" w:eastAsia="仿宋" w:cs="仿宋"/>
                <w:sz w:val="28"/>
                <w:szCs w:val="28"/>
              </w:rPr>
              <w:t xml:space="preserve">乙方账  号：                  </w:t>
            </w:r>
          </w:p>
        </w:tc>
      </w:tr>
      <w:tr w14:paraId="047DDE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2DA3E7F6">
            <w:pPr>
              <w:adjustRightInd w:val="0"/>
              <w:spacing w:line="500" w:lineRule="exact"/>
              <w:jc w:val="center"/>
              <w:rPr>
                <w:rFonts w:ascii="仿宋" w:hAnsi="仿宋" w:eastAsia="仿宋" w:cs="仿宋"/>
                <w:sz w:val="28"/>
                <w:szCs w:val="28"/>
              </w:rPr>
            </w:pPr>
            <w:r>
              <w:rPr>
                <w:rFonts w:hint="eastAsia" w:ascii="仿宋" w:hAnsi="仿宋" w:eastAsia="仿宋" w:cs="仿宋"/>
                <w:sz w:val="28"/>
                <w:szCs w:val="28"/>
              </w:rPr>
              <w:t>4</w:t>
            </w:r>
          </w:p>
        </w:tc>
        <w:tc>
          <w:tcPr>
            <w:tcW w:w="7301" w:type="dxa"/>
            <w:vAlign w:val="center"/>
          </w:tcPr>
          <w:p w14:paraId="5BC20EB5">
            <w:pPr>
              <w:adjustRightInd w:val="0"/>
              <w:spacing w:line="500" w:lineRule="exact"/>
              <w:rPr>
                <w:rFonts w:ascii="仿宋" w:hAnsi="仿宋" w:eastAsia="仿宋" w:cs="仿宋"/>
                <w:sz w:val="28"/>
                <w:szCs w:val="28"/>
              </w:rPr>
            </w:pPr>
            <w:r>
              <w:rPr>
                <w:rFonts w:hint="eastAsia" w:ascii="仿宋" w:hAnsi="仿宋" w:eastAsia="仿宋" w:cs="仿宋"/>
                <w:sz w:val="28"/>
                <w:szCs w:val="28"/>
              </w:rPr>
              <w:t>知识产权：</w:t>
            </w:r>
          </w:p>
          <w:p w14:paraId="5EC021D2">
            <w:pPr>
              <w:adjustRightInd w:val="0"/>
              <w:spacing w:line="500" w:lineRule="exact"/>
              <w:rPr>
                <w:rFonts w:ascii="仿宋" w:hAnsi="仿宋" w:eastAsia="仿宋" w:cs="仿宋"/>
                <w:sz w:val="28"/>
                <w:szCs w:val="28"/>
              </w:rPr>
            </w:pPr>
            <w:r>
              <w:rPr>
                <w:rFonts w:hint="eastAsia" w:ascii="仿宋" w:hAnsi="仿宋" w:eastAsia="仿宋" w:cs="仿宋"/>
                <w:sz w:val="28"/>
                <w:szCs w:val="28"/>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承</w:t>
            </w:r>
            <w:r>
              <w:rPr>
                <w:rFonts w:hint="eastAsia" w:ascii="仿宋" w:hAnsi="仿宋" w:eastAsia="仿宋" w:cs="仿宋"/>
                <w:sz w:val="28"/>
                <w:szCs w:val="28"/>
                <w:lang w:val="en-US" w:eastAsia="zh-CN"/>
              </w:rPr>
              <w:t>担</w:t>
            </w:r>
            <w:r>
              <w:rPr>
                <w:rFonts w:hint="eastAsia" w:ascii="仿宋" w:hAnsi="仿宋" w:eastAsia="仿宋" w:cs="仿宋"/>
                <w:sz w:val="28"/>
                <w:szCs w:val="28"/>
              </w:rPr>
              <w:t>。</w:t>
            </w:r>
          </w:p>
        </w:tc>
      </w:tr>
    </w:tbl>
    <w:p w14:paraId="35287DD6">
      <w:pPr>
        <w:adjustRightInd/>
        <w:spacing w:line="360" w:lineRule="auto"/>
        <w:rPr>
          <w:rFonts w:ascii="仿宋" w:hAnsi="仿宋" w:eastAsia="仿宋" w:cs="仿宋"/>
          <w:sz w:val="28"/>
          <w:szCs w:val="28"/>
          <w:lang w:eastAsia="zh-Hans"/>
        </w:rPr>
      </w:pPr>
    </w:p>
    <w:p w14:paraId="738F2D62">
      <w:pPr>
        <w:adjustRightInd/>
        <w:spacing w:line="240" w:lineRule="auto"/>
        <w:rPr>
          <w:rFonts w:ascii="仿宋" w:hAnsi="仿宋" w:eastAsia="仿宋" w:cs="仿宋_GB2312"/>
          <w:sz w:val="28"/>
          <w:szCs w:val="28"/>
        </w:rPr>
      </w:pPr>
      <w:r>
        <w:rPr>
          <w:rFonts w:hint="eastAsia" w:ascii="仿宋" w:hAnsi="仿宋" w:eastAsia="仿宋" w:cs="仿宋_GB2312"/>
          <w:sz w:val="28"/>
          <w:szCs w:val="28"/>
        </w:rPr>
        <w:br w:type="page"/>
      </w:r>
    </w:p>
    <w:p w14:paraId="644A86CB">
      <w:pPr>
        <w:adjustRightInd/>
        <w:spacing w:line="240" w:lineRule="auto"/>
        <w:jc w:val="left"/>
        <w:rPr>
          <w:rFonts w:ascii="仿宋" w:hAnsi="仿宋" w:eastAsia="仿宋" w:cs="仿宋"/>
          <w:b/>
          <w:bCs/>
          <w:sz w:val="28"/>
          <w:szCs w:val="28"/>
        </w:rPr>
      </w:pPr>
      <w:r>
        <w:rPr>
          <w:rFonts w:hint="eastAsia" w:ascii="仿宋" w:hAnsi="仿宋" w:eastAsia="仿宋" w:cs="仿宋"/>
          <w:b/>
          <w:bCs/>
          <w:sz w:val="28"/>
          <w:szCs w:val="28"/>
        </w:rPr>
        <w:t>政府采购合同                        合同编号：</w:t>
      </w:r>
    </w:p>
    <w:p w14:paraId="608F659A">
      <w:pPr>
        <w:adjustRightInd/>
        <w:spacing w:line="240" w:lineRule="auto"/>
        <w:jc w:val="left"/>
        <w:rPr>
          <w:rFonts w:ascii="仿宋" w:hAnsi="仿宋" w:eastAsia="仿宋" w:cs="仿宋"/>
          <w:b/>
          <w:bCs/>
          <w:sz w:val="28"/>
          <w:szCs w:val="28"/>
        </w:rPr>
      </w:pPr>
    </w:p>
    <w:p w14:paraId="331721C7">
      <w:pPr>
        <w:adjustRightInd/>
        <w:spacing w:line="240" w:lineRule="auto"/>
        <w:jc w:val="left"/>
        <w:rPr>
          <w:rFonts w:ascii="仿宋" w:hAnsi="仿宋" w:eastAsia="仿宋" w:cs="仿宋"/>
          <w:b/>
          <w:bCs/>
          <w:sz w:val="28"/>
          <w:szCs w:val="28"/>
        </w:rPr>
      </w:pPr>
    </w:p>
    <w:p w14:paraId="0B10A09A">
      <w:pPr>
        <w:adjustRightInd/>
        <w:spacing w:line="240" w:lineRule="auto"/>
        <w:jc w:val="left"/>
        <w:rPr>
          <w:rFonts w:ascii="仿宋" w:hAnsi="仿宋" w:eastAsia="仿宋" w:cs="仿宋"/>
          <w:sz w:val="28"/>
          <w:szCs w:val="28"/>
        </w:rPr>
      </w:pPr>
    </w:p>
    <w:p w14:paraId="416970C9">
      <w:pPr>
        <w:adjustRightInd/>
        <w:spacing w:line="240" w:lineRule="auto"/>
        <w:jc w:val="center"/>
        <w:rPr>
          <w:rFonts w:ascii="仿宋" w:hAnsi="仿宋" w:eastAsia="仿宋" w:cs="仿宋"/>
          <w:b/>
          <w:bCs/>
          <w:sz w:val="44"/>
          <w:szCs w:val="44"/>
        </w:rPr>
      </w:pPr>
      <w:r>
        <w:rPr>
          <w:rFonts w:hint="eastAsia" w:ascii="仿宋" w:hAnsi="仿宋" w:eastAsia="仿宋" w:cs="仿宋"/>
          <w:b/>
          <w:bCs/>
          <w:sz w:val="44"/>
          <w:szCs w:val="44"/>
        </w:rPr>
        <w:t>采购项目</w:t>
      </w:r>
    </w:p>
    <w:p w14:paraId="6FC2DBAF">
      <w:pPr>
        <w:adjustRightInd/>
        <w:spacing w:line="240" w:lineRule="auto"/>
        <w:rPr>
          <w:rFonts w:ascii="仿宋" w:hAnsi="仿宋" w:eastAsia="仿宋" w:cs="仿宋"/>
          <w:sz w:val="28"/>
          <w:szCs w:val="28"/>
        </w:rPr>
      </w:pPr>
    </w:p>
    <w:p w14:paraId="45D331AD">
      <w:pPr>
        <w:adjustRightInd/>
        <w:spacing w:line="240" w:lineRule="auto"/>
        <w:rPr>
          <w:rFonts w:ascii="仿宋" w:hAnsi="仿宋" w:eastAsia="仿宋" w:cs="仿宋"/>
          <w:sz w:val="28"/>
          <w:szCs w:val="28"/>
        </w:rPr>
      </w:pPr>
    </w:p>
    <w:p w14:paraId="220C5789">
      <w:pPr>
        <w:adjustRightInd/>
        <w:spacing w:line="240" w:lineRule="auto"/>
        <w:jc w:val="left"/>
        <w:rPr>
          <w:rFonts w:ascii="仿宋" w:hAnsi="仿宋" w:eastAsia="仿宋" w:cs="仿宋"/>
          <w:sz w:val="28"/>
          <w:szCs w:val="28"/>
        </w:rPr>
      </w:pPr>
    </w:p>
    <w:p w14:paraId="51C06703">
      <w:pPr>
        <w:adjustRightInd/>
        <w:spacing w:line="240" w:lineRule="auto"/>
        <w:jc w:val="left"/>
        <w:rPr>
          <w:rFonts w:ascii="仿宋" w:hAnsi="仿宋" w:eastAsia="仿宋" w:cs="仿宋"/>
          <w:sz w:val="28"/>
          <w:szCs w:val="28"/>
        </w:rPr>
      </w:pPr>
    </w:p>
    <w:p w14:paraId="1685EFA6">
      <w:pPr>
        <w:adjustRightInd/>
        <w:spacing w:line="240" w:lineRule="auto"/>
        <w:rPr>
          <w:rFonts w:ascii="仿宋" w:hAnsi="仿宋" w:eastAsia="仿宋" w:cs="仿宋"/>
          <w:sz w:val="28"/>
          <w:szCs w:val="28"/>
        </w:rPr>
      </w:pPr>
    </w:p>
    <w:p w14:paraId="391CF91F">
      <w:pPr>
        <w:adjustRightInd/>
        <w:spacing w:line="240" w:lineRule="auto"/>
        <w:rPr>
          <w:rFonts w:ascii="仿宋" w:hAnsi="仿宋" w:eastAsia="仿宋" w:cs="仿宋"/>
          <w:sz w:val="28"/>
          <w:szCs w:val="28"/>
        </w:rPr>
      </w:pPr>
    </w:p>
    <w:p w14:paraId="6F89F0E2">
      <w:pPr>
        <w:adjustRightInd/>
        <w:spacing w:line="240" w:lineRule="auto"/>
        <w:jc w:val="center"/>
        <w:rPr>
          <w:rFonts w:ascii="仿宋" w:hAnsi="仿宋" w:eastAsia="仿宋" w:cs="仿宋"/>
          <w:b/>
          <w:sz w:val="28"/>
          <w:szCs w:val="28"/>
        </w:rPr>
      </w:pPr>
    </w:p>
    <w:p w14:paraId="196AD998">
      <w:pPr>
        <w:adjustRightInd/>
        <w:spacing w:line="240" w:lineRule="auto"/>
        <w:rPr>
          <w:rFonts w:ascii="仿宋" w:hAnsi="仿宋" w:eastAsia="仿宋" w:cs="仿宋"/>
          <w:b/>
          <w:sz w:val="28"/>
          <w:szCs w:val="28"/>
        </w:rPr>
      </w:pPr>
    </w:p>
    <w:p w14:paraId="7A0E76D6">
      <w:pPr>
        <w:adjustRightInd/>
        <w:spacing w:line="240" w:lineRule="auto"/>
        <w:jc w:val="center"/>
        <w:rPr>
          <w:rFonts w:ascii="仿宋" w:hAnsi="仿宋" w:eastAsia="仿宋" w:cs="仿宋"/>
          <w:b/>
          <w:sz w:val="28"/>
          <w:szCs w:val="28"/>
        </w:rPr>
      </w:pPr>
    </w:p>
    <w:p w14:paraId="08BDE3FA">
      <w:pPr>
        <w:adjustRightInd/>
        <w:spacing w:line="240" w:lineRule="auto"/>
        <w:rPr>
          <w:rFonts w:ascii="仿宋" w:hAnsi="仿宋" w:eastAsia="仿宋" w:cs="仿宋"/>
          <w:b/>
          <w:sz w:val="28"/>
          <w:szCs w:val="28"/>
        </w:rPr>
      </w:pPr>
    </w:p>
    <w:p w14:paraId="059354E9">
      <w:pPr>
        <w:adjustRightInd/>
        <w:spacing w:before="156" w:beforeLines="50" w:line="360" w:lineRule="auto"/>
        <w:rPr>
          <w:rFonts w:ascii="仿宋" w:hAnsi="仿宋" w:eastAsia="仿宋" w:cs="仿宋"/>
          <w:bCs/>
          <w:sz w:val="28"/>
          <w:szCs w:val="28"/>
        </w:rPr>
      </w:pPr>
    </w:p>
    <w:p w14:paraId="7BD604E9">
      <w:pPr>
        <w:adjustRightInd/>
        <w:spacing w:before="156" w:beforeLines="50" w:line="360" w:lineRule="auto"/>
        <w:ind w:firstLine="1386" w:firstLineChars="493"/>
        <w:jc w:val="left"/>
        <w:rPr>
          <w:rFonts w:ascii="仿宋" w:hAnsi="仿宋" w:eastAsia="仿宋" w:cs="仿宋"/>
          <w:sz w:val="28"/>
          <w:szCs w:val="28"/>
          <w:u w:val="single"/>
        </w:rPr>
      </w:pPr>
      <w:r>
        <w:rPr>
          <w:rFonts w:hint="eastAsia" w:ascii="仿宋" w:hAnsi="仿宋" w:eastAsia="仿宋" w:cs="仿宋"/>
          <w:b/>
          <w:bCs/>
          <w:sz w:val="28"/>
          <w:szCs w:val="28"/>
        </w:rPr>
        <w:t>采购人：</w:t>
      </w:r>
    </w:p>
    <w:p w14:paraId="7A948155">
      <w:pPr>
        <w:adjustRightInd/>
        <w:spacing w:before="156" w:beforeLines="50" w:line="360" w:lineRule="auto"/>
        <w:ind w:firstLine="1386" w:firstLineChars="493"/>
        <w:jc w:val="left"/>
        <w:rPr>
          <w:rFonts w:ascii="仿宋" w:hAnsi="仿宋" w:eastAsia="仿宋" w:cs="仿宋"/>
          <w:b/>
          <w:bCs/>
          <w:sz w:val="28"/>
          <w:szCs w:val="28"/>
        </w:rPr>
      </w:pPr>
      <w:r>
        <w:rPr>
          <w:rFonts w:hint="eastAsia" w:ascii="仿宋" w:hAnsi="仿宋" w:eastAsia="仿宋" w:cs="仿宋"/>
          <w:b/>
          <w:bCs/>
          <w:sz w:val="28"/>
          <w:szCs w:val="28"/>
        </w:rPr>
        <w:t>供应商：</w:t>
      </w:r>
    </w:p>
    <w:p w14:paraId="15D83835">
      <w:pPr>
        <w:adjustRightInd/>
        <w:spacing w:line="240" w:lineRule="auto"/>
        <w:jc w:val="center"/>
        <w:rPr>
          <w:rFonts w:ascii="仿宋" w:hAnsi="仿宋" w:eastAsia="仿宋" w:cs="Times New Roman"/>
          <w:sz w:val="28"/>
          <w:szCs w:val="28"/>
        </w:rPr>
      </w:pPr>
      <w:r>
        <w:rPr>
          <w:rFonts w:hint="eastAsia" w:ascii="仿宋" w:hAnsi="仿宋" w:eastAsia="仿宋" w:cs="仿宋"/>
          <w:b/>
          <w:bCs/>
          <w:sz w:val="28"/>
          <w:szCs w:val="28"/>
        </w:rPr>
        <w:t>二〇二</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年  月</w:t>
      </w:r>
      <w:r>
        <w:rPr>
          <w:rFonts w:hint="eastAsia" w:ascii="仿宋" w:hAnsi="仿宋" w:eastAsia="仿宋" w:cs="仿宋"/>
          <w:b/>
          <w:bCs/>
          <w:sz w:val="28"/>
          <w:szCs w:val="28"/>
        </w:rPr>
        <w:br w:type="page"/>
      </w:r>
    </w:p>
    <w:p w14:paraId="7EAC4C9A">
      <w:pPr>
        <w:adjustRightInd w:val="0"/>
        <w:snapToGrid w:val="0"/>
        <w:spacing w:line="500" w:lineRule="exact"/>
        <w:ind w:firstLine="562" w:firstLineChars="200"/>
        <w:rPr>
          <w:rFonts w:ascii="仿宋" w:hAnsi="仿宋" w:eastAsia="仿宋" w:cs="仿宋"/>
          <w:b/>
          <w:sz w:val="28"/>
          <w:szCs w:val="28"/>
        </w:rPr>
      </w:pPr>
      <w:r>
        <w:rPr>
          <w:rFonts w:hint="eastAsia" w:ascii="仿宋" w:hAnsi="仿宋" w:eastAsia="仿宋" w:cs="仿宋"/>
          <w:b/>
          <w:sz w:val="28"/>
          <w:szCs w:val="28"/>
        </w:rPr>
        <w:t>采购人（甲方）：</w:t>
      </w:r>
      <w:r>
        <w:rPr>
          <w:rFonts w:hint="eastAsia" w:ascii="仿宋" w:hAnsi="仿宋" w:eastAsia="仿宋" w:cs="仿宋"/>
          <w:b/>
          <w:sz w:val="28"/>
          <w:szCs w:val="28"/>
          <w:u w:val="single"/>
        </w:rPr>
        <w:t>陕西省交通运行监测中心</w:t>
      </w:r>
    </w:p>
    <w:p w14:paraId="31E8038F">
      <w:pPr>
        <w:adjustRightInd w:val="0"/>
        <w:snapToGrid w:val="0"/>
        <w:spacing w:line="500" w:lineRule="exact"/>
        <w:ind w:firstLine="562" w:firstLineChars="200"/>
        <w:rPr>
          <w:rFonts w:ascii="仿宋" w:hAnsi="仿宋" w:eastAsia="仿宋" w:cs="仿宋"/>
          <w:sz w:val="28"/>
          <w:szCs w:val="28"/>
          <w:u w:val="single"/>
        </w:rPr>
      </w:pPr>
      <w:r>
        <w:rPr>
          <w:rFonts w:hint="eastAsia" w:ascii="仿宋" w:hAnsi="仿宋" w:eastAsia="仿宋" w:cs="仿宋"/>
          <w:b/>
          <w:sz w:val="28"/>
          <w:szCs w:val="28"/>
        </w:rPr>
        <w:t>供应商（乙方）：</w:t>
      </w:r>
    </w:p>
    <w:p w14:paraId="4589524F">
      <w:pPr>
        <w:adjustRightInd w:val="0"/>
        <w:snapToGrid w:val="0"/>
        <w:spacing w:line="50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根据《中华人民共和国民法典》及其他有关法律、法规，遵循平等、自愿、公平和诚信的原则，双方就下述项目范围与相关服务事项协商一致，订立本合同。</w:t>
      </w:r>
    </w:p>
    <w:p w14:paraId="63B961C8">
      <w:pPr>
        <w:adjustRightInd/>
        <w:spacing w:line="500" w:lineRule="exact"/>
        <w:rPr>
          <w:rFonts w:ascii="仿宋" w:hAnsi="仿宋" w:eastAsia="仿宋" w:cs="仿宋"/>
          <w:b/>
          <w:sz w:val="28"/>
          <w:szCs w:val="28"/>
        </w:rPr>
      </w:pPr>
      <w:r>
        <w:rPr>
          <w:rFonts w:hint="eastAsia" w:ascii="仿宋" w:hAnsi="仿宋" w:eastAsia="仿宋" w:cs="仿宋"/>
          <w:b/>
          <w:sz w:val="28"/>
          <w:szCs w:val="28"/>
        </w:rPr>
        <w:t>一、项目概况</w:t>
      </w:r>
    </w:p>
    <w:p w14:paraId="0A4EEF69">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rPr>
        <w:t>1.项目</w:t>
      </w:r>
      <w:r>
        <w:rPr>
          <w:rFonts w:hint="eastAsia" w:ascii="仿宋" w:hAnsi="仿宋" w:eastAsia="仿宋" w:cs="仿宋"/>
          <w:sz w:val="28"/>
          <w:szCs w:val="28"/>
          <w:highlight w:val="none"/>
        </w:rPr>
        <w:t>名称：</w:t>
      </w:r>
      <w:r>
        <w:rPr>
          <w:rFonts w:hint="eastAsia" w:ascii="仿宋" w:hAnsi="仿宋" w:eastAsia="仿宋" w:cs="仿宋"/>
          <w:sz w:val="28"/>
          <w:szCs w:val="28"/>
          <w:highlight w:val="none"/>
          <w:u w:val="single"/>
          <w:lang w:eastAsia="zh-CN"/>
        </w:rPr>
        <w:t>交通云平台及专网主干网设备维护</w:t>
      </w:r>
      <w:r>
        <w:rPr>
          <w:rFonts w:hint="eastAsia" w:ascii="仿宋" w:hAnsi="仿宋" w:eastAsia="仿宋" w:cs="仿宋"/>
          <w:sz w:val="28"/>
          <w:szCs w:val="28"/>
          <w:highlight w:val="none"/>
        </w:rPr>
        <w:t>；</w:t>
      </w:r>
    </w:p>
    <w:p w14:paraId="2135071B">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highlight w:val="none"/>
        </w:rPr>
        <w:t>2.项目地点：</w:t>
      </w:r>
      <w:r>
        <w:rPr>
          <w:rFonts w:hint="eastAsia" w:ascii="仿宋" w:hAnsi="仿宋" w:eastAsia="仿宋" w:cs="仿宋"/>
          <w:sz w:val="28"/>
          <w:szCs w:val="28"/>
          <w:highlight w:val="none"/>
          <w:u w:val="single"/>
        </w:rPr>
        <w:t>陕西省西安市</w:t>
      </w:r>
      <w:r>
        <w:rPr>
          <w:rFonts w:hint="eastAsia" w:ascii="仿宋" w:hAnsi="仿宋" w:eastAsia="仿宋" w:cs="仿宋"/>
          <w:sz w:val="28"/>
          <w:szCs w:val="28"/>
          <w:highlight w:val="none"/>
          <w:u w:val="single"/>
          <w:lang w:val="en-US" w:eastAsia="zh-CN"/>
        </w:rPr>
        <w:t>甲方</w:t>
      </w:r>
      <w:r>
        <w:rPr>
          <w:rFonts w:hint="eastAsia" w:ascii="仿宋" w:hAnsi="仿宋" w:eastAsia="仿宋" w:cs="仿宋"/>
          <w:sz w:val="28"/>
          <w:szCs w:val="28"/>
          <w:highlight w:val="none"/>
          <w:u w:val="single"/>
        </w:rPr>
        <w:t>指定地点</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w:t>
      </w:r>
    </w:p>
    <w:p w14:paraId="161976B3">
      <w:pPr>
        <w:adjustRightInd/>
        <w:spacing w:line="500" w:lineRule="exact"/>
        <w:rPr>
          <w:rFonts w:ascii="仿宋" w:hAnsi="仿宋" w:eastAsia="仿宋" w:cs="仿宋"/>
          <w:b/>
          <w:sz w:val="28"/>
          <w:szCs w:val="28"/>
        </w:rPr>
      </w:pPr>
      <w:r>
        <w:rPr>
          <w:rFonts w:hint="eastAsia" w:ascii="仿宋" w:hAnsi="仿宋" w:eastAsia="仿宋" w:cs="仿宋"/>
          <w:b/>
          <w:sz w:val="28"/>
          <w:szCs w:val="28"/>
        </w:rPr>
        <w:t>二、组成本合同的文件</w:t>
      </w:r>
    </w:p>
    <w:p w14:paraId="3A7F06EE">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1.中标通知书（成交通知书）、政府采购招投标文件、澄清函等文件；</w:t>
      </w:r>
    </w:p>
    <w:p w14:paraId="54D9AA9D">
      <w:pPr>
        <w:adjustRightInd w:val="0"/>
        <w:snapToGrid w:val="0"/>
        <w:spacing w:line="500" w:lineRule="exact"/>
        <w:ind w:firstLine="554" w:firstLineChars="198"/>
        <w:rPr>
          <w:rFonts w:ascii="仿宋" w:hAnsi="仿宋" w:eastAsia="仿宋" w:cs="仿宋"/>
          <w:sz w:val="28"/>
          <w:szCs w:val="28"/>
        </w:rPr>
      </w:pPr>
      <w:r>
        <w:rPr>
          <w:rFonts w:hint="eastAsia" w:ascii="仿宋" w:hAnsi="仿宋" w:eastAsia="仿宋" w:cs="仿宋"/>
          <w:sz w:val="28"/>
          <w:szCs w:val="28"/>
        </w:rPr>
        <w:t>2.本合同签订后，双方依法签订的补充协议。</w:t>
      </w:r>
    </w:p>
    <w:p w14:paraId="40E230A8">
      <w:pPr>
        <w:adjustRightInd/>
        <w:spacing w:line="500" w:lineRule="exact"/>
        <w:rPr>
          <w:rFonts w:ascii="仿宋" w:hAnsi="仿宋" w:eastAsia="仿宋" w:cs="仿宋"/>
          <w:b/>
          <w:sz w:val="28"/>
          <w:szCs w:val="28"/>
        </w:rPr>
      </w:pPr>
      <w:r>
        <w:rPr>
          <w:rFonts w:hint="eastAsia" w:ascii="仿宋" w:hAnsi="仿宋" w:eastAsia="仿宋" w:cs="仿宋"/>
          <w:b/>
          <w:sz w:val="28"/>
          <w:szCs w:val="28"/>
        </w:rPr>
        <w:t>三、合同金额</w:t>
      </w:r>
    </w:p>
    <w:p w14:paraId="374F865B">
      <w:pPr>
        <w:adjustRightInd w:val="0"/>
        <w:snapToGrid w:val="0"/>
        <w:spacing w:line="500" w:lineRule="exact"/>
        <w:ind w:firstLine="554" w:firstLineChars="198"/>
        <w:rPr>
          <w:rFonts w:ascii="仿宋" w:hAnsi="仿宋" w:eastAsia="仿宋" w:cs="仿宋"/>
          <w:sz w:val="28"/>
          <w:szCs w:val="28"/>
        </w:rPr>
      </w:pPr>
      <w:r>
        <w:rPr>
          <w:rFonts w:hint="eastAsia" w:ascii="仿宋" w:hAnsi="仿宋" w:eastAsia="仿宋" w:cs="仿宋"/>
          <w:sz w:val="28"/>
          <w:szCs w:val="28"/>
        </w:rPr>
        <w:t>合同金额（大写）：（¥</w:t>
      </w:r>
      <w:r>
        <w:rPr>
          <w:rFonts w:hint="eastAsia" w:ascii="仿宋" w:hAnsi="仿宋" w:eastAsia="仿宋" w:cs="仿宋"/>
          <w:sz w:val="28"/>
          <w:szCs w:val="28"/>
          <w:u w:val="single"/>
        </w:rPr>
        <w:t xml:space="preserve">            元</w:t>
      </w:r>
      <w:r>
        <w:rPr>
          <w:rFonts w:hint="eastAsia" w:ascii="仿宋" w:hAnsi="仿宋" w:eastAsia="仿宋" w:cs="仿宋"/>
          <w:sz w:val="28"/>
          <w:szCs w:val="28"/>
        </w:rPr>
        <w:t>）。</w:t>
      </w:r>
    </w:p>
    <w:p w14:paraId="75CD19EE">
      <w:pPr>
        <w:adjustRightInd w:val="0"/>
        <w:snapToGrid w:val="0"/>
        <w:spacing w:line="500" w:lineRule="exact"/>
        <w:ind w:firstLine="554" w:firstLineChars="198"/>
        <w:rPr>
          <w:rFonts w:ascii="仿宋" w:hAnsi="仿宋" w:eastAsia="仿宋" w:cs="仿宋"/>
          <w:sz w:val="28"/>
          <w:szCs w:val="28"/>
        </w:rPr>
      </w:pPr>
      <w:r>
        <w:rPr>
          <w:rFonts w:hint="eastAsia" w:ascii="仿宋" w:hAnsi="仿宋" w:eastAsia="仿宋" w:cs="仿宋"/>
          <w:sz w:val="28"/>
          <w:szCs w:val="28"/>
        </w:rPr>
        <w:t>合同价格为含税价，乙方提供服务所发生的一切费用等都已包含于合同价款中。</w:t>
      </w:r>
    </w:p>
    <w:p w14:paraId="4612366B">
      <w:pPr>
        <w:adjustRightInd/>
        <w:spacing w:line="500" w:lineRule="exact"/>
        <w:rPr>
          <w:rFonts w:ascii="仿宋" w:hAnsi="仿宋" w:eastAsia="仿宋" w:cs="仿宋"/>
          <w:b/>
          <w:sz w:val="28"/>
          <w:szCs w:val="28"/>
        </w:rPr>
      </w:pPr>
      <w:r>
        <w:rPr>
          <w:rFonts w:hint="eastAsia" w:ascii="仿宋" w:hAnsi="仿宋" w:eastAsia="仿宋" w:cs="仿宋"/>
          <w:b/>
          <w:sz w:val="28"/>
          <w:szCs w:val="28"/>
        </w:rPr>
        <w:t>四、付款方式</w:t>
      </w:r>
    </w:p>
    <w:p w14:paraId="533B57A0">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1.银行转账。</w:t>
      </w:r>
    </w:p>
    <w:p w14:paraId="747AAD91">
      <w:pPr>
        <w:adjustRightInd/>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2.合同签订后</w:t>
      </w:r>
      <w:r>
        <w:rPr>
          <w:rFonts w:hint="eastAsia" w:ascii="仿宋" w:hAnsi="仿宋" w:eastAsia="仿宋" w:cs="仿宋"/>
          <w:sz w:val="28"/>
          <w:szCs w:val="28"/>
          <w:lang w:val="en-US" w:eastAsia="zh-CN"/>
        </w:rPr>
        <w:t>乙方</w:t>
      </w:r>
      <w:r>
        <w:rPr>
          <w:rFonts w:hint="eastAsia" w:ascii="仿宋" w:hAnsi="仿宋" w:eastAsia="仿宋" w:cs="仿宋"/>
          <w:sz w:val="28"/>
          <w:szCs w:val="28"/>
        </w:rPr>
        <w:t>必须提供相应发票给</w:t>
      </w:r>
      <w:r>
        <w:rPr>
          <w:rFonts w:hint="eastAsia" w:ascii="仿宋" w:hAnsi="仿宋" w:eastAsia="仿宋" w:cs="仿宋"/>
          <w:sz w:val="28"/>
          <w:szCs w:val="28"/>
          <w:lang w:val="en-US" w:eastAsia="zh-CN"/>
        </w:rPr>
        <w:t>甲方</w:t>
      </w:r>
      <w:r>
        <w:rPr>
          <w:rFonts w:hint="eastAsia" w:ascii="仿宋" w:hAnsi="仿宋" w:eastAsia="仿宋" w:cs="仿宋"/>
          <w:sz w:val="28"/>
          <w:szCs w:val="28"/>
        </w:rPr>
        <w:t>，达到付款条件起1</w:t>
      </w:r>
      <w:r>
        <w:rPr>
          <w:rFonts w:hint="eastAsia" w:ascii="仿宋" w:hAnsi="仿宋" w:eastAsia="仿宋" w:cs="仿宋"/>
          <w:sz w:val="28"/>
          <w:szCs w:val="28"/>
          <w:lang w:val="en-US" w:eastAsia="zh-CN"/>
        </w:rPr>
        <w:t>0个工作</w:t>
      </w:r>
      <w:r>
        <w:rPr>
          <w:rFonts w:hint="eastAsia" w:ascii="仿宋" w:hAnsi="仿宋" w:eastAsia="仿宋" w:cs="仿宋"/>
          <w:sz w:val="28"/>
          <w:szCs w:val="28"/>
        </w:rPr>
        <w:t>日内，支付合同总金额的100.00%。</w:t>
      </w:r>
    </w:p>
    <w:p w14:paraId="25097A30">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乙方开户行：</w:t>
      </w:r>
    </w:p>
    <w:p w14:paraId="1FC06E9E">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户名：</w:t>
      </w:r>
    </w:p>
    <w:p w14:paraId="12F98D69">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账号：</w:t>
      </w:r>
    </w:p>
    <w:p w14:paraId="43C901E3">
      <w:pPr>
        <w:numPr>
          <w:ilvl w:val="0"/>
          <w:numId w:val="1"/>
        </w:numPr>
        <w:adjustRightInd w:val="0"/>
        <w:snapToGrid w:val="0"/>
        <w:spacing w:line="500" w:lineRule="exact"/>
        <w:rPr>
          <w:rFonts w:ascii="仿宋" w:hAnsi="仿宋" w:eastAsia="仿宋" w:cs="仿宋"/>
          <w:b/>
          <w:sz w:val="28"/>
          <w:szCs w:val="28"/>
        </w:rPr>
      </w:pPr>
      <w:r>
        <w:rPr>
          <w:rFonts w:hint="eastAsia" w:ascii="仿宋" w:hAnsi="仿宋" w:eastAsia="仿宋" w:cs="仿宋"/>
          <w:b/>
          <w:sz w:val="28"/>
          <w:szCs w:val="28"/>
        </w:rPr>
        <w:t>服务期限：</w:t>
      </w:r>
    </w:p>
    <w:p w14:paraId="589AACBD">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2026年7月8日至2027年7月7日。</w:t>
      </w:r>
    </w:p>
    <w:p w14:paraId="0BE8F813">
      <w:pPr>
        <w:tabs>
          <w:tab w:val="left" w:pos="720"/>
          <w:tab w:val="left" w:pos="3780"/>
          <w:tab w:val="left" w:pos="6480"/>
        </w:tabs>
        <w:autoSpaceDE w:val="0"/>
        <w:autoSpaceDN w:val="0"/>
        <w:adjustRightInd/>
        <w:spacing w:line="500" w:lineRule="exact"/>
        <w:jc w:val="left"/>
        <w:rPr>
          <w:rFonts w:ascii="仿宋" w:hAnsi="仿宋" w:eastAsia="仿宋" w:cs="仿宋"/>
          <w:b/>
          <w:sz w:val="28"/>
          <w:szCs w:val="28"/>
        </w:rPr>
      </w:pPr>
      <w:r>
        <w:rPr>
          <w:rFonts w:hint="eastAsia" w:ascii="仿宋" w:hAnsi="仿宋" w:eastAsia="仿宋" w:cs="仿宋"/>
          <w:b/>
          <w:sz w:val="28"/>
          <w:szCs w:val="28"/>
        </w:rPr>
        <w:t>六、内容及要求：</w:t>
      </w:r>
    </w:p>
    <w:p w14:paraId="45B9C639">
      <w:pPr>
        <w:pageBreakBefore w:val="0"/>
        <w:kinsoku/>
        <w:wordWrap/>
        <w:overflowPunct/>
        <w:topLinePunct w:val="0"/>
        <w:autoSpaceDE/>
        <w:autoSpaceDN/>
        <w:bidi w:val="0"/>
        <w:snapToGrid/>
        <w:spacing w:line="500" w:lineRule="exact"/>
        <w:ind w:firstLine="560" w:firstLineChars="200"/>
        <w:jc w:val="left"/>
        <w:textAlignment w:val="auto"/>
        <w:rPr>
          <w:rFonts w:hint="eastAsia" w:ascii="仿宋" w:hAnsi="仿宋" w:eastAsia="仿宋" w:cs="仿宋"/>
          <w:sz w:val="28"/>
          <w:szCs w:val="28"/>
          <w:highlight w:val="none"/>
          <w:lang w:val="en-US" w:eastAsia="zh-Hans" w:bidi="ar-SA"/>
        </w:rPr>
      </w:pPr>
      <w:r>
        <w:rPr>
          <w:rFonts w:hint="eastAsia" w:ascii="仿宋" w:hAnsi="仿宋" w:eastAsia="仿宋" w:cs="仿宋"/>
          <w:sz w:val="28"/>
          <w:szCs w:val="28"/>
          <w:highlight w:val="none"/>
          <w:lang w:val="en-US" w:eastAsia="zh-Hans" w:bidi="ar-SA"/>
        </w:rPr>
        <w:t>（在合同签订时，按照项目政府采购招投标文件要求及响应内容明确）</w:t>
      </w:r>
    </w:p>
    <w:p w14:paraId="40BAB871">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运维内容</w:t>
      </w:r>
    </w:p>
    <w:p w14:paraId="56B19FBD">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1.1 软硬件维保</w:t>
      </w:r>
    </w:p>
    <w:p w14:paraId="05C9F35A">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（1）云平台涉及主要硬件设备和基础软件维保工作，其中备份软件（壹进制 UnaDPMSoft）、下一代防火墙、WEB安全网关、下一代防火墙40GE、云安全资源防护、统一身份认证和单点登录等必须购买原厂服务（1年），提供</w:t>
      </w:r>
      <w:r>
        <w:rPr>
          <w:rFonts w:hint="eastAsia" w:ascii="仿宋" w:hAnsi="仿宋" w:eastAsia="仿宋" w:cs="仿宋"/>
          <w:sz w:val="28"/>
          <w:szCs w:val="28"/>
          <w:highlight w:val="none"/>
          <w:lang w:val="en-US" w:eastAsia="zh-CN"/>
        </w:rPr>
        <w:t>能够</w:t>
      </w:r>
      <w:r>
        <w:rPr>
          <w:rFonts w:hint="eastAsia" w:ascii="仿宋" w:hAnsi="仿宋" w:eastAsia="仿宋" w:cs="仿宋"/>
          <w:sz w:val="28"/>
          <w:szCs w:val="28"/>
          <w:highlight w:val="none"/>
          <w:lang w:eastAsia="zh-CN"/>
        </w:rPr>
        <w:t>原厂服务承诺函；其他设备和软件由乙方自行决定是否购买原厂服务，如未购买原厂服务，由乙方提供服务承诺函，在运维期内出现问题需服务、更换、维修的，由乙方负责。</w:t>
      </w:r>
    </w:p>
    <w:p w14:paraId="49F9BE22">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软硬件设备分别位于茶张路1号陕西省信息化中心机房及唐延路6号陕西省交通厅机房。</w:t>
      </w:r>
    </w:p>
    <w:p w14:paraId="5C3608F2">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云平台陕西省信息化中心机房软硬件维保清单如下：</w:t>
      </w:r>
    </w:p>
    <w:tbl>
      <w:tblPr>
        <w:tblStyle w:val="3"/>
        <w:tblW w:w="837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57"/>
        <w:gridCol w:w="2089"/>
        <w:gridCol w:w="2979"/>
        <w:gridCol w:w="1045"/>
        <w:gridCol w:w="753"/>
        <w:gridCol w:w="753"/>
      </w:tblGrid>
      <w:tr w14:paraId="68C5A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5B691AA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序号</w:t>
            </w:r>
          </w:p>
        </w:tc>
        <w:tc>
          <w:tcPr>
            <w:tcW w:w="2089" w:type="dxa"/>
            <w:vAlign w:val="center"/>
          </w:tcPr>
          <w:p w14:paraId="52C0C1F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设备/软件名称</w:t>
            </w:r>
          </w:p>
        </w:tc>
        <w:tc>
          <w:tcPr>
            <w:tcW w:w="2979" w:type="dxa"/>
            <w:vAlign w:val="center"/>
          </w:tcPr>
          <w:p w14:paraId="3D13F79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品牌型号</w:t>
            </w:r>
          </w:p>
        </w:tc>
        <w:tc>
          <w:tcPr>
            <w:tcW w:w="1045" w:type="dxa"/>
            <w:vAlign w:val="center"/>
          </w:tcPr>
          <w:p w14:paraId="4259CEB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数量 </w:t>
            </w:r>
          </w:p>
        </w:tc>
        <w:tc>
          <w:tcPr>
            <w:tcW w:w="753" w:type="dxa"/>
            <w:vAlign w:val="center"/>
          </w:tcPr>
          <w:p w14:paraId="202E846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单位</w:t>
            </w:r>
          </w:p>
        </w:tc>
        <w:tc>
          <w:tcPr>
            <w:tcW w:w="753" w:type="dxa"/>
            <w:vAlign w:val="center"/>
          </w:tcPr>
          <w:p w14:paraId="6D22FFC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备注</w:t>
            </w:r>
          </w:p>
        </w:tc>
      </w:tr>
      <w:tr w14:paraId="3D005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5D56872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2089" w:type="dxa"/>
            <w:vAlign w:val="center"/>
          </w:tcPr>
          <w:p w14:paraId="18AA0F3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计算服务器</w:t>
            </w:r>
          </w:p>
        </w:tc>
        <w:tc>
          <w:tcPr>
            <w:tcW w:w="2979" w:type="dxa"/>
            <w:vAlign w:val="center"/>
          </w:tcPr>
          <w:p w14:paraId="5C025CA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 UIS-Cell3010 G3</w:t>
            </w:r>
          </w:p>
        </w:tc>
        <w:tc>
          <w:tcPr>
            <w:tcW w:w="1045" w:type="dxa"/>
            <w:vAlign w:val="center"/>
          </w:tcPr>
          <w:p w14:paraId="5C86316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40</w:t>
            </w:r>
          </w:p>
        </w:tc>
        <w:tc>
          <w:tcPr>
            <w:tcW w:w="753" w:type="dxa"/>
            <w:vAlign w:val="center"/>
          </w:tcPr>
          <w:p w14:paraId="315721F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3B227BE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BDD4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2CA819E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2089" w:type="dxa"/>
            <w:vAlign w:val="center"/>
          </w:tcPr>
          <w:p w14:paraId="13A1A7F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数据服务器</w:t>
            </w:r>
          </w:p>
        </w:tc>
        <w:tc>
          <w:tcPr>
            <w:tcW w:w="2979" w:type="dxa"/>
            <w:vAlign w:val="center"/>
          </w:tcPr>
          <w:p w14:paraId="2A5C279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 UIS-Cell6000 G3</w:t>
            </w:r>
          </w:p>
        </w:tc>
        <w:tc>
          <w:tcPr>
            <w:tcW w:w="1045" w:type="dxa"/>
            <w:vAlign w:val="center"/>
          </w:tcPr>
          <w:p w14:paraId="1FEBC96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w:t>
            </w:r>
          </w:p>
        </w:tc>
        <w:tc>
          <w:tcPr>
            <w:tcW w:w="753" w:type="dxa"/>
            <w:vAlign w:val="center"/>
          </w:tcPr>
          <w:p w14:paraId="023679D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1B7A391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B299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04B6365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p>
        </w:tc>
        <w:tc>
          <w:tcPr>
            <w:tcW w:w="2089" w:type="dxa"/>
            <w:vAlign w:val="center"/>
          </w:tcPr>
          <w:p w14:paraId="5A95352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部署服务器</w:t>
            </w:r>
          </w:p>
        </w:tc>
        <w:tc>
          <w:tcPr>
            <w:tcW w:w="2979" w:type="dxa"/>
            <w:vAlign w:val="center"/>
          </w:tcPr>
          <w:p w14:paraId="520CCAF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 UIS-Cell3010 G3</w:t>
            </w:r>
          </w:p>
        </w:tc>
        <w:tc>
          <w:tcPr>
            <w:tcW w:w="1045" w:type="dxa"/>
            <w:vAlign w:val="center"/>
          </w:tcPr>
          <w:p w14:paraId="45ADD35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p>
        </w:tc>
        <w:tc>
          <w:tcPr>
            <w:tcW w:w="753" w:type="dxa"/>
            <w:vAlign w:val="center"/>
          </w:tcPr>
          <w:p w14:paraId="509FC56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07AAF5B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030F2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642E031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p>
        </w:tc>
        <w:tc>
          <w:tcPr>
            <w:tcW w:w="2089" w:type="dxa"/>
            <w:vAlign w:val="center"/>
          </w:tcPr>
          <w:p w14:paraId="2ED69A1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云平台管理服务器</w:t>
            </w:r>
          </w:p>
        </w:tc>
        <w:tc>
          <w:tcPr>
            <w:tcW w:w="2979" w:type="dxa"/>
            <w:vAlign w:val="center"/>
          </w:tcPr>
          <w:p w14:paraId="02E6FC1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 UIS-Cell3010 G3</w:t>
            </w:r>
          </w:p>
        </w:tc>
        <w:tc>
          <w:tcPr>
            <w:tcW w:w="1045" w:type="dxa"/>
            <w:vAlign w:val="center"/>
          </w:tcPr>
          <w:p w14:paraId="7A2D743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p>
        </w:tc>
        <w:tc>
          <w:tcPr>
            <w:tcW w:w="753" w:type="dxa"/>
            <w:vAlign w:val="center"/>
          </w:tcPr>
          <w:p w14:paraId="328D224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33FA85F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341F0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558C15F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w:t>
            </w:r>
          </w:p>
        </w:tc>
        <w:tc>
          <w:tcPr>
            <w:tcW w:w="2089" w:type="dxa"/>
            <w:vAlign w:val="center"/>
          </w:tcPr>
          <w:p w14:paraId="75495C5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业务核心交换机</w:t>
            </w:r>
          </w:p>
        </w:tc>
        <w:tc>
          <w:tcPr>
            <w:tcW w:w="2979" w:type="dxa"/>
            <w:vAlign w:val="center"/>
          </w:tcPr>
          <w:p w14:paraId="37C4082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CE16808</w:t>
            </w:r>
          </w:p>
        </w:tc>
        <w:tc>
          <w:tcPr>
            <w:tcW w:w="1045" w:type="dxa"/>
            <w:vAlign w:val="center"/>
          </w:tcPr>
          <w:p w14:paraId="619591D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7C7E2B6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7A16A91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2A9FA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2" w:hRule="atLeast"/>
        </w:trPr>
        <w:tc>
          <w:tcPr>
            <w:tcW w:w="757" w:type="dxa"/>
            <w:vAlign w:val="center"/>
          </w:tcPr>
          <w:p w14:paraId="2680074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w:t>
            </w:r>
          </w:p>
        </w:tc>
        <w:tc>
          <w:tcPr>
            <w:tcW w:w="2089" w:type="dxa"/>
            <w:vAlign w:val="center"/>
          </w:tcPr>
          <w:p w14:paraId="6F38919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业务汇聚交换机</w:t>
            </w:r>
          </w:p>
        </w:tc>
        <w:tc>
          <w:tcPr>
            <w:tcW w:w="2979" w:type="dxa"/>
            <w:vAlign w:val="center"/>
          </w:tcPr>
          <w:p w14:paraId="12EC442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S7706</w:t>
            </w:r>
          </w:p>
        </w:tc>
        <w:tc>
          <w:tcPr>
            <w:tcW w:w="1045" w:type="dxa"/>
            <w:vAlign w:val="center"/>
          </w:tcPr>
          <w:p w14:paraId="5E2058C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p>
        </w:tc>
        <w:tc>
          <w:tcPr>
            <w:tcW w:w="753" w:type="dxa"/>
            <w:vAlign w:val="center"/>
          </w:tcPr>
          <w:p w14:paraId="39A5FB1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1C8C246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36DCE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50DBBE7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w:t>
            </w:r>
          </w:p>
        </w:tc>
        <w:tc>
          <w:tcPr>
            <w:tcW w:w="2089" w:type="dxa"/>
            <w:vAlign w:val="center"/>
          </w:tcPr>
          <w:p w14:paraId="4A874C3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业务接入交换机</w:t>
            </w:r>
          </w:p>
        </w:tc>
        <w:tc>
          <w:tcPr>
            <w:tcW w:w="2979" w:type="dxa"/>
            <w:vAlign w:val="center"/>
          </w:tcPr>
          <w:p w14:paraId="23B1FC9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CE6881-48S6CQ</w:t>
            </w:r>
          </w:p>
        </w:tc>
        <w:tc>
          <w:tcPr>
            <w:tcW w:w="1045" w:type="dxa"/>
            <w:vAlign w:val="center"/>
          </w:tcPr>
          <w:p w14:paraId="5D93279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16</w:t>
            </w:r>
          </w:p>
        </w:tc>
        <w:tc>
          <w:tcPr>
            <w:tcW w:w="753" w:type="dxa"/>
            <w:vAlign w:val="center"/>
          </w:tcPr>
          <w:p w14:paraId="6CBD682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2218238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D72D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1D7F73D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8</w:t>
            </w:r>
          </w:p>
        </w:tc>
        <w:tc>
          <w:tcPr>
            <w:tcW w:w="2089" w:type="dxa"/>
            <w:vAlign w:val="center"/>
          </w:tcPr>
          <w:p w14:paraId="3F8F6CF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托管接入交换机</w:t>
            </w:r>
          </w:p>
        </w:tc>
        <w:tc>
          <w:tcPr>
            <w:tcW w:w="2979" w:type="dxa"/>
            <w:vAlign w:val="center"/>
          </w:tcPr>
          <w:p w14:paraId="008FABC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S5730-36C-HI</w:t>
            </w:r>
          </w:p>
        </w:tc>
        <w:tc>
          <w:tcPr>
            <w:tcW w:w="1045" w:type="dxa"/>
            <w:vAlign w:val="center"/>
          </w:tcPr>
          <w:p w14:paraId="0C9FABC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0739CD8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684DC36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546D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2FC2860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9</w:t>
            </w:r>
          </w:p>
        </w:tc>
        <w:tc>
          <w:tcPr>
            <w:tcW w:w="2089" w:type="dxa"/>
            <w:vAlign w:val="center"/>
          </w:tcPr>
          <w:p w14:paraId="2A84D48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管理区汇聚交换机</w:t>
            </w:r>
          </w:p>
        </w:tc>
        <w:tc>
          <w:tcPr>
            <w:tcW w:w="2979" w:type="dxa"/>
            <w:vAlign w:val="center"/>
          </w:tcPr>
          <w:p w14:paraId="7AE243D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S5731-H48T4XC</w:t>
            </w:r>
          </w:p>
        </w:tc>
        <w:tc>
          <w:tcPr>
            <w:tcW w:w="1045" w:type="dxa"/>
            <w:vAlign w:val="center"/>
          </w:tcPr>
          <w:p w14:paraId="4D990B5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686E5ED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74B72BA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B51B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6D05D3F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10</w:t>
            </w:r>
          </w:p>
        </w:tc>
        <w:tc>
          <w:tcPr>
            <w:tcW w:w="2089" w:type="dxa"/>
            <w:vAlign w:val="center"/>
          </w:tcPr>
          <w:p w14:paraId="4D3DC0F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带外管理接入交换机</w:t>
            </w:r>
          </w:p>
        </w:tc>
        <w:tc>
          <w:tcPr>
            <w:tcW w:w="2979" w:type="dxa"/>
            <w:vAlign w:val="center"/>
          </w:tcPr>
          <w:p w14:paraId="3168873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S5731-S24T4X</w:t>
            </w:r>
          </w:p>
        </w:tc>
        <w:tc>
          <w:tcPr>
            <w:tcW w:w="1045" w:type="dxa"/>
            <w:vAlign w:val="center"/>
          </w:tcPr>
          <w:p w14:paraId="32F81C5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10</w:t>
            </w:r>
          </w:p>
        </w:tc>
        <w:tc>
          <w:tcPr>
            <w:tcW w:w="753" w:type="dxa"/>
            <w:vAlign w:val="center"/>
          </w:tcPr>
          <w:p w14:paraId="1279C2C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24B4BE6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08BE25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1E05F7A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11</w:t>
            </w:r>
          </w:p>
        </w:tc>
        <w:tc>
          <w:tcPr>
            <w:tcW w:w="2089" w:type="dxa"/>
            <w:vAlign w:val="center"/>
          </w:tcPr>
          <w:p w14:paraId="0B1D68A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大容量存储</w:t>
            </w:r>
          </w:p>
        </w:tc>
        <w:tc>
          <w:tcPr>
            <w:tcW w:w="2979" w:type="dxa"/>
            <w:vAlign w:val="center"/>
          </w:tcPr>
          <w:p w14:paraId="07E5D4A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OceanStor 5510 V5</w:t>
            </w:r>
          </w:p>
        </w:tc>
        <w:tc>
          <w:tcPr>
            <w:tcW w:w="1045" w:type="dxa"/>
            <w:vAlign w:val="center"/>
          </w:tcPr>
          <w:p w14:paraId="57810B2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0055365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57A6D56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04EC69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3E44109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12</w:t>
            </w:r>
          </w:p>
        </w:tc>
        <w:tc>
          <w:tcPr>
            <w:tcW w:w="2089" w:type="dxa"/>
            <w:vAlign w:val="center"/>
          </w:tcPr>
          <w:p w14:paraId="627F97A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全闪双活存储</w:t>
            </w:r>
          </w:p>
        </w:tc>
        <w:tc>
          <w:tcPr>
            <w:tcW w:w="2979" w:type="dxa"/>
            <w:vAlign w:val="center"/>
          </w:tcPr>
          <w:p w14:paraId="2D3C206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OceanStor Dorado 5500 V6</w:t>
            </w:r>
          </w:p>
        </w:tc>
        <w:tc>
          <w:tcPr>
            <w:tcW w:w="1045" w:type="dxa"/>
            <w:vAlign w:val="center"/>
          </w:tcPr>
          <w:p w14:paraId="1DED4D2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10C809A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4DD5F3B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3381E9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2" w:hRule="atLeast"/>
        </w:trPr>
        <w:tc>
          <w:tcPr>
            <w:tcW w:w="757" w:type="dxa"/>
            <w:vAlign w:val="center"/>
          </w:tcPr>
          <w:p w14:paraId="0196C52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13</w:t>
            </w:r>
          </w:p>
        </w:tc>
        <w:tc>
          <w:tcPr>
            <w:tcW w:w="2089" w:type="dxa"/>
            <w:vAlign w:val="center"/>
          </w:tcPr>
          <w:p w14:paraId="5DE9D37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光纤交换机</w:t>
            </w:r>
          </w:p>
        </w:tc>
        <w:tc>
          <w:tcPr>
            <w:tcW w:w="2979" w:type="dxa"/>
            <w:vAlign w:val="center"/>
          </w:tcPr>
          <w:p w14:paraId="35639AA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思科 MDS 9396S</w:t>
            </w:r>
          </w:p>
        </w:tc>
        <w:tc>
          <w:tcPr>
            <w:tcW w:w="1045" w:type="dxa"/>
            <w:vAlign w:val="center"/>
          </w:tcPr>
          <w:p w14:paraId="3C5A748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4335797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3AF8E3E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7A1541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50CE704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14</w:t>
            </w:r>
          </w:p>
        </w:tc>
        <w:tc>
          <w:tcPr>
            <w:tcW w:w="2089" w:type="dxa"/>
            <w:vAlign w:val="center"/>
          </w:tcPr>
          <w:p w14:paraId="7EB047E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本地备份存储</w:t>
            </w:r>
          </w:p>
        </w:tc>
        <w:tc>
          <w:tcPr>
            <w:tcW w:w="2979" w:type="dxa"/>
            <w:vAlign w:val="center"/>
          </w:tcPr>
          <w:p w14:paraId="37DE285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OceanStor 5310 V5</w:t>
            </w:r>
          </w:p>
        </w:tc>
        <w:tc>
          <w:tcPr>
            <w:tcW w:w="1045" w:type="dxa"/>
            <w:vAlign w:val="center"/>
          </w:tcPr>
          <w:p w14:paraId="542816D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22CD8C5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655C640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1F47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310C7D8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15</w:t>
            </w:r>
          </w:p>
        </w:tc>
        <w:tc>
          <w:tcPr>
            <w:tcW w:w="2089" w:type="dxa"/>
            <w:vAlign w:val="center"/>
          </w:tcPr>
          <w:p w14:paraId="28E8299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异地数据容灾存储</w:t>
            </w:r>
          </w:p>
        </w:tc>
        <w:tc>
          <w:tcPr>
            <w:tcW w:w="2979" w:type="dxa"/>
            <w:vAlign w:val="center"/>
          </w:tcPr>
          <w:p w14:paraId="6A5C404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OceanStor 5310 V5</w:t>
            </w:r>
          </w:p>
        </w:tc>
        <w:tc>
          <w:tcPr>
            <w:tcW w:w="1045" w:type="dxa"/>
            <w:vAlign w:val="center"/>
          </w:tcPr>
          <w:p w14:paraId="6436CB1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50DFCC8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41F88E5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726D07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72AA51E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16</w:t>
            </w:r>
          </w:p>
        </w:tc>
        <w:tc>
          <w:tcPr>
            <w:tcW w:w="2089" w:type="dxa"/>
            <w:vAlign w:val="center"/>
          </w:tcPr>
          <w:p w14:paraId="6A2B402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存储扩容</w:t>
            </w:r>
          </w:p>
        </w:tc>
        <w:tc>
          <w:tcPr>
            <w:tcW w:w="2979" w:type="dxa"/>
            <w:vAlign w:val="center"/>
          </w:tcPr>
          <w:p w14:paraId="573DD52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OceanStor 5310 V5</w:t>
            </w:r>
          </w:p>
        </w:tc>
        <w:tc>
          <w:tcPr>
            <w:tcW w:w="1045" w:type="dxa"/>
            <w:vAlign w:val="center"/>
          </w:tcPr>
          <w:p w14:paraId="3441261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5698951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7D34C0F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2E03E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43DA131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17</w:t>
            </w:r>
          </w:p>
        </w:tc>
        <w:tc>
          <w:tcPr>
            <w:tcW w:w="2089" w:type="dxa"/>
            <w:vAlign w:val="center"/>
          </w:tcPr>
          <w:p w14:paraId="4AFD8A0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出口链路负载均衡</w:t>
            </w:r>
          </w:p>
        </w:tc>
        <w:tc>
          <w:tcPr>
            <w:tcW w:w="2979" w:type="dxa"/>
            <w:vAlign w:val="center"/>
          </w:tcPr>
          <w:p w14:paraId="2186A86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深信服 AD-1000-E640-U9</w:t>
            </w:r>
          </w:p>
        </w:tc>
        <w:tc>
          <w:tcPr>
            <w:tcW w:w="1045" w:type="dxa"/>
            <w:vAlign w:val="center"/>
          </w:tcPr>
          <w:p w14:paraId="6BE2C89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015FB19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276965E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1AE02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4BF93DD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18</w:t>
            </w:r>
          </w:p>
        </w:tc>
        <w:tc>
          <w:tcPr>
            <w:tcW w:w="2089" w:type="dxa"/>
            <w:vAlign w:val="center"/>
          </w:tcPr>
          <w:p w14:paraId="058F454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下一代防火墙</w:t>
            </w:r>
          </w:p>
        </w:tc>
        <w:tc>
          <w:tcPr>
            <w:tcW w:w="2979" w:type="dxa"/>
            <w:vAlign w:val="center"/>
          </w:tcPr>
          <w:p w14:paraId="7FB9ACD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NSG5000-TG15M-Q</w:t>
            </w:r>
          </w:p>
        </w:tc>
        <w:tc>
          <w:tcPr>
            <w:tcW w:w="1045" w:type="dxa"/>
            <w:vAlign w:val="center"/>
          </w:tcPr>
          <w:p w14:paraId="62BD0F1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8</w:t>
            </w:r>
          </w:p>
        </w:tc>
        <w:tc>
          <w:tcPr>
            <w:tcW w:w="753" w:type="dxa"/>
            <w:vAlign w:val="center"/>
          </w:tcPr>
          <w:p w14:paraId="5482CC7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4D44C83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A8EF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2" w:hRule="atLeast"/>
        </w:trPr>
        <w:tc>
          <w:tcPr>
            <w:tcW w:w="757" w:type="dxa"/>
            <w:vAlign w:val="center"/>
          </w:tcPr>
          <w:p w14:paraId="275CEC7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19</w:t>
            </w:r>
          </w:p>
        </w:tc>
        <w:tc>
          <w:tcPr>
            <w:tcW w:w="2089" w:type="dxa"/>
            <w:vAlign w:val="center"/>
          </w:tcPr>
          <w:p w14:paraId="0A3E287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入侵防御</w:t>
            </w:r>
          </w:p>
        </w:tc>
        <w:tc>
          <w:tcPr>
            <w:tcW w:w="2979" w:type="dxa"/>
            <w:vAlign w:val="center"/>
          </w:tcPr>
          <w:p w14:paraId="3B7AB99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P7000-TX14M</w:t>
            </w:r>
          </w:p>
        </w:tc>
        <w:tc>
          <w:tcPr>
            <w:tcW w:w="1045" w:type="dxa"/>
            <w:vAlign w:val="center"/>
          </w:tcPr>
          <w:p w14:paraId="4B044DD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4E79C41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0DDFD0E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18854F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7D20D03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20</w:t>
            </w:r>
          </w:p>
        </w:tc>
        <w:tc>
          <w:tcPr>
            <w:tcW w:w="2089" w:type="dxa"/>
            <w:vAlign w:val="center"/>
          </w:tcPr>
          <w:p w14:paraId="1CFDE0D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VPN网关</w:t>
            </w:r>
          </w:p>
        </w:tc>
        <w:tc>
          <w:tcPr>
            <w:tcW w:w="2979" w:type="dxa"/>
            <w:vAlign w:val="center"/>
          </w:tcPr>
          <w:p w14:paraId="428ECCE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深信服 VPN-1000-E620-LV</w:t>
            </w:r>
          </w:p>
        </w:tc>
        <w:tc>
          <w:tcPr>
            <w:tcW w:w="1045" w:type="dxa"/>
            <w:vAlign w:val="center"/>
          </w:tcPr>
          <w:p w14:paraId="04BE7AC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6DDAECA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12AD7C0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16AAC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6F3602A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21</w:t>
            </w:r>
          </w:p>
        </w:tc>
        <w:tc>
          <w:tcPr>
            <w:tcW w:w="2089" w:type="dxa"/>
            <w:vAlign w:val="center"/>
          </w:tcPr>
          <w:p w14:paraId="71EF9CA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下一代防火墙40GE</w:t>
            </w:r>
          </w:p>
        </w:tc>
        <w:tc>
          <w:tcPr>
            <w:tcW w:w="2979" w:type="dxa"/>
            <w:vAlign w:val="center"/>
          </w:tcPr>
          <w:p w14:paraId="1024E2D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NSG9000TZ30M-Q</w:t>
            </w:r>
          </w:p>
        </w:tc>
        <w:tc>
          <w:tcPr>
            <w:tcW w:w="1045" w:type="dxa"/>
            <w:vAlign w:val="center"/>
          </w:tcPr>
          <w:p w14:paraId="1226D77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p>
        </w:tc>
        <w:tc>
          <w:tcPr>
            <w:tcW w:w="753" w:type="dxa"/>
            <w:vAlign w:val="center"/>
          </w:tcPr>
          <w:p w14:paraId="5A9FD2F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7DE5F47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13F94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3B73629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22</w:t>
            </w:r>
          </w:p>
        </w:tc>
        <w:tc>
          <w:tcPr>
            <w:tcW w:w="2089" w:type="dxa"/>
            <w:vAlign w:val="center"/>
          </w:tcPr>
          <w:p w14:paraId="7EA1962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WEB安全网关</w:t>
            </w:r>
          </w:p>
        </w:tc>
        <w:tc>
          <w:tcPr>
            <w:tcW w:w="2979" w:type="dxa"/>
            <w:vAlign w:val="center"/>
          </w:tcPr>
          <w:p w14:paraId="39BF6D9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W1500-U010P</w:t>
            </w:r>
          </w:p>
        </w:tc>
        <w:tc>
          <w:tcPr>
            <w:tcW w:w="1045" w:type="dxa"/>
            <w:vAlign w:val="center"/>
          </w:tcPr>
          <w:p w14:paraId="7CF18FB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6F2C09A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62F4F71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3E9EE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3BFFC76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23</w:t>
            </w:r>
          </w:p>
        </w:tc>
        <w:tc>
          <w:tcPr>
            <w:tcW w:w="2089" w:type="dxa"/>
            <w:vAlign w:val="center"/>
          </w:tcPr>
          <w:p w14:paraId="4023958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应用负载均衡</w:t>
            </w:r>
          </w:p>
        </w:tc>
        <w:tc>
          <w:tcPr>
            <w:tcW w:w="2979" w:type="dxa"/>
            <w:vAlign w:val="center"/>
          </w:tcPr>
          <w:p w14:paraId="68D7E17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深信服 AD-1000-G642-U9</w:t>
            </w:r>
          </w:p>
        </w:tc>
        <w:tc>
          <w:tcPr>
            <w:tcW w:w="1045" w:type="dxa"/>
            <w:vAlign w:val="center"/>
          </w:tcPr>
          <w:p w14:paraId="746DB12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7120A84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29A71DF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3EBF9A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4F26E62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24</w:t>
            </w:r>
          </w:p>
        </w:tc>
        <w:tc>
          <w:tcPr>
            <w:tcW w:w="2089" w:type="dxa"/>
            <w:vAlign w:val="center"/>
          </w:tcPr>
          <w:p w14:paraId="33A4303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入侵检测IDS</w:t>
            </w:r>
          </w:p>
        </w:tc>
        <w:tc>
          <w:tcPr>
            <w:tcW w:w="2979" w:type="dxa"/>
            <w:vAlign w:val="center"/>
          </w:tcPr>
          <w:p w14:paraId="0176AC0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D7000-TX24M</w:t>
            </w:r>
          </w:p>
        </w:tc>
        <w:tc>
          <w:tcPr>
            <w:tcW w:w="1045" w:type="dxa"/>
            <w:vAlign w:val="center"/>
          </w:tcPr>
          <w:p w14:paraId="2C8E885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53" w:type="dxa"/>
            <w:vAlign w:val="center"/>
          </w:tcPr>
          <w:p w14:paraId="2FE0413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5DC32F4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F630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005475B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25</w:t>
            </w:r>
          </w:p>
        </w:tc>
        <w:tc>
          <w:tcPr>
            <w:tcW w:w="2089" w:type="dxa"/>
            <w:vAlign w:val="center"/>
          </w:tcPr>
          <w:p w14:paraId="36AB96B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数据库审计</w:t>
            </w:r>
          </w:p>
        </w:tc>
        <w:tc>
          <w:tcPr>
            <w:tcW w:w="2979" w:type="dxa"/>
            <w:vAlign w:val="center"/>
          </w:tcPr>
          <w:p w14:paraId="7CEDA2D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K6000-H-TF10M</w:t>
            </w:r>
          </w:p>
        </w:tc>
        <w:tc>
          <w:tcPr>
            <w:tcW w:w="1045" w:type="dxa"/>
            <w:vAlign w:val="center"/>
          </w:tcPr>
          <w:p w14:paraId="15CD52A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496935D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088A82B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D6D7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0DBF299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26</w:t>
            </w:r>
          </w:p>
        </w:tc>
        <w:tc>
          <w:tcPr>
            <w:tcW w:w="2089" w:type="dxa"/>
            <w:vAlign w:val="center"/>
          </w:tcPr>
          <w:p w14:paraId="2F23F9E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堡垒机</w:t>
            </w:r>
          </w:p>
        </w:tc>
        <w:tc>
          <w:tcPr>
            <w:tcW w:w="2979" w:type="dxa"/>
            <w:vAlign w:val="center"/>
          </w:tcPr>
          <w:p w14:paraId="43F642F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C6100-H-TF10P</w:t>
            </w:r>
          </w:p>
        </w:tc>
        <w:tc>
          <w:tcPr>
            <w:tcW w:w="1045" w:type="dxa"/>
            <w:vAlign w:val="center"/>
          </w:tcPr>
          <w:p w14:paraId="1EF8462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6EF0E03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228373A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D6569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2" w:hRule="atLeast"/>
        </w:trPr>
        <w:tc>
          <w:tcPr>
            <w:tcW w:w="757" w:type="dxa"/>
            <w:vAlign w:val="center"/>
          </w:tcPr>
          <w:p w14:paraId="51F8D9D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27</w:t>
            </w:r>
          </w:p>
        </w:tc>
        <w:tc>
          <w:tcPr>
            <w:tcW w:w="2089" w:type="dxa"/>
            <w:vAlign w:val="center"/>
          </w:tcPr>
          <w:p w14:paraId="7D214A2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服务器</w:t>
            </w:r>
          </w:p>
        </w:tc>
        <w:tc>
          <w:tcPr>
            <w:tcW w:w="2979" w:type="dxa"/>
            <w:vAlign w:val="center"/>
          </w:tcPr>
          <w:p w14:paraId="3244D2A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 2288H V5</w:t>
            </w:r>
          </w:p>
        </w:tc>
        <w:tc>
          <w:tcPr>
            <w:tcW w:w="1045" w:type="dxa"/>
            <w:vAlign w:val="center"/>
          </w:tcPr>
          <w:p w14:paraId="761C816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p>
        </w:tc>
        <w:tc>
          <w:tcPr>
            <w:tcW w:w="753" w:type="dxa"/>
            <w:vAlign w:val="center"/>
          </w:tcPr>
          <w:p w14:paraId="3071C26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753" w:type="dxa"/>
            <w:vAlign w:val="center"/>
          </w:tcPr>
          <w:p w14:paraId="2795C4D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0B9D27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81" w:hRule="atLeast"/>
        </w:trPr>
        <w:tc>
          <w:tcPr>
            <w:tcW w:w="757" w:type="dxa"/>
            <w:vAlign w:val="center"/>
          </w:tcPr>
          <w:p w14:paraId="0502407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28</w:t>
            </w:r>
          </w:p>
        </w:tc>
        <w:tc>
          <w:tcPr>
            <w:tcW w:w="2089" w:type="dxa"/>
            <w:vAlign w:val="center"/>
          </w:tcPr>
          <w:p w14:paraId="74B4059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虚拟化软件</w:t>
            </w:r>
          </w:p>
        </w:tc>
        <w:tc>
          <w:tcPr>
            <w:tcW w:w="2979" w:type="dxa"/>
            <w:vAlign w:val="center"/>
          </w:tcPr>
          <w:p w14:paraId="3EAAADD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VMware vCenter Standard VMware vSphere Enterprise Plus</w:t>
            </w:r>
          </w:p>
        </w:tc>
        <w:tc>
          <w:tcPr>
            <w:tcW w:w="1045" w:type="dxa"/>
            <w:vAlign w:val="center"/>
          </w:tcPr>
          <w:p w14:paraId="4ADE71A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601EEA5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73D540C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2DE67C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7" w:hRule="atLeast"/>
        </w:trPr>
        <w:tc>
          <w:tcPr>
            <w:tcW w:w="757" w:type="dxa"/>
            <w:vAlign w:val="center"/>
          </w:tcPr>
          <w:p w14:paraId="77AA39F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29</w:t>
            </w:r>
          </w:p>
        </w:tc>
        <w:tc>
          <w:tcPr>
            <w:tcW w:w="2089" w:type="dxa"/>
            <w:vAlign w:val="center"/>
          </w:tcPr>
          <w:p w14:paraId="62153C1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云操作系统&amp;运行智能管理</w:t>
            </w:r>
          </w:p>
        </w:tc>
        <w:tc>
          <w:tcPr>
            <w:tcW w:w="2979" w:type="dxa"/>
            <w:vAlign w:val="center"/>
          </w:tcPr>
          <w:p w14:paraId="1EF88BC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 CloudOS&amp;Ucenter</w:t>
            </w:r>
          </w:p>
        </w:tc>
        <w:tc>
          <w:tcPr>
            <w:tcW w:w="1045" w:type="dxa"/>
            <w:vAlign w:val="center"/>
          </w:tcPr>
          <w:p w14:paraId="50CD213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65E782E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07EC557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74D42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vAlign w:val="center"/>
          </w:tcPr>
          <w:p w14:paraId="658FEEF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30</w:t>
            </w:r>
          </w:p>
        </w:tc>
        <w:tc>
          <w:tcPr>
            <w:tcW w:w="2089" w:type="dxa"/>
            <w:vAlign w:val="center"/>
          </w:tcPr>
          <w:p w14:paraId="3A57E98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备份软件</w:t>
            </w:r>
          </w:p>
        </w:tc>
        <w:tc>
          <w:tcPr>
            <w:tcW w:w="2979" w:type="dxa"/>
            <w:vAlign w:val="center"/>
          </w:tcPr>
          <w:p w14:paraId="016D287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壹进制 UnaDPMSoft</w:t>
            </w:r>
          </w:p>
        </w:tc>
        <w:tc>
          <w:tcPr>
            <w:tcW w:w="1045" w:type="dxa"/>
            <w:vAlign w:val="center"/>
          </w:tcPr>
          <w:p w14:paraId="31B220E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110467C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46CAC47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BE972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1" w:hRule="atLeast"/>
        </w:trPr>
        <w:tc>
          <w:tcPr>
            <w:tcW w:w="757" w:type="dxa"/>
            <w:vAlign w:val="center"/>
          </w:tcPr>
          <w:p w14:paraId="5E8B974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31</w:t>
            </w:r>
          </w:p>
        </w:tc>
        <w:tc>
          <w:tcPr>
            <w:tcW w:w="2089" w:type="dxa"/>
            <w:vAlign w:val="center"/>
          </w:tcPr>
          <w:p w14:paraId="5D8C59A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云安全资源防护</w:t>
            </w:r>
          </w:p>
        </w:tc>
        <w:tc>
          <w:tcPr>
            <w:tcW w:w="2979" w:type="dxa"/>
            <w:vAlign w:val="center"/>
          </w:tcPr>
          <w:p w14:paraId="0533D55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网神  云安全管理平台软件</w:t>
            </w:r>
          </w:p>
        </w:tc>
        <w:tc>
          <w:tcPr>
            <w:tcW w:w="1045" w:type="dxa"/>
            <w:vAlign w:val="center"/>
          </w:tcPr>
          <w:p w14:paraId="3C85023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738D480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29A7FCC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A0778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19" w:hRule="atLeast"/>
        </w:trPr>
        <w:tc>
          <w:tcPr>
            <w:tcW w:w="757" w:type="dxa"/>
            <w:vAlign w:val="center"/>
          </w:tcPr>
          <w:p w14:paraId="013C844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32</w:t>
            </w:r>
          </w:p>
        </w:tc>
        <w:tc>
          <w:tcPr>
            <w:tcW w:w="2089" w:type="dxa"/>
            <w:vAlign w:val="center"/>
          </w:tcPr>
          <w:p w14:paraId="12004EE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统一身份认证和单点登录</w:t>
            </w:r>
          </w:p>
        </w:tc>
        <w:tc>
          <w:tcPr>
            <w:tcW w:w="2979" w:type="dxa"/>
            <w:vAlign w:val="center"/>
          </w:tcPr>
          <w:p w14:paraId="48B6230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国民认证 基于终端生物识别的网络身份认证系统V1.0</w:t>
            </w:r>
          </w:p>
        </w:tc>
        <w:tc>
          <w:tcPr>
            <w:tcW w:w="1045" w:type="dxa"/>
            <w:vAlign w:val="center"/>
          </w:tcPr>
          <w:p w14:paraId="5A4ACDA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vAlign w:val="center"/>
          </w:tcPr>
          <w:p w14:paraId="1615316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2123CB8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79B61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4" w:hRule="atLeast"/>
        </w:trPr>
        <w:tc>
          <w:tcPr>
            <w:tcW w:w="757" w:type="dxa"/>
            <w:shd w:val="clear" w:color="auto" w:fill="auto"/>
            <w:vAlign w:val="center"/>
          </w:tcPr>
          <w:p w14:paraId="1514585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33</w:t>
            </w:r>
          </w:p>
        </w:tc>
        <w:tc>
          <w:tcPr>
            <w:tcW w:w="2089" w:type="dxa"/>
            <w:shd w:val="clear" w:color="auto" w:fill="auto"/>
            <w:vAlign w:val="center"/>
          </w:tcPr>
          <w:p w14:paraId="6EBE936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企业服务总线 </w:t>
            </w:r>
          </w:p>
        </w:tc>
        <w:tc>
          <w:tcPr>
            <w:tcW w:w="2979" w:type="dxa"/>
            <w:shd w:val="clear" w:color="auto" w:fill="auto"/>
            <w:vAlign w:val="center"/>
          </w:tcPr>
          <w:p w14:paraId="04C6710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东方通TongESB V5</w:t>
            </w:r>
          </w:p>
        </w:tc>
        <w:tc>
          <w:tcPr>
            <w:tcW w:w="1045" w:type="dxa"/>
            <w:shd w:val="clear" w:color="auto" w:fill="auto"/>
            <w:vAlign w:val="center"/>
          </w:tcPr>
          <w:p w14:paraId="4F4F090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shd w:val="clear" w:color="auto" w:fill="auto"/>
            <w:vAlign w:val="center"/>
          </w:tcPr>
          <w:p w14:paraId="0DBCDEB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5241CBA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3242D7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81" w:hRule="atLeast"/>
        </w:trPr>
        <w:tc>
          <w:tcPr>
            <w:tcW w:w="757" w:type="dxa"/>
            <w:shd w:val="clear" w:color="auto" w:fill="auto"/>
            <w:vAlign w:val="center"/>
          </w:tcPr>
          <w:p w14:paraId="6E6C95A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34</w:t>
            </w:r>
          </w:p>
        </w:tc>
        <w:tc>
          <w:tcPr>
            <w:tcW w:w="2089" w:type="dxa"/>
            <w:shd w:val="clear" w:color="auto" w:fill="auto"/>
            <w:vAlign w:val="center"/>
          </w:tcPr>
          <w:p w14:paraId="36F5FFB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应用中间件</w:t>
            </w:r>
          </w:p>
        </w:tc>
        <w:tc>
          <w:tcPr>
            <w:tcW w:w="2979" w:type="dxa"/>
            <w:shd w:val="clear" w:color="auto" w:fill="auto"/>
            <w:vAlign w:val="center"/>
          </w:tcPr>
          <w:p w14:paraId="10FFA20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东方通应用服务器软件[简称：TongWeb]V6.1（企业版）</w:t>
            </w:r>
          </w:p>
        </w:tc>
        <w:tc>
          <w:tcPr>
            <w:tcW w:w="1045" w:type="dxa"/>
            <w:shd w:val="clear" w:color="auto" w:fill="auto"/>
            <w:vAlign w:val="center"/>
          </w:tcPr>
          <w:p w14:paraId="6061626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shd w:val="clear" w:color="auto" w:fill="auto"/>
            <w:vAlign w:val="center"/>
          </w:tcPr>
          <w:p w14:paraId="01CA41E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64327EF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70DF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7" w:hRule="atLeast"/>
        </w:trPr>
        <w:tc>
          <w:tcPr>
            <w:tcW w:w="757" w:type="dxa"/>
            <w:shd w:val="clear" w:color="auto" w:fill="auto"/>
            <w:vAlign w:val="center"/>
          </w:tcPr>
          <w:p w14:paraId="7869A8C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35</w:t>
            </w:r>
          </w:p>
        </w:tc>
        <w:tc>
          <w:tcPr>
            <w:tcW w:w="2089" w:type="dxa"/>
            <w:shd w:val="clear" w:color="auto" w:fill="auto"/>
            <w:vAlign w:val="center"/>
          </w:tcPr>
          <w:p w14:paraId="1CDD434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消息中间件</w:t>
            </w:r>
          </w:p>
        </w:tc>
        <w:tc>
          <w:tcPr>
            <w:tcW w:w="2979" w:type="dxa"/>
            <w:shd w:val="clear" w:color="auto" w:fill="auto"/>
            <w:vAlign w:val="center"/>
          </w:tcPr>
          <w:p w14:paraId="3752F0C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东方通消息中间件软件[简称：TongLINK/Q]V8.1</w:t>
            </w:r>
          </w:p>
        </w:tc>
        <w:tc>
          <w:tcPr>
            <w:tcW w:w="1045" w:type="dxa"/>
            <w:shd w:val="clear" w:color="auto" w:fill="auto"/>
            <w:vAlign w:val="center"/>
          </w:tcPr>
          <w:p w14:paraId="5825BD2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shd w:val="clear" w:color="auto" w:fill="auto"/>
            <w:vAlign w:val="center"/>
          </w:tcPr>
          <w:p w14:paraId="2B26BB9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140AE64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BE55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4" w:hRule="atLeast"/>
        </w:trPr>
        <w:tc>
          <w:tcPr>
            <w:tcW w:w="757" w:type="dxa"/>
            <w:shd w:val="clear" w:color="auto" w:fill="auto"/>
            <w:vAlign w:val="center"/>
          </w:tcPr>
          <w:p w14:paraId="516FB32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36</w:t>
            </w:r>
          </w:p>
        </w:tc>
        <w:tc>
          <w:tcPr>
            <w:tcW w:w="2089" w:type="dxa"/>
            <w:shd w:val="clear" w:color="auto" w:fill="auto"/>
            <w:vAlign w:val="center"/>
          </w:tcPr>
          <w:p w14:paraId="1B4F08C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日志服务与管理系统</w:t>
            </w:r>
          </w:p>
        </w:tc>
        <w:tc>
          <w:tcPr>
            <w:tcW w:w="2979" w:type="dxa"/>
            <w:shd w:val="clear" w:color="auto" w:fill="auto"/>
            <w:vAlign w:val="center"/>
          </w:tcPr>
          <w:p w14:paraId="041D10C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日志易日志搜索分析软件V2.0</w:t>
            </w:r>
          </w:p>
        </w:tc>
        <w:tc>
          <w:tcPr>
            <w:tcW w:w="1045" w:type="dxa"/>
            <w:shd w:val="clear" w:color="auto" w:fill="auto"/>
            <w:vAlign w:val="center"/>
          </w:tcPr>
          <w:p w14:paraId="4A7B284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53" w:type="dxa"/>
            <w:shd w:val="clear" w:color="auto" w:fill="auto"/>
            <w:vAlign w:val="center"/>
          </w:tcPr>
          <w:p w14:paraId="41C25A0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753" w:type="dxa"/>
            <w:vAlign w:val="center"/>
          </w:tcPr>
          <w:p w14:paraId="40321ED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bl>
    <w:p w14:paraId="509A4973">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p>
    <w:p w14:paraId="4C5DFF58">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云平台陕西省交通厅机房软硬件维保清单如下：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2130"/>
        <w:gridCol w:w="3148"/>
        <w:gridCol w:w="809"/>
        <w:gridCol w:w="777"/>
        <w:gridCol w:w="838"/>
      </w:tblGrid>
      <w:tr w14:paraId="089A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5" w:type="dxa"/>
            <w:vAlign w:val="center"/>
          </w:tcPr>
          <w:p w14:paraId="5732659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序号</w:t>
            </w:r>
          </w:p>
        </w:tc>
        <w:tc>
          <w:tcPr>
            <w:tcW w:w="2130" w:type="dxa"/>
            <w:vAlign w:val="center"/>
          </w:tcPr>
          <w:p w14:paraId="3738F72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设备/软件名称</w:t>
            </w:r>
          </w:p>
        </w:tc>
        <w:tc>
          <w:tcPr>
            <w:tcW w:w="3148" w:type="dxa"/>
            <w:vAlign w:val="center"/>
          </w:tcPr>
          <w:p w14:paraId="3EDF745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品牌型号</w:t>
            </w:r>
          </w:p>
        </w:tc>
        <w:tc>
          <w:tcPr>
            <w:tcW w:w="809" w:type="dxa"/>
            <w:vAlign w:val="center"/>
          </w:tcPr>
          <w:p w14:paraId="448C270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数量</w:t>
            </w:r>
          </w:p>
        </w:tc>
        <w:tc>
          <w:tcPr>
            <w:tcW w:w="777" w:type="dxa"/>
            <w:vAlign w:val="center"/>
          </w:tcPr>
          <w:p w14:paraId="3C40010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单位</w:t>
            </w:r>
          </w:p>
        </w:tc>
        <w:tc>
          <w:tcPr>
            <w:tcW w:w="838" w:type="dxa"/>
            <w:vAlign w:val="center"/>
          </w:tcPr>
          <w:p w14:paraId="4F5EECA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备注</w:t>
            </w:r>
          </w:p>
        </w:tc>
      </w:tr>
      <w:tr w14:paraId="197B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5" w:type="dxa"/>
            <w:vAlign w:val="center"/>
          </w:tcPr>
          <w:p w14:paraId="2E1B810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2130" w:type="dxa"/>
            <w:vAlign w:val="center"/>
          </w:tcPr>
          <w:p w14:paraId="20D95B0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虚拟化资源池服务器</w:t>
            </w:r>
          </w:p>
        </w:tc>
        <w:tc>
          <w:tcPr>
            <w:tcW w:w="3148" w:type="dxa"/>
            <w:vAlign w:val="center"/>
          </w:tcPr>
          <w:p w14:paraId="0FCE686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浪潮NF8460M4</w:t>
            </w:r>
          </w:p>
        </w:tc>
        <w:tc>
          <w:tcPr>
            <w:tcW w:w="809" w:type="dxa"/>
            <w:vAlign w:val="center"/>
          </w:tcPr>
          <w:p w14:paraId="3C38BAC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12</w:t>
            </w:r>
          </w:p>
        </w:tc>
        <w:tc>
          <w:tcPr>
            <w:tcW w:w="777" w:type="dxa"/>
            <w:vAlign w:val="center"/>
          </w:tcPr>
          <w:p w14:paraId="31114B1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47972B0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020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5" w:type="dxa"/>
            <w:vAlign w:val="center"/>
          </w:tcPr>
          <w:p w14:paraId="0B8B8D9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2130" w:type="dxa"/>
            <w:vAlign w:val="center"/>
          </w:tcPr>
          <w:p w14:paraId="0A87A19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地市数据应用服务器</w:t>
            </w:r>
          </w:p>
        </w:tc>
        <w:tc>
          <w:tcPr>
            <w:tcW w:w="3148" w:type="dxa"/>
            <w:vAlign w:val="center"/>
          </w:tcPr>
          <w:p w14:paraId="3ABD706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浪潮NF5280M4</w:t>
            </w:r>
          </w:p>
        </w:tc>
        <w:tc>
          <w:tcPr>
            <w:tcW w:w="809" w:type="dxa"/>
            <w:vAlign w:val="center"/>
          </w:tcPr>
          <w:p w14:paraId="526DD29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w:t>
            </w:r>
          </w:p>
        </w:tc>
        <w:tc>
          <w:tcPr>
            <w:tcW w:w="777" w:type="dxa"/>
            <w:vAlign w:val="center"/>
          </w:tcPr>
          <w:p w14:paraId="6CFED14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74FFE0C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0648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5" w:type="dxa"/>
            <w:vAlign w:val="center"/>
          </w:tcPr>
          <w:p w14:paraId="3972FA0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p>
        </w:tc>
        <w:tc>
          <w:tcPr>
            <w:tcW w:w="2130" w:type="dxa"/>
            <w:vAlign w:val="center"/>
          </w:tcPr>
          <w:p w14:paraId="1AA7739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交换服务器</w:t>
            </w:r>
          </w:p>
        </w:tc>
        <w:tc>
          <w:tcPr>
            <w:tcW w:w="3148" w:type="dxa"/>
            <w:vAlign w:val="center"/>
          </w:tcPr>
          <w:p w14:paraId="19113BB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浪潮NF5280M4</w:t>
            </w:r>
          </w:p>
        </w:tc>
        <w:tc>
          <w:tcPr>
            <w:tcW w:w="809" w:type="dxa"/>
            <w:vAlign w:val="center"/>
          </w:tcPr>
          <w:p w14:paraId="72D50A2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18</w:t>
            </w:r>
          </w:p>
        </w:tc>
        <w:tc>
          <w:tcPr>
            <w:tcW w:w="777" w:type="dxa"/>
            <w:vAlign w:val="center"/>
          </w:tcPr>
          <w:p w14:paraId="2D65E68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3AAE161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06E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5" w:type="dxa"/>
            <w:vAlign w:val="center"/>
          </w:tcPr>
          <w:p w14:paraId="12265C4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p>
        </w:tc>
        <w:tc>
          <w:tcPr>
            <w:tcW w:w="2130" w:type="dxa"/>
            <w:vAlign w:val="center"/>
          </w:tcPr>
          <w:p w14:paraId="7CD7E84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磁盘阵列</w:t>
            </w:r>
          </w:p>
        </w:tc>
        <w:tc>
          <w:tcPr>
            <w:tcW w:w="3148" w:type="dxa"/>
            <w:vAlign w:val="center"/>
          </w:tcPr>
          <w:p w14:paraId="164F4BB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宏杉MS3000G2</w:t>
            </w:r>
          </w:p>
        </w:tc>
        <w:tc>
          <w:tcPr>
            <w:tcW w:w="809" w:type="dxa"/>
            <w:vAlign w:val="center"/>
          </w:tcPr>
          <w:p w14:paraId="5672009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77" w:type="dxa"/>
            <w:vAlign w:val="center"/>
          </w:tcPr>
          <w:p w14:paraId="3AF8ADB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5AA0CFF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4F73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5" w:type="dxa"/>
            <w:vAlign w:val="center"/>
          </w:tcPr>
          <w:p w14:paraId="0FF0593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w:t>
            </w:r>
          </w:p>
        </w:tc>
        <w:tc>
          <w:tcPr>
            <w:tcW w:w="2130" w:type="dxa"/>
            <w:vAlign w:val="center"/>
          </w:tcPr>
          <w:p w14:paraId="6E9FF2A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地市磁盘阵列</w:t>
            </w:r>
          </w:p>
        </w:tc>
        <w:tc>
          <w:tcPr>
            <w:tcW w:w="3148" w:type="dxa"/>
            <w:vAlign w:val="center"/>
          </w:tcPr>
          <w:p w14:paraId="14A548F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宏杉MS2500G2-16A</w:t>
            </w:r>
          </w:p>
        </w:tc>
        <w:tc>
          <w:tcPr>
            <w:tcW w:w="809" w:type="dxa"/>
            <w:vAlign w:val="center"/>
          </w:tcPr>
          <w:p w14:paraId="4736F98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p>
        </w:tc>
        <w:tc>
          <w:tcPr>
            <w:tcW w:w="777" w:type="dxa"/>
            <w:vAlign w:val="center"/>
          </w:tcPr>
          <w:p w14:paraId="1E219B3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279D7CB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0E80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5" w:type="dxa"/>
            <w:vAlign w:val="center"/>
          </w:tcPr>
          <w:p w14:paraId="63A5CBA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w:t>
            </w:r>
          </w:p>
        </w:tc>
        <w:tc>
          <w:tcPr>
            <w:tcW w:w="2130" w:type="dxa"/>
            <w:vAlign w:val="center"/>
          </w:tcPr>
          <w:p w14:paraId="744D940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接入交换机</w:t>
            </w:r>
          </w:p>
        </w:tc>
        <w:tc>
          <w:tcPr>
            <w:tcW w:w="3148" w:type="dxa"/>
            <w:vAlign w:val="center"/>
          </w:tcPr>
          <w:p w14:paraId="75E0E24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新华三S5560-54S-EI</w:t>
            </w:r>
          </w:p>
        </w:tc>
        <w:tc>
          <w:tcPr>
            <w:tcW w:w="809" w:type="dxa"/>
            <w:vAlign w:val="center"/>
          </w:tcPr>
          <w:p w14:paraId="4799E9A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77" w:type="dxa"/>
            <w:vAlign w:val="center"/>
          </w:tcPr>
          <w:p w14:paraId="1CF949C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64FB0C3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6637D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5" w:type="dxa"/>
            <w:vAlign w:val="center"/>
          </w:tcPr>
          <w:p w14:paraId="796EE60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w:t>
            </w:r>
          </w:p>
        </w:tc>
        <w:tc>
          <w:tcPr>
            <w:tcW w:w="2130" w:type="dxa"/>
            <w:vAlign w:val="center"/>
          </w:tcPr>
          <w:p w14:paraId="6B9373D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FC交换机</w:t>
            </w:r>
          </w:p>
        </w:tc>
        <w:tc>
          <w:tcPr>
            <w:tcW w:w="3148" w:type="dxa"/>
            <w:vAlign w:val="center"/>
          </w:tcPr>
          <w:p w14:paraId="4BEE0DD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新华三S6800-2C</w:t>
            </w:r>
          </w:p>
        </w:tc>
        <w:tc>
          <w:tcPr>
            <w:tcW w:w="809" w:type="dxa"/>
            <w:vAlign w:val="center"/>
          </w:tcPr>
          <w:p w14:paraId="6B3747A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p>
        </w:tc>
        <w:tc>
          <w:tcPr>
            <w:tcW w:w="777" w:type="dxa"/>
            <w:vAlign w:val="center"/>
          </w:tcPr>
          <w:p w14:paraId="46364EB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48CF4FD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5AFB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755" w:type="dxa"/>
            <w:vAlign w:val="center"/>
          </w:tcPr>
          <w:p w14:paraId="4010F0A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8</w:t>
            </w:r>
          </w:p>
        </w:tc>
        <w:tc>
          <w:tcPr>
            <w:tcW w:w="2130" w:type="dxa"/>
            <w:vAlign w:val="center"/>
          </w:tcPr>
          <w:p w14:paraId="4B595D1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防火墙</w:t>
            </w:r>
          </w:p>
        </w:tc>
        <w:tc>
          <w:tcPr>
            <w:tcW w:w="3148" w:type="dxa"/>
            <w:vAlign w:val="center"/>
          </w:tcPr>
          <w:p w14:paraId="502B4CD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天融信NGFW-4000-UF（6电口4光口）</w:t>
            </w:r>
          </w:p>
        </w:tc>
        <w:tc>
          <w:tcPr>
            <w:tcW w:w="809" w:type="dxa"/>
            <w:vAlign w:val="center"/>
          </w:tcPr>
          <w:p w14:paraId="49E26D9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p>
        </w:tc>
        <w:tc>
          <w:tcPr>
            <w:tcW w:w="777" w:type="dxa"/>
            <w:vAlign w:val="center"/>
          </w:tcPr>
          <w:p w14:paraId="4D11B83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7CAA6AD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2DD0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755" w:type="dxa"/>
            <w:vAlign w:val="center"/>
          </w:tcPr>
          <w:p w14:paraId="4EF7FD3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9</w:t>
            </w:r>
          </w:p>
        </w:tc>
        <w:tc>
          <w:tcPr>
            <w:tcW w:w="2130" w:type="dxa"/>
            <w:vAlign w:val="center"/>
          </w:tcPr>
          <w:p w14:paraId="0802642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地市接入交换机</w:t>
            </w:r>
          </w:p>
        </w:tc>
        <w:tc>
          <w:tcPr>
            <w:tcW w:w="3148" w:type="dxa"/>
            <w:vAlign w:val="center"/>
          </w:tcPr>
          <w:p w14:paraId="3C4BED3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新华三S5130S-28P-EI</w:t>
            </w:r>
          </w:p>
        </w:tc>
        <w:tc>
          <w:tcPr>
            <w:tcW w:w="809" w:type="dxa"/>
            <w:vAlign w:val="center"/>
          </w:tcPr>
          <w:p w14:paraId="1A48767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w:t>
            </w:r>
          </w:p>
        </w:tc>
        <w:tc>
          <w:tcPr>
            <w:tcW w:w="777" w:type="dxa"/>
            <w:vAlign w:val="center"/>
          </w:tcPr>
          <w:p w14:paraId="10057DA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25065E4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5F90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755" w:type="dxa"/>
            <w:vAlign w:val="center"/>
          </w:tcPr>
          <w:p w14:paraId="35D82BB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10</w:t>
            </w:r>
          </w:p>
        </w:tc>
        <w:tc>
          <w:tcPr>
            <w:tcW w:w="2130" w:type="dxa"/>
            <w:vAlign w:val="center"/>
          </w:tcPr>
          <w:p w14:paraId="28D437F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地市防火墙</w:t>
            </w:r>
          </w:p>
        </w:tc>
        <w:tc>
          <w:tcPr>
            <w:tcW w:w="3148" w:type="dxa"/>
            <w:vAlign w:val="center"/>
          </w:tcPr>
          <w:p w14:paraId="472E71C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天融信NGFW-4000-UF（10电口）</w:t>
            </w:r>
          </w:p>
        </w:tc>
        <w:tc>
          <w:tcPr>
            <w:tcW w:w="809" w:type="dxa"/>
            <w:vAlign w:val="center"/>
          </w:tcPr>
          <w:p w14:paraId="341C7AD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p>
        </w:tc>
        <w:tc>
          <w:tcPr>
            <w:tcW w:w="777" w:type="dxa"/>
            <w:vAlign w:val="center"/>
          </w:tcPr>
          <w:p w14:paraId="7C1C87A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838" w:type="dxa"/>
            <w:vAlign w:val="center"/>
          </w:tcPr>
          <w:p w14:paraId="76D9C6C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39D1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755" w:type="dxa"/>
            <w:vAlign w:val="center"/>
          </w:tcPr>
          <w:p w14:paraId="1DC300E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11</w:t>
            </w:r>
          </w:p>
        </w:tc>
        <w:tc>
          <w:tcPr>
            <w:tcW w:w="2130" w:type="dxa"/>
            <w:vAlign w:val="center"/>
          </w:tcPr>
          <w:p w14:paraId="7B1BC29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防病毒软件</w:t>
            </w:r>
          </w:p>
        </w:tc>
        <w:tc>
          <w:tcPr>
            <w:tcW w:w="3148" w:type="dxa"/>
            <w:vAlign w:val="center"/>
          </w:tcPr>
          <w:p w14:paraId="0B34D87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企业终端安全管理系统软件</w:t>
            </w:r>
          </w:p>
        </w:tc>
        <w:tc>
          <w:tcPr>
            <w:tcW w:w="809" w:type="dxa"/>
            <w:vAlign w:val="center"/>
          </w:tcPr>
          <w:p w14:paraId="643B06E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77" w:type="dxa"/>
            <w:vAlign w:val="center"/>
          </w:tcPr>
          <w:p w14:paraId="16F6182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838" w:type="dxa"/>
            <w:vAlign w:val="center"/>
          </w:tcPr>
          <w:p w14:paraId="1E9FDB2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r w14:paraId="7885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755" w:type="dxa"/>
            <w:vAlign w:val="center"/>
          </w:tcPr>
          <w:p w14:paraId="52CCF7A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12</w:t>
            </w:r>
          </w:p>
        </w:tc>
        <w:tc>
          <w:tcPr>
            <w:tcW w:w="2130" w:type="dxa"/>
            <w:vAlign w:val="center"/>
          </w:tcPr>
          <w:p w14:paraId="6EF6CCB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虚拟化管理软件</w:t>
            </w:r>
          </w:p>
        </w:tc>
        <w:tc>
          <w:tcPr>
            <w:tcW w:w="3148" w:type="dxa"/>
            <w:vAlign w:val="center"/>
          </w:tcPr>
          <w:p w14:paraId="355632C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VMwarevSphere6Enterprise PlusVMware vCenter Server 6 Standard for vSphere 6</w:t>
            </w:r>
          </w:p>
        </w:tc>
        <w:tc>
          <w:tcPr>
            <w:tcW w:w="809" w:type="dxa"/>
            <w:vAlign w:val="center"/>
          </w:tcPr>
          <w:p w14:paraId="7EEF8A4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777" w:type="dxa"/>
            <w:vAlign w:val="center"/>
          </w:tcPr>
          <w:p w14:paraId="60BFA50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套</w:t>
            </w:r>
          </w:p>
        </w:tc>
        <w:tc>
          <w:tcPr>
            <w:tcW w:w="838" w:type="dxa"/>
            <w:vAlign w:val="center"/>
          </w:tcPr>
          <w:p w14:paraId="5FEDDE35">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bl>
    <w:p w14:paraId="2CCC7E50">
      <w:pPr>
        <w:pageBreakBefore w:val="0"/>
        <w:tabs>
          <w:tab w:val="left" w:pos="840"/>
        </w:tabs>
        <w:kinsoku/>
        <w:wordWrap/>
        <w:overflowPunct/>
        <w:topLinePunct w:val="0"/>
        <w:autoSpaceDE/>
        <w:autoSpaceDN/>
        <w:bidi w:val="0"/>
        <w:adjustRightInd/>
        <w:snapToGrid/>
        <w:spacing w:line="500" w:lineRule="exact"/>
        <w:jc w:val="left"/>
        <w:textAlignment w:val="auto"/>
        <w:rPr>
          <w:rFonts w:hint="eastAsia" w:ascii="仿宋" w:hAnsi="仿宋" w:eastAsia="仿宋" w:cs="仿宋"/>
          <w:sz w:val="28"/>
          <w:szCs w:val="28"/>
          <w:highlight w:val="none"/>
          <w:lang w:eastAsia="zh-CN"/>
        </w:rPr>
      </w:pPr>
    </w:p>
    <w:p w14:paraId="71B587F2">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专网主干网运维设备主要包括10台专网二级汇聚路由器。需完成交通行业专网网络设备硬件的日常维护保养、硬件(含系统软件)故障的分析排除、设备质保、备件管理和更换，以及网络的优化、调整、配置等工作，保障网络正常运行。</w:t>
      </w:r>
    </w:p>
    <w:p w14:paraId="392F2AE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专网主干网软硬件维保清单如下：</w:t>
      </w:r>
    </w:p>
    <w:tbl>
      <w:tblPr>
        <w:tblStyle w:val="4"/>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012"/>
        <w:gridCol w:w="1406"/>
        <w:gridCol w:w="1407"/>
        <w:gridCol w:w="1407"/>
        <w:gridCol w:w="1407"/>
      </w:tblGrid>
      <w:tr w14:paraId="4EDA4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799" w:type="dxa"/>
            <w:vAlign w:val="center"/>
          </w:tcPr>
          <w:p w14:paraId="79F3403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序号</w:t>
            </w:r>
          </w:p>
        </w:tc>
        <w:tc>
          <w:tcPr>
            <w:tcW w:w="2012" w:type="dxa"/>
            <w:vAlign w:val="center"/>
          </w:tcPr>
          <w:p w14:paraId="39A295C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设备/软件名称</w:t>
            </w:r>
          </w:p>
        </w:tc>
        <w:tc>
          <w:tcPr>
            <w:tcW w:w="1406" w:type="dxa"/>
            <w:vAlign w:val="center"/>
          </w:tcPr>
          <w:p w14:paraId="6F986A1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品牌型号</w:t>
            </w:r>
          </w:p>
        </w:tc>
        <w:tc>
          <w:tcPr>
            <w:tcW w:w="1407" w:type="dxa"/>
            <w:vAlign w:val="center"/>
          </w:tcPr>
          <w:p w14:paraId="0EB312BD">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数量 </w:t>
            </w:r>
          </w:p>
        </w:tc>
        <w:tc>
          <w:tcPr>
            <w:tcW w:w="1407" w:type="dxa"/>
            <w:vAlign w:val="center"/>
          </w:tcPr>
          <w:p w14:paraId="1717154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单位</w:t>
            </w:r>
          </w:p>
        </w:tc>
        <w:tc>
          <w:tcPr>
            <w:tcW w:w="1407" w:type="dxa"/>
            <w:vAlign w:val="center"/>
          </w:tcPr>
          <w:p w14:paraId="4E0D042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备注</w:t>
            </w:r>
          </w:p>
        </w:tc>
      </w:tr>
      <w:tr w14:paraId="59781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799" w:type="dxa"/>
            <w:vAlign w:val="top"/>
          </w:tcPr>
          <w:p w14:paraId="59A9123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p>
        </w:tc>
        <w:tc>
          <w:tcPr>
            <w:tcW w:w="2012" w:type="dxa"/>
            <w:vAlign w:val="top"/>
          </w:tcPr>
          <w:p w14:paraId="2117DB5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汇聚</w:t>
            </w:r>
            <w:r>
              <w:rPr>
                <w:rFonts w:hint="eastAsia" w:ascii="仿宋" w:hAnsi="仿宋" w:eastAsia="仿宋" w:cs="仿宋"/>
                <w:sz w:val="24"/>
                <w:szCs w:val="24"/>
                <w:highlight w:val="none"/>
                <w:lang w:val="en-US" w:eastAsia="zh-CN"/>
              </w:rPr>
              <w:t>路由器</w:t>
            </w:r>
          </w:p>
        </w:tc>
        <w:tc>
          <w:tcPr>
            <w:tcW w:w="1406" w:type="dxa"/>
            <w:vAlign w:val="top"/>
          </w:tcPr>
          <w:p w14:paraId="6FFDE226">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华为NE20</w:t>
            </w:r>
          </w:p>
        </w:tc>
        <w:tc>
          <w:tcPr>
            <w:tcW w:w="1407" w:type="dxa"/>
            <w:vAlign w:val="top"/>
          </w:tcPr>
          <w:p w14:paraId="582721A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10</w:t>
            </w:r>
          </w:p>
        </w:tc>
        <w:tc>
          <w:tcPr>
            <w:tcW w:w="1407" w:type="dxa"/>
            <w:vAlign w:val="top"/>
          </w:tcPr>
          <w:p w14:paraId="6781ECE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台</w:t>
            </w:r>
          </w:p>
        </w:tc>
        <w:tc>
          <w:tcPr>
            <w:tcW w:w="1407" w:type="dxa"/>
            <w:vAlign w:val="top"/>
          </w:tcPr>
          <w:p w14:paraId="28FEB78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highlight w:val="none"/>
                <w:lang w:eastAsia="zh-CN"/>
              </w:rPr>
            </w:pPr>
          </w:p>
        </w:tc>
      </w:tr>
    </w:tbl>
    <w:p w14:paraId="37CCE587">
      <w:pPr>
        <w:pageBreakBefore w:val="0"/>
        <w:tabs>
          <w:tab w:val="left" w:pos="840"/>
        </w:tabs>
        <w:kinsoku/>
        <w:wordWrap/>
        <w:overflowPunct/>
        <w:topLinePunct w:val="0"/>
        <w:autoSpaceDE/>
        <w:autoSpaceDN/>
        <w:bidi w:val="0"/>
        <w:adjustRightInd/>
        <w:snapToGrid/>
        <w:spacing w:line="500" w:lineRule="exact"/>
        <w:jc w:val="left"/>
        <w:textAlignment w:val="auto"/>
        <w:rPr>
          <w:rFonts w:hint="eastAsia" w:ascii="仿宋" w:hAnsi="仿宋" w:eastAsia="仿宋" w:cs="仿宋"/>
          <w:sz w:val="28"/>
          <w:szCs w:val="28"/>
          <w:highlight w:val="none"/>
          <w:lang w:eastAsia="zh-CN"/>
        </w:rPr>
      </w:pPr>
    </w:p>
    <w:p w14:paraId="6503A5D0">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1.2日常维护工作</w:t>
      </w:r>
    </w:p>
    <w:p w14:paraId="65C13AC6">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（1）云服务部署与配置</w:t>
      </w:r>
    </w:p>
    <w:p w14:paraId="3ACDB43D">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根据业务需求配置网络和存储资源，确保服务的稳定性、可扩展性和高可用性。</w:t>
      </w:r>
    </w:p>
    <w:p w14:paraId="21B803E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（2）系统监控与维护</w:t>
      </w:r>
    </w:p>
    <w:p w14:paraId="2163E411">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系统监控是云服务运维的核心工作之一。通过部署各种监控工具和日志收集系统，实时收集和分析云服务的运行状态、性能指标、错误日志等信息。一旦发现异常，立即进行干预，确保系统的稳定运行。定期进行系统维护，如更新操作系统和软件包、清理日志文件、检查磁盘空间等。</w:t>
      </w:r>
    </w:p>
    <w:p w14:paraId="665DB0BD">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（3）性能优化与调整</w:t>
      </w:r>
    </w:p>
    <w:p w14:paraId="4775BF30">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针对运行过程中出现的性能瓶颈进行性能优化与调整。包括但不限于优化数据库查询、调整系统参数、升级硬件资源、优化网络配置等。通过持续的优化和调整，提升云服务的性能和响应时间，为用户提供更好的服务体验。</w:t>
      </w:r>
    </w:p>
    <w:p w14:paraId="74380912">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（4）故障诊断与排除</w:t>
      </w:r>
    </w:p>
    <w:p w14:paraId="405E0764">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出现故障时，迅速进行故障诊断与排除。建立完善的故障应对机制，确保在故障发生时能够迅速响应和恢复服务。</w:t>
      </w:r>
    </w:p>
    <w:p w14:paraId="51F5CE09">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（5）数据备份与恢复</w:t>
      </w:r>
    </w:p>
    <w:p w14:paraId="6C8F5B2C">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定期备份重要数据，并确保备份数据的完整性和可用性。同时建立数据恢复机制，以便在数据丢失或损坏时能够迅速恢复。这对于保障业务连续性和数据安全至关重要。</w:t>
      </w:r>
    </w:p>
    <w:p w14:paraId="74DF4C39">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（6）安全管理与防护</w:t>
      </w:r>
    </w:p>
    <w:p w14:paraId="106A7A34">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关注网络安全、主机安全、数据安全等方面，采取多种措施防范安全威胁。包括但不限于部署防火墙、配置安全组、启用加密通信、定期更新安全补丁等。定期进行安全审计和风险评估，确保云服务的安全稳定。</w:t>
      </w:r>
    </w:p>
    <w:p w14:paraId="5A5CBFED">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（7）容量规划与扩展</w:t>
      </w:r>
    </w:p>
    <w:p w14:paraId="5D8C8F2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随着业务的发展，云服务的容量需求可能会不断增长。根据业务需求预测未来的资源需求，提前进行资源准备和扩容操作。同时，我们还要关注资源的利用情况和性能瓶颈，及时进行资源调整和优化。通过合理的容量规划与扩展，确保云服务能够满足业务发展的需求。</w:t>
      </w:r>
    </w:p>
    <w:p w14:paraId="076E77B0">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1.3云平台资源优化工作</w:t>
      </w:r>
    </w:p>
    <w:p w14:paraId="379D783B">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根据业务需求，为</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提供云平台的优化和资源管理优化服务实施工作，进一步提升云平台的稳定性和利用率。</w:t>
      </w:r>
    </w:p>
    <w:p w14:paraId="3D159EE0">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1.4服务指标</w:t>
      </w:r>
    </w:p>
    <w:p w14:paraId="77B432FF">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（1）每周7×24小时，全年保持电话及时响应。</w:t>
      </w:r>
    </w:p>
    <w:p w14:paraId="3B971ABC">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（2）对维护的计算、网络、存储、安全等设备（以下简称“设备”）硬件可能随时发生的一般故障，在接到故障申告时起，1小时内到达省信息化中心5楼机房，紧急故障在接到故障申告后30分钟内到达中心机房。</w:t>
      </w:r>
    </w:p>
    <w:p w14:paraId="4EEA7773">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（3）维护方到达故障现场时起，故障诊断时间不超过1小时。非运营商链路中断造成的故障，系统恢复运行时间不超过2小时。</w:t>
      </w:r>
    </w:p>
    <w:p w14:paraId="64571A9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（4）如需要更换备件，在接到故障申告时起，1小时内备件到达故障现场，部分特殊订制备件到场时间不超过14天，从备件到场时起，更换备件作业时间不超过2小时。</w:t>
      </w:r>
    </w:p>
    <w:p w14:paraId="009DFF6B">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5）每月一次对现场所维护的设备硬件进行常规检测，并详细记录检测内容和结果。对随时发现的故障和不合理的使用进行解决和纠正。对所有设备进行运行日志分析，发现潜在的硬件故障，并着手对故障进行解决。</w:t>
      </w:r>
    </w:p>
    <w:p w14:paraId="09494FB1">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（6）每两个月一次派遣技术专家对维护的所有设备硬件进行常规检测，并详细记录检测内容和结果。对发现的故障隐患和不合理内容进行处理。</w:t>
      </w:r>
    </w:p>
    <w:p w14:paraId="3DF449D1">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（7）对本次维护的所有设备硬件的故障排除、运行监测、检测和备件更换等所有操作都应有文字记录；每月1日以简报方式向</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eastAsia="zh-CN"/>
        </w:rPr>
        <w:t>相关负责人提交上月维护报告；年末汇报总结全年的维护情况。</w:t>
      </w:r>
    </w:p>
    <w:p w14:paraId="0B6A8DA4">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（8）每两</w:t>
      </w:r>
      <w:r>
        <w:rPr>
          <w:rFonts w:hint="eastAsia" w:ascii="仿宋" w:hAnsi="仿宋" w:eastAsia="仿宋" w:cs="仿宋"/>
          <w:sz w:val="28"/>
          <w:szCs w:val="28"/>
          <w:highlight w:val="none"/>
          <w:lang w:val="en-US" w:eastAsia="zh-CN"/>
        </w:rPr>
        <w:t>个</w:t>
      </w:r>
      <w:r>
        <w:rPr>
          <w:rFonts w:hint="eastAsia" w:ascii="仿宋" w:hAnsi="仿宋" w:eastAsia="仿宋" w:cs="仿宋"/>
          <w:sz w:val="28"/>
          <w:szCs w:val="28"/>
          <w:highlight w:val="none"/>
          <w:lang w:eastAsia="zh-CN"/>
        </w:rPr>
        <w:t>月打扫一次中心机房和机柜内部灰尘。每年两次清理本次合同范围内的所有网络设备、安全设备硬件机箱内部的灰尘。</w:t>
      </w:r>
    </w:p>
    <w:p w14:paraId="19843281">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1.5预提交成果</w:t>
      </w:r>
    </w:p>
    <w:p w14:paraId="6A1B7663">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故障分析与排除报告：对于发生的每一次硬件（含系统软件）故障，提交详细的故障分析报告，包括故障现象描述、诊断过程、根本原因分析及采取的解决措施。</w:t>
      </w:r>
    </w:p>
    <w:p w14:paraId="19433BE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设备监测与备件管理台账：所有网络设备、安全设备硬件的故障排除、运行监测、检测和备件更换等所有操作都应有文字记录，建立备件库存清单，包括备件种类、数量、存放位置及更换记录，确保关键备件充足且易于获取。</w:t>
      </w:r>
    </w:p>
    <w:p w14:paraId="33EEB0C9">
      <w:pPr>
        <w:adjustRightInd/>
        <w:spacing w:line="500" w:lineRule="exact"/>
        <w:rPr>
          <w:rFonts w:ascii="仿宋" w:hAnsi="仿宋" w:eastAsia="仿宋" w:cs="仿宋"/>
          <w:b/>
          <w:sz w:val="28"/>
          <w:szCs w:val="28"/>
        </w:rPr>
      </w:pPr>
      <w:r>
        <w:rPr>
          <w:rFonts w:hint="eastAsia" w:ascii="仿宋" w:hAnsi="仿宋" w:eastAsia="仿宋" w:cs="仿宋"/>
          <w:b/>
          <w:sz w:val="28"/>
          <w:szCs w:val="28"/>
        </w:rPr>
        <w:t>七、项目实施地点</w:t>
      </w:r>
    </w:p>
    <w:p w14:paraId="579C4BDC">
      <w:pPr>
        <w:tabs>
          <w:tab w:val="left" w:pos="840"/>
        </w:tabs>
        <w:adjustRightInd/>
        <w:spacing w:line="500" w:lineRule="exact"/>
        <w:ind w:firstLine="560" w:firstLineChars="200"/>
        <w:rPr>
          <w:rFonts w:hint="eastAsia" w:ascii="仿宋" w:hAnsi="仿宋" w:eastAsia="仿宋" w:cs="仿宋"/>
          <w:b/>
          <w:sz w:val="28"/>
          <w:szCs w:val="28"/>
          <w:lang w:eastAsia="zh-CN"/>
        </w:rPr>
      </w:pPr>
      <w:bookmarkStart w:id="0" w:name="_Toc3186"/>
      <w:bookmarkEnd w:id="0"/>
      <w:bookmarkStart w:id="1" w:name="_Toc32413"/>
      <w:bookmarkEnd w:id="1"/>
      <w:bookmarkStart w:id="2" w:name="_Toc25637"/>
      <w:bookmarkEnd w:id="2"/>
      <w:r>
        <w:rPr>
          <w:rFonts w:hint="eastAsia" w:ascii="仿宋" w:hAnsi="仿宋" w:eastAsia="仿宋" w:cs="仿宋"/>
          <w:sz w:val="28"/>
          <w:szCs w:val="28"/>
          <w:lang w:eastAsia="zh-CN"/>
        </w:rPr>
        <w:t>甲方指定地点。</w:t>
      </w:r>
    </w:p>
    <w:p w14:paraId="3E0DC5A0">
      <w:pPr>
        <w:adjustRightInd/>
        <w:spacing w:line="500" w:lineRule="exact"/>
        <w:rPr>
          <w:rFonts w:ascii="仿宋" w:hAnsi="仿宋" w:eastAsia="仿宋" w:cs="仿宋"/>
          <w:b/>
          <w:sz w:val="28"/>
          <w:szCs w:val="28"/>
        </w:rPr>
      </w:pPr>
      <w:r>
        <w:rPr>
          <w:rFonts w:hint="eastAsia" w:ascii="仿宋" w:hAnsi="仿宋" w:eastAsia="仿宋" w:cs="仿宋"/>
          <w:b/>
          <w:sz w:val="28"/>
          <w:szCs w:val="28"/>
        </w:rPr>
        <w:t>八、双方的责任义务</w:t>
      </w:r>
    </w:p>
    <w:p w14:paraId="20BD4210">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1.乙方服务内容应与政府采购招投标文件及本合同所指明的服务内容相一致，确保本项目正常交付使用，并负责后期服务。</w:t>
      </w:r>
    </w:p>
    <w:p w14:paraId="6DD2C72F">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2.甲方应按合同约定的付款方式向乙方支付相关费用。</w:t>
      </w:r>
    </w:p>
    <w:p w14:paraId="198D51B2">
      <w:pPr>
        <w:adjustRightInd/>
        <w:spacing w:line="360" w:lineRule="auto"/>
        <w:ind w:firstLine="560" w:firstLineChars="200"/>
        <w:jc w:val="left"/>
        <w:rPr>
          <w:rFonts w:ascii="仿宋" w:hAnsi="仿宋" w:eastAsia="仿宋" w:cs="宋体"/>
          <w:kern w:val="0"/>
          <w:sz w:val="28"/>
          <w:szCs w:val="28"/>
        </w:rPr>
      </w:pPr>
      <w:r>
        <w:rPr>
          <w:rFonts w:hint="eastAsia" w:ascii="仿宋" w:hAnsi="仿宋" w:eastAsia="仿宋" w:cs="Times New Roman"/>
          <w:kern w:val="0"/>
          <w:sz w:val="28"/>
          <w:szCs w:val="28"/>
        </w:rPr>
        <w:t>3</w:t>
      </w:r>
      <w:r>
        <w:rPr>
          <w:rFonts w:ascii="仿宋" w:hAnsi="仿宋" w:eastAsia="仿宋" w:cs="Times New Roman"/>
          <w:kern w:val="0"/>
          <w:sz w:val="28"/>
          <w:szCs w:val="28"/>
        </w:rPr>
        <w:t>.</w:t>
      </w:r>
      <w:r>
        <w:rPr>
          <w:rFonts w:ascii="仿宋" w:hAnsi="仿宋" w:eastAsia="仿宋" w:cs="宋体"/>
          <w:kern w:val="0"/>
          <w:sz w:val="28"/>
          <w:szCs w:val="28"/>
        </w:rPr>
        <w:t>如需乙方提供现场支持服务的，甲方应当尽合理努力为乙方提供办公场所、网络等便利条件</w:t>
      </w:r>
      <w:r>
        <w:rPr>
          <w:rFonts w:hint="eastAsia" w:ascii="仿宋" w:hAnsi="仿宋" w:eastAsia="仿宋" w:cs="宋体"/>
          <w:kern w:val="0"/>
          <w:sz w:val="28"/>
          <w:szCs w:val="28"/>
        </w:rPr>
        <w:t>。</w:t>
      </w:r>
    </w:p>
    <w:p w14:paraId="2EEECC59">
      <w:pPr>
        <w:adjustRightInd/>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4</w:t>
      </w:r>
      <w:r>
        <w:rPr>
          <w:rFonts w:ascii="仿宋" w:hAnsi="仿宋" w:eastAsia="仿宋" w:cs="宋体"/>
          <w:kern w:val="0"/>
          <w:sz w:val="28"/>
          <w:szCs w:val="28"/>
        </w:rPr>
        <w:t>.</w:t>
      </w:r>
      <w:r>
        <w:rPr>
          <w:rFonts w:hint="eastAsia" w:ascii="仿宋" w:hAnsi="仿宋" w:eastAsia="仿宋" w:cs="宋体"/>
          <w:kern w:val="0"/>
          <w:sz w:val="28"/>
          <w:szCs w:val="28"/>
        </w:rPr>
        <w:t>乙方确认，</w:t>
      </w:r>
      <w:r>
        <w:rPr>
          <w:rFonts w:ascii="仿宋" w:hAnsi="仿宋" w:eastAsia="仿宋" w:cs="宋体"/>
          <w:kern w:val="0"/>
          <w:sz w:val="28"/>
          <w:szCs w:val="28"/>
        </w:rPr>
        <w:t>甲乙双方不建立劳务派遣关系或类似关系，乙方应向其员工承担用人单位的全部责任</w:t>
      </w:r>
      <w:r>
        <w:rPr>
          <w:rFonts w:hint="eastAsia" w:ascii="仿宋" w:hAnsi="仿宋" w:eastAsia="仿宋" w:cs="宋体"/>
          <w:kern w:val="0"/>
          <w:sz w:val="28"/>
          <w:szCs w:val="28"/>
        </w:rPr>
        <w:t>。</w:t>
      </w:r>
      <w:r>
        <w:rPr>
          <w:rFonts w:ascii="仿宋" w:hAnsi="仿宋" w:eastAsia="仿宋" w:cs="宋体"/>
          <w:kern w:val="0"/>
          <w:sz w:val="28"/>
          <w:szCs w:val="28"/>
        </w:rPr>
        <w:t>乙方应与其员工签署劳动合同，依法缴纳社会保险，对员工承担用人单位的全部法定责任。</w:t>
      </w:r>
    </w:p>
    <w:p w14:paraId="450F7881">
      <w:pPr>
        <w:adjustRightInd/>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乙方员工工作期间受到伤害或发生安全责任事故的，由乙方负责处理，并由乙方承担全部法律责任。</w:t>
      </w:r>
    </w:p>
    <w:p w14:paraId="65F84898">
      <w:pPr>
        <w:adjustRightInd/>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5</w:t>
      </w:r>
      <w:r>
        <w:rPr>
          <w:rFonts w:ascii="仿宋" w:hAnsi="仿宋" w:eastAsia="仿宋" w:cs="宋体"/>
          <w:kern w:val="0"/>
          <w:sz w:val="28"/>
          <w:szCs w:val="28"/>
        </w:rPr>
        <w:t>.甲方不对乙方员工承担任何用人单位或劳务派遣用工单位的责任。无论因任何原因导致甲方向乙方员工或雇员承担任何责任的，甲方有权向乙方追偿。</w:t>
      </w:r>
    </w:p>
    <w:p w14:paraId="06CFED97">
      <w:pPr>
        <w:adjustRightInd/>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6</w:t>
      </w:r>
      <w:r>
        <w:rPr>
          <w:rFonts w:ascii="仿宋" w:hAnsi="仿宋" w:eastAsia="仿宋" w:cs="宋体"/>
          <w:kern w:val="0"/>
          <w:sz w:val="28"/>
          <w:szCs w:val="28"/>
        </w:rPr>
        <w:t>.甲乙双方不构成代理关系，乙方不得以甲方名义对外签署或发布任何文件、制度等。</w:t>
      </w:r>
    </w:p>
    <w:p w14:paraId="68674F51">
      <w:pPr>
        <w:adjustRightInd/>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7</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乙方应勤勉敬业履行自身义务，及时、有预判性的处理好项目中的工作，不得因自身工作不到位影响设备正常运行，进而影响到甲方工作。如遇到需要紧急处理事宜，乙方应无条件配合甲方予以处理。</w:t>
      </w:r>
    </w:p>
    <w:p w14:paraId="26EF6D7B">
      <w:pPr>
        <w:adjustRightInd/>
        <w:spacing w:line="500" w:lineRule="exact"/>
        <w:rPr>
          <w:rFonts w:ascii="仿宋" w:hAnsi="仿宋" w:eastAsia="仿宋" w:cs="仿宋"/>
          <w:b/>
          <w:sz w:val="28"/>
          <w:szCs w:val="28"/>
        </w:rPr>
      </w:pPr>
      <w:r>
        <w:rPr>
          <w:rFonts w:hint="eastAsia" w:ascii="仿宋" w:hAnsi="仿宋" w:eastAsia="仿宋" w:cs="仿宋"/>
          <w:b/>
          <w:sz w:val="28"/>
          <w:szCs w:val="28"/>
        </w:rPr>
        <w:t>九、验收</w:t>
      </w:r>
    </w:p>
    <w:p w14:paraId="3A8CBB9B">
      <w:pPr>
        <w:adjustRightInd/>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服务期满，经甲方验收合格后，确定项目完成。</w:t>
      </w:r>
    </w:p>
    <w:p w14:paraId="12153CBD">
      <w:pPr>
        <w:adjustRightInd/>
        <w:spacing w:line="500" w:lineRule="exact"/>
        <w:rPr>
          <w:rFonts w:ascii="仿宋" w:hAnsi="仿宋" w:eastAsia="仿宋" w:cs="仿宋"/>
          <w:b/>
          <w:sz w:val="28"/>
          <w:szCs w:val="28"/>
        </w:rPr>
      </w:pPr>
      <w:r>
        <w:rPr>
          <w:rFonts w:hint="eastAsia" w:ascii="仿宋" w:hAnsi="仿宋" w:eastAsia="仿宋" w:cs="仿宋"/>
          <w:b/>
          <w:sz w:val="28"/>
          <w:szCs w:val="28"/>
        </w:rPr>
        <w:t>十、保密</w:t>
      </w:r>
    </w:p>
    <w:p w14:paraId="67E0B149">
      <w:pPr>
        <w:tabs>
          <w:tab w:val="left" w:pos="1080"/>
        </w:tabs>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对工作中了解到的甲方的技术、机密等进行严格保密，不得向他人泄漏。本合同的解除或终止不免除乙方应承担的保密义务。</w:t>
      </w:r>
    </w:p>
    <w:p w14:paraId="66792ADD">
      <w:pPr>
        <w:adjustRightInd/>
        <w:spacing w:line="500" w:lineRule="exact"/>
        <w:rPr>
          <w:rFonts w:ascii="仿宋" w:hAnsi="仿宋" w:eastAsia="仿宋" w:cs="仿宋"/>
          <w:b/>
          <w:sz w:val="28"/>
          <w:szCs w:val="28"/>
        </w:rPr>
      </w:pPr>
      <w:r>
        <w:rPr>
          <w:rFonts w:hint="eastAsia" w:ascii="仿宋" w:hAnsi="仿宋" w:eastAsia="仿宋" w:cs="仿宋"/>
          <w:b/>
          <w:sz w:val="28"/>
          <w:szCs w:val="28"/>
        </w:rPr>
        <w:t>十一、知识产权</w:t>
      </w:r>
    </w:p>
    <w:p w14:paraId="756A55AB">
      <w:pPr>
        <w:adjustRightInd w:val="0"/>
        <w:spacing w:line="360" w:lineRule="auto"/>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3093A813">
      <w:pPr>
        <w:adjustRightInd w:val="0"/>
        <w:spacing w:line="360" w:lineRule="auto"/>
        <w:ind w:firstLine="560" w:firstLineChars="200"/>
        <w:jc w:val="left"/>
        <w:rPr>
          <w:rFonts w:ascii="仿宋" w:hAnsi="仿宋" w:eastAsia="仿宋" w:cs="宋体"/>
          <w:kern w:val="0"/>
          <w:sz w:val="28"/>
          <w:szCs w:val="28"/>
        </w:rPr>
      </w:pPr>
      <w:r>
        <w:rPr>
          <w:rFonts w:ascii="仿宋" w:hAnsi="仿宋" w:eastAsia="仿宋" w:cs="Times New Roman"/>
          <w:kern w:val="0"/>
          <w:sz w:val="28"/>
          <w:szCs w:val="28"/>
        </w:rPr>
        <w:t>2.</w:t>
      </w:r>
      <w:r>
        <w:rPr>
          <w:rFonts w:ascii="仿宋" w:hAnsi="仿宋" w:eastAsia="仿宋" w:cs="宋体"/>
          <w:kern w:val="0"/>
          <w:sz w:val="28"/>
          <w:szCs w:val="28"/>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61D68851">
      <w:pPr>
        <w:adjustRightInd/>
        <w:spacing w:line="500" w:lineRule="exact"/>
        <w:rPr>
          <w:rFonts w:ascii="仿宋" w:hAnsi="仿宋" w:eastAsia="仿宋" w:cs="仿宋"/>
          <w:b/>
          <w:sz w:val="28"/>
          <w:szCs w:val="28"/>
        </w:rPr>
      </w:pPr>
      <w:r>
        <w:rPr>
          <w:rFonts w:hint="eastAsia" w:ascii="仿宋" w:hAnsi="仿宋" w:eastAsia="仿宋" w:cs="仿宋"/>
          <w:b/>
          <w:sz w:val="28"/>
          <w:szCs w:val="28"/>
        </w:rPr>
        <w:t>十二、合同争议的解决</w:t>
      </w:r>
    </w:p>
    <w:p w14:paraId="105EAC9A">
      <w:pPr>
        <w:tabs>
          <w:tab w:val="left" w:pos="498"/>
        </w:tabs>
        <w:adjustRightInd/>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合同执行中发生争议的，当事人双方应协商解决，协商达不成一致时，可向甲方所在地人民法院提请诉讼。</w:t>
      </w:r>
    </w:p>
    <w:p w14:paraId="1CA3DEF7">
      <w:pPr>
        <w:adjustRightInd/>
        <w:spacing w:line="500" w:lineRule="exact"/>
        <w:rPr>
          <w:rFonts w:ascii="仿宋" w:hAnsi="仿宋" w:eastAsia="仿宋" w:cs="仿宋"/>
          <w:b/>
          <w:sz w:val="28"/>
          <w:szCs w:val="28"/>
        </w:rPr>
      </w:pPr>
      <w:r>
        <w:rPr>
          <w:rFonts w:hint="eastAsia" w:ascii="仿宋" w:hAnsi="仿宋" w:eastAsia="仿宋" w:cs="仿宋"/>
          <w:b/>
          <w:sz w:val="28"/>
          <w:szCs w:val="28"/>
        </w:rPr>
        <w:t>十三、不可抗力情况下的免责约定</w:t>
      </w:r>
    </w:p>
    <w:p w14:paraId="0E6C0720">
      <w:pPr>
        <w:tabs>
          <w:tab w:val="left" w:pos="498"/>
        </w:tabs>
        <w:adjustRightInd/>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双方约定在以下不可抗力情况下互不承担责任，共同协商解决。双方不可预见、不可避免、不可克服的客观情况，但不包括双方的违约或疏忽，这些事件包括但不限于：战争、严重火灾、洪水、台风、地震等。</w:t>
      </w:r>
    </w:p>
    <w:p w14:paraId="03A22CC6">
      <w:pPr>
        <w:adjustRightInd/>
        <w:spacing w:line="500" w:lineRule="exact"/>
        <w:rPr>
          <w:rFonts w:ascii="仿宋" w:hAnsi="仿宋" w:eastAsia="仿宋" w:cs="仿宋"/>
          <w:b/>
          <w:sz w:val="28"/>
          <w:szCs w:val="28"/>
        </w:rPr>
      </w:pPr>
      <w:r>
        <w:rPr>
          <w:rFonts w:hint="eastAsia" w:ascii="仿宋" w:hAnsi="仿宋" w:eastAsia="仿宋" w:cs="仿宋"/>
          <w:b/>
          <w:sz w:val="28"/>
          <w:szCs w:val="28"/>
        </w:rPr>
        <w:t>十四、终止合同</w:t>
      </w:r>
    </w:p>
    <w:p w14:paraId="3E87D6E7">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除本合同约定，合同一经签订，不得擅自变更、中止或者终止合同。对确需变更、调整或者中止、终止合同的，应按规定履行相应的手续。</w:t>
      </w:r>
    </w:p>
    <w:p w14:paraId="5D0C876E">
      <w:pPr>
        <w:adjustRightInd/>
        <w:spacing w:line="500" w:lineRule="exact"/>
        <w:rPr>
          <w:rFonts w:ascii="仿宋" w:hAnsi="仿宋" w:eastAsia="仿宋" w:cs="仿宋"/>
          <w:b/>
          <w:sz w:val="28"/>
          <w:szCs w:val="28"/>
        </w:rPr>
      </w:pPr>
      <w:r>
        <w:rPr>
          <w:rFonts w:hint="eastAsia" w:ascii="仿宋" w:hAnsi="仿宋" w:eastAsia="仿宋" w:cs="仿宋"/>
          <w:b/>
          <w:sz w:val="28"/>
          <w:szCs w:val="28"/>
        </w:rPr>
        <w:t>十五、违约责任</w:t>
      </w:r>
    </w:p>
    <w:p w14:paraId="423DF4C8">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1.按《中华人民共和国民法典》中的相关条款和本合同的约定执行。</w:t>
      </w:r>
    </w:p>
    <w:p w14:paraId="3BA6B11D">
      <w:pPr>
        <w:adjustRightInd/>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3B2F2EBB">
      <w:pPr>
        <w:adjustRightInd/>
        <w:spacing w:line="360" w:lineRule="auto"/>
        <w:ind w:firstLine="560" w:firstLineChars="200"/>
        <w:jc w:val="left"/>
        <w:rPr>
          <w:rFonts w:ascii="仿宋" w:hAnsi="仿宋" w:eastAsia="仿宋" w:cs="宋体"/>
          <w:kern w:val="0"/>
          <w:sz w:val="28"/>
          <w:szCs w:val="28"/>
        </w:rPr>
      </w:pPr>
      <w:r>
        <w:rPr>
          <w:rFonts w:ascii="仿宋" w:hAnsi="仿宋" w:eastAsia="仿宋" w:cs="Times New Roman"/>
          <w:kern w:val="0"/>
          <w:sz w:val="28"/>
          <w:szCs w:val="28"/>
        </w:rPr>
        <w:t>3.</w:t>
      </w:r>
      <w:r>
        <w:rPr>
          <w:rFonts w:ascii="仿宋" w:hAnsi="仿宋" w:eastAsia="仿宋" w:cs="宋体"/>
          <w:kern w:val="0"/>
          <w:sz w:val="28"/>
          <w:szCs w:val="28"/>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32C564CE">
      <w:pPr>
        <w:tabs>
          <w:tab w:val="left" w:pos="1080"/>
        </w:tabs>
        <w:adjustRightInd/>
        <w:spacing w:line="360" w:lineRule="auto"/>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4.甲方的违约责任</w:t>
      </w:r>
    </w:p>
    <w:p w14:paraId="5537AFAD">
      <w:pPr>
        <w:adjustRightInd/>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甲方因自身原因不按合同约定向乙方付款，每逾期一天，须按迟延付款额的</w:t>
      </w:r>
      <w:r>
        <w:rPr>
          <w:rFonts w:hint="eastAsia" w:ascii="仿宋" w:hAnsi="仿宋" w:eastAsia="仿宋" w:cs="宋体"/>
          <w:kern w:val="0"/>
          <w:sz w:val="28"/>
          <w:szCs w:val="28"/>
          <w:u w:val="single"/>
        </w:rPr>
        <w:t>0.01%</w:t>
      </w:r>
      <w:r>
        <w:rPr>
          <w:rFonts w:hint="eastAsia" w:ascii="仿宋" w:hAnsi="仿宋" w:eastAsia="仿宋" w:cs="宋体"/>
          <w:kern w:val="0"/>
          <w:sz w:val="28"/>
          <w:szCs w:val="28"/>
        </w:rPr>
        <w:t>向乙方支付延期付款的违约金。</w:t>
      </w:r>
    </w:p>
    <w:p w14:paraId="385177A2">
      <w:pPr>
        <w:tabs>
          <w:tab w:val="left" w:pos="1080"/>
        </w:tabs>
        <w:adjustRightInd/>
        <w:spacing w:line="360" w:lineRule="auto"/>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甲方不按照合同约定提供相关资料及其它协作事项的，应提前7日书面通知乙方，项目完成时间予以顺延。</w:t>
      </w:r>
    </w:p>
    <w:p w14:paraId="1BC733EC">
      <w:pPr>
        <w:tabs>
          <w:tab w:val="left" w:pos="1080"/>
        </w:tabs>
        <w:wordWrap w:val="0"/>
        <w:adjustRightInd/>
        <w:spacing w:line="360" w:lineRule="auto"/>
        <w:ind w:left="0" w:leftChars="0"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5.乙方的违约责任</w:t>
      </w:r>
    </w:p>
    <w:p w14:paraId="73DC4453">
      <w:pPr>
        <w:tabs>
          <w:tab w:val="left" w:pos="1080"/>
        </w:tabs>
        <w:wordWrap w:val="0"/>
        <w:adjustRightInd/>
        <w:spacing w:line="360" w:lineRule="auto"/>
        <w:ind w:left="19" w:leftChars="9" w:firstLine="534" w:firstLineChars="191"/>
        <w:outlineLvl w:val="1"/>
        <w:rPr>
          <w:rFonts w:ascii="仿宋" w:hAnsi="仿宋" w:eastAsia="仿宋" w:cs="宋体"/>
          <w:kern w:val="0"/>
          <w:sz w:val="28"/>
          <w:szCs w:val="28"/>
        </w:rPr>
      </w:pPr>
      <w:r>
        <w:rPr>
          <w:rFonts w:hint="eastAsia" w:ascii="仿宋" w:hAnsi="仿宋" w:eastAsia="仿宋" w:cs="宋体"/>
          <w:kern w:val="0"/>
          <w:sz w:val="28"/>
          <w:szCs w:val="28"/>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kern w:val="0"/>
          <w:sz w:val="28"/>
          <w:szCs w:val="28"/>
          <w:u w:val="single"/>
        </w:rPr>
        <w:t>10%</w:t>
      </w:r>
      <w:r>
        <w:rPr>
          <w:rFonts w:hint="eastAsia" w:ascii="仿宋" w:hAnsi="仿宋" w:eastAsia="仿宋" w:cs="宋体"/>
          <w:kern w:val="0"/>
          <w:sz w:val="28"/>
          <w:szCs w:val="28"/>
        </w:rPr>
        <w:t>承担违约金。甲方维权支付的诉讼费、保全费、律师费等费用由乙方承担。</w:t>
      </w:r>
    </w:p>
    <w:p w14:paraId="7D8B9218">
      <w:pPr>
        <w:tabs>
          <w:tab w:val="left" w:pos="1080"/>
        </w:tabs>
        <w:wordWrap w:val="0"/>
        <w:adjustRightInd/>
        <w:spacing w:line="360" w:lineRule="auto"/>
        <w:ind w:left="19" w:leftChars="9" w:firstLine="534" w:firstLineChars="191"/>
        <w:outlineLvl w:val="1"/>
        <w:rPr>
          <w:rFonts w:ascii="仿宋" w:hAnsi="仿宋" w:eastAsia="仿宋" w:cs="宋体"/>
          <w:kern w:val="0"/>
          <w:sz w:val="28"/>
          <w:szCs w:val="28"/>
        </w:rPr>
      </w:pPr>
      <w:r>
        <w:rPr>
          <w:rFonts w:hint="eastAsia" w:ascii="仿宋" w:hAnsi="仿宋" w:eastAsia="仿宋" w:cs="宋体"/>
          <w:kern w:val="0"/>
          <w:sz w:val="28"/>
          <w:szCs w:val="28"/>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kern w:val="0"/>
          <w:sz w:val="28"/>
          <w:szCs w:val="28"/>
          <w:u w:val="single"/>
        </w:rPr>
        <w:t>0.03%</w:t>
      </w:r>
      <w:r>
        <w:rPr>
          <w:rFonts w:hint="eastAsia" w:ascii="仿宋" w:hAnsi="仿宋" w:eastAsia="仿宋" w:cs="宋体"/>
          <w:kern w:val="0"/>
          <w:sz w:val="28"/>
          <w:szCs w:val="28"/>
        </w:rPr>
        <w:t>向甲方支付违约金。</w:t>
      </w:r>
    </w:p>
    <w:p w14:paraId="22F06685">
      <w:pPr>
        <w:tabs>
          <w:tab w:val="left" w:pos="1080"/>
        </w:tabs>
        <w:adjustRightInd/>
        <w:spacing w:line="360" w:lineRule="auto"/>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若本项目经甲方验收不合格，甲方有权要求乙方在10日内整改完善，乙方必须予以整改完善。因此导致成果逾期提交的，履行期限不予顺延，每逾期一天，应按合同总金额的</w:t>
      </w:r>
      <w:r>
        <w:rPr>
          <w:rFonts w:hint="eastAsia" w:ascii="仿宋" w:hAnsi="仿宋" w:eastAsia="仿宋" w:cs="宋体"/>
          <w:kern w:val="0"/>
          <w:sz w:val="28"/>
          <w:szCs w:val="28"/>
          <w:u w:val="single"/>
        </w:rPr>
        <w:t>0.03%</w:t>
      </w:r>
      <w:r>
        <w:rPr>
          <w:rFonts w:hint="eastAsia" w:ascii="仿宋" w:hAnsi="仿宋" w:eastAsia="仿宋" w:cs="宋体"/>
          <w:kern w:val="0"/>
          <w:sz w:val="28"/>
          <w:szCs w:val="28"/>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kern w:val="0"/>
          <w:sz w:val="28"/>
          <w:szCs w:val="28"/>
          <w:u w:val="single"/>
        </w:rPr>
        <w:t>30%</w:t>
      </w:r>
      <w:r>
        <w:rPr>
          <w:rFonts w:hint="eastAsia" w:ascii="仿宋" w:hAnsi="仿宋" w:eastAsia="仿宋" w:cs="宋体"/>
          <w:kern w:val="0"/>
          <w:sz w:val="28"/>
          <w:szCs w:val="28"/>
        </w:rPr>
        <w:t>，但甲方的实际损失超过合同总金额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的，乙方应当承担补足责任。</w:t>
      </w:r>
    </w:p>
    <w:p w14:paraId="2274290B">
      <w:pPr>
        <w:tabs>
          <w:tab w:val="left" w:pos="1080"/>
        </w:tabs>
        <w:adjustRightInd/>
        <w:spacing w:line="360" w:lineRule="auto"/>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甲乙双方任何一方违反保密义务的，违约方应向对方支付合同总金额</w:t>
      </w:r>
      <w:r>
        <w:rPr>
          <w:rFonts w:hint="eastAsia" w:ascii="仿宋" w:hAnsi="仿宋" w:eastAsia="仿宋" w:cs="宋体"/>
          <w:kern w:val="0"/>
          <w:sz w:val="28"/>
          <w:szCs w:val="28"/>
          <w:u w:val="single"/>
        </w:rPr>
        <w:t>10%</w:t>
      </w:r>
      <w:r>
        <w:rPr>
          <w:rFonts w:hint="eastAsia" w:ascii="仿宋" w:hAnsi="仿宋" w:eastAsia="仿宋" w:cs="宋体"/>
          <w:kern w:val="0"/>
          <w:sz w:val="28"/>
          <w:szCs w:val="28"/>
        </w:rPr>
        <w:t>的违约金，违约金不足以弥补对方损失的还应当承担补足责任。</w:t>
      </w:r>
    </w:p>
    <w:p w14:paraId="584DD19F">
      <w:pPr>
        <w:tabs>
          <w:tab w:val="left" w:pos="1080"/>
        </w:tabs>
        <w:adjustRightInd/>
        <w:spacing w:line="360" w:lineRule="auto"/>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kern w:val="0"/>
          <w:sz w:val="28"/>
          <w:szCs w:val="28"/>
          <w:u w:val="single"/>
        </w:rPr>
        <w:t>10%</w:t>
      </w:r>
      <w:r>
        <w:rPr>
          <w:rFonts w:hint="eastAsia" w:ascii="仿宋" w:hAnsi="仿宋" w:eastAsia="仿宋" w:cs="宋体"/>
          <w:kern w:val="0"/>
          <w:sz w:val="28"/>
          <w:szCs w:val="28"/>
        </w:rPr>
        <w:t>支付违约金。若甲方全部终止合同的，乙方应按合同总金额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的支付违约金。同时甲方的实际损失超过合同总金额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的，乙方应当承担补足责任。</w:t>
      </w:r>
    </w:p>
    <w:p w14:paraId="54DE1B42">
      <w:pPr>
        <w:tabs>
          <w:tab w:val="left" w:pos="1080"/>
        </w:tabs>
        <w:adjustRightInd/>
        <w:spacing w:line="360" w:lineRule="auto"/>
        <w:ind w:firstLine="560" w:firstLineChars="200"/>
        <w:outlineLvl w:val="1"/>
        <w:rPr>
          <w:rFonts w:ascii="仿宋" w:hAnsi="仿宋" w:eastAsia="仿宋" w:cs="宋体"/>
          <w:kern w:val="0"/>
          <w:sz w:val="28"/>
          <w:szCs w:val="28"/>
        </w:rPr>
      </w:pPr>
      <w:r>
        <w:rPr>
          <w:rFonts w:hint="eastAsia" w:ascii="仿宋" w:hAnsi="仿宋" w:eastAsia="仿宋" w:cs="宋体"/>
          <w:kern w:val="0"/>
          <w:sz w:val="28"/>
          <w:szCs w:val="28"/>
        </w:rPr>
        <w:t>乙方违反合同约定的其它责任、义务视为违约，需向甲方支付合同总价款的</w:t>
      </w:r>
      <w:r>
        <w:rPr>
          <w:rFonts w:hint="eastAsia" w:ascii="仿宋" w:hAnsi="仿宋" w:eastAsia="仿宋" w:cs="宋体"/>
          <w:kern w:val="0"/>
          <w:sz w:val="28"/>
          <w:szCs w:val="28"/>
          <w:u w:val="single"/>
        </w:rPr>
        <w:t>30%</w:t>
      </w:r>
      <w:r>
        <w:rPr>
          <w:rFonts w:hint="eastAsia" w:ascii="仿宋" w:hAnsi="仿宋" w:eastAsia="仿宋" w:cs="宋体"/>
          <w:kern w:val="0"/>
          <w:sz w:val="28"/>
          <w:szCs w:val="28"/>
        </w:rPr>
        <w:t>违约金。同时甲方的实际损失超过合同总金额</w:t>
      </w:r>
      <w:r>
        <w:rPr>
          <w:rFonts w:hint="eastAsia" w:ascii="仿宋" w:hAnsi="仿宋" w:eastAsia="仿宋" w:cs="宋体"/>
          <w:kern w:val="0"/>
          <w:sz w:val="28"/>
          <w:szCs w:val="28"/>
          <w:u w:val="single"/>
        </w:rPr>
        <w:t>30%</w:t>
      </w:r>
      <w:r>
        <w:rPr>
          <w:rFonts w:hint="eastAsia" w:ascii="仿宋" w:hAnsi="仿宋" w:eastAsia="仿宋" w:cs="宋体"/>
          <w:kern w:val="0"/>
          <w:sz w:val="28"/>
          <w:szCs w:val="28"/>
        </w:rPr>
        <w:t>的，乙方应当承担补足责任。</w:t>
      </w:r>
    </w:p>
    <w:p w14:paraId="10358DF7">
      <w:pPr>
        <w:adjustRightInd/>
        <w:spacing w:line="500" w:lineRule="exact"/>
        <w:rPr>
          <w:rFonts w:ascii="仿宋" w:hAnsi="仿宋" w:eastAsia="仿宋" w:cs="仿宋"/>
          <w:b/>
          <w:sz w:val="28"/>
          <w:szCs w:val="28"/>
        </w:rPr>
      </w:pPr>
      <w:r>
        <w:rPr>
          <w:rFonts w:hint="eastAsia" w:ascii="仿宋" w:hAnsi="仿宋" w:eastAsia="仿宋" w:cs="仿宋"/>
          <w:b/>
          <w:sz w:val="28"/>
          <w:szCs w:val="28"/>
        </w:rPr>
        <w:t>十六、反商业贿赂</w:t>
      </w:r>
    </w:p>
    <w:p w14:paraId="4EBE893F">
      <w:pPr>
        <w:adjustRightInd/>
        <w:spacing w:line="360" w:lineRule="auto"/>
        <w:ind w:firstLine="560" w:firstLineChars="200"/>
        <w:jc w:val="left"/>
        <w:rPr>
          <w:rFonts w:ascii="仿宋" w:hAnsi="仿宋" w:eastAsia="仿宋" w:cs="宋体"/>
          <w:kern w:val="0"/>
          <w:sz w:val="28"/>
          <w:szCs w:val="28"/>
        </w:rPr>
      </w:pPr>
      <w:r>
        <w:rPr>
          <w:rFonts w:ascii="仿宋" w:hAnsi="仿宋" w:eastAsia="仿宋" w:cs="宋体"/>
          <w:kern w:val="0"/>
          <w:sz w:val="28"/>
          <w:szCs w:val="28"/>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64CA4049">
      <w:pPr>
        <w:adjustRightInd/>
        <w:spacing w:line="500" w:lineRule="exact"/>
        <w:rPr>
          <w:rFonts w:ascii="仿宋" w:hAnsi="仿宋" w:eastAsia="仿宋" w:cs="仿宋"/>
          <w:b/>
          <w:sz w:val="28"/>
          <w:szCs w:val="28"/>
        </w:rPr>
      </w:pPr>
      <w:r>
        <w:rPr>
          <w:rFonts w:hint="eastAsia" w:ascii="仿宋" w:hAnsi="仿宋" w:eastAsia="仿宋" w:cs="仿宋"/>
          <w:b/>
          <w:sz w:val="28"/>
          <w:szCs w:val="28"/>
        </w:rPr>
        <w:t>十七、其他</w:t>
      </w:r>
    </w:p>
    <w:p w14:paraId="5D0F9D99">
      <w:pPr>
        <w:tabs>
          <w:tab w:val="left" w:pos="980"/>
        </w:tabs>
        <w:kinsoku w:val="0"/>
        <w:adjustRightInd/>
        <w:spacing w:line="500" w:lineRule="exact"/>
        <w:ind w:firstLine="560" w:firstLineChars="200"/>
        <w:rPr>
          <w:rFonts w:ascii="仿宋" w:hAnsi="仿宋" w:eastAsia="仿宋" w:cs="Times New Roman"/>
          <w:sz w:val="28"/>
          <w:szCs w:val="28"/>
        </w:rPr>
      </w:pPr>
      <w:r>
        <w:rPr>
          <w:rFonts w:hint="eastAsia" w:ascii="仿宋" w:hAnsi="仿宋" w:eastAsia="仿宋" w:cs="仿宋"/>
          <w:sz w:val="28"/>
          <w:szCs w:val="28"/>
        </w:rPr>
        <w:t>1.本合同签订时同步签订保密协议,详见附件。附件是本合同的一部分，具有与本合同同等的法律效力。</w:t>
      </w:r>
    </w:p>
    <w:p w14:paraId="1977D3FE">
      <w:pPr>
        <w:tabs>
          <w:tab w:val="left" w:pos="980"/>
        </w:tabs>
        <w:kinsoku w:val="0"/>
        <w:adjustRightInd/>
        <w:spacing w:line="500" w:lineRule="exact"/>
        <w:ind w:firstLine="560" w:firstLineChars="200"/>
        <w:rPr>
          <w:rFonts w:ascii="仿宋" w:hAnsi="仿宋" w:eastAsia="仿宋" w:cs="Times New Roman"/>
          <w:sz w:val="28"/>
          <w:szCs w:val="28"/>
        </w:rPr>
      </w:pPr>
      <w:r>
        <w:rPr>
          <w:rFonts w:hint="eastAsia" w:ascii="仿宋" w:hAnsi="仿宋" w:eastAsia="仿宋" w:cs="仿宋"/>
          <w:sz w:val="28"/>
          <w:szCs w:val="28"/>
        </w:rPr>
        <w:t>2.本合同一式四份，具有同等法律效力，双方各执一份，监管部门备案一份、采购代理机构存档一份。各方签字盖章后生效。</w:t>
      </w:r>
    </w:p>
    <w:p w14:paraId="6E4F72D5">
      <w:pPr>
        <w:autoSpaceDE w:val="0"/>
        <w:autoSpaceDN w:val="0"/>
        <w:adjustRightInd/>
        <w:spacing w:line="240" w:lineRule="auto"/>
        <w:ind w:firstLine="560" w:firstLineChars="200"/>
        <w:rPr>
          <w:rFonts w:ascii="仿宋" w:hAnsi="仿宋" w:eastAsia="仿宋" w:cs="Times New Roman"/>
          <w:sz w:val="28"/>
          <w:szCs w:val="28"/>
        </w:rPr>
      </w:pPr>
    </w:p>
    <w:p w14:paraId="144B239A">
      <w:pPr>
        <w:adjustRightInd/>
        <w:spacing w:line="240" w:lineRule="auto"/>
        <w:rPr>
          <w:rFonts w:ascii="仿宋" w:hAnsi="仿宋" w:eastAsia="仿宋" w:cs="Times New Roman"/>
          <w:sz w:val="28"/>
          <w:szCs w:val="28"/>
        </w:rPr>
      </w:pPr>
    </w:p>
    <w:p w14:paraId="47E40AD8">
      <w:pPr>
        <w:adjustRightInd w:val="0"/>
        <w:snapToGrid w:val="0"/>
        <w:spacing w:line="540" w:lineRule="exact"/>
        <w:rPr>
          <w:rFonts w:ascii="仿宋" w:hAnsi="仿宋" w:eastAsia="仿宋" w:cs="仿宋"/>
          <w:sz w:val="28"/>
          <w:szCs w:val="28"/>
          <w:u w:val="single"/>
        </w:rPr>
      </w:pPr>
      <w:r>
        <w:rPr>
          <w:rFonts w:hint="eastAsia" w:ascii="仿宋" w:hAnsi="仿宋" w:eastAsia="仿宋" w:cs="仿宋"/>
          <w:sz w:val="28"/>
          <w:szCs w:val="28"/>
        </w:rPr>
        <w:t>采购人（甲方）：</w:t>
      </w:r>
      <w:r>
        <w:rPr>
          <w:rFonts w:hint="eastAsia" w:ascii="仿宋" w:hAnsi="仿宋" w:eastAsia="仿宋" w:cs="仿宋"/>
          <w:sz w:val="28"/>
          <w:szCs w:val="28"/>
          <w:u w:val="single"/>
        </w:rPr>
        <w:t xml:space="preserve">   （盖章）       </w:t>
      </w:r>
      <w:r>
        <w:rPr>
          <w:rFonts w:hint="eastAsia" w:ascii="仿宋" w:hAnsi="仿宋" w:eastAsia="仿宋" w:cs="仿宋"/>
          <w:sz w:val="28"/>
          <w:szCs w:val="28"/>
        </w:rPr>
        <w:t>供应商（乙方）：</w:t>
      </w:r>
      <w:r>
        <w:rPr>
          <w:rFonts w:hint="eastAsia" w:ascii="仿宋" w:hAnsi="仿宋" w:eastAsia="仿宋" w:cs="仿宋"/>
          <w:sz w:val="28"/>
          <w:szCs w:val="28"/>
          <w:u w:val="single"/>
        </w:rPr>
        <w:t xml:space="preserve">   （盖章）         </w:t>
      </w:r>
    </w:p>
    <w:p w14:paraId="329DE9E9">
      <w:pPr>
        <w:adjustRightInd/>
        <w:spacing w:line="540" w:lineRule="exact"/>
        <w:rPr>
          <w:rFonts w:ascii="仿宋" w:hAnsi="仿宋" w:eastAsia="仿宋" w:cs="仿宋"/>
          <w:sz w:val="28"/>
          <w:szCs w:val="28"/>
        </w:rPr>
      </w:pPr>
      <w:r>
        <w:rPr>
          <w:rFonts w:hint="eastAsia" w:ascii="仿宋" w:hAnsi="仿宋" w:eastAsia="仿宋" w:cs="仿宋"/>
          <w:sz w:val="28"/>
          <w:szCs w:val="28"/>
        </w:rPr>
        <w:t>地址：                           地址：</w:t>
      </w:r>
    </w:p>
    <w:p w14:paraId="100A958E">
      <w:pPr>
        <w:adjustRightInd w:val="0"/>
        <w:snapToGrid w:val="0"/>
        <w:spacing w:line="540" w:lineRule="exact"/>
        <w:rPr>
          <w:rFonts w:ascii="仿宋" w:hAnsi="仿宋" w:eastAsia="仿宋" w:cs="仿宋"/>
          <w:b/>
          <w:bCs/>
          <w:sz w:val="28"/>
          <w:szCs w:val="28"/>
        </w:rPr>
      </w:pPr>
      <w:r>
        <w:rPr>
          <w:rFonts w:hint="eastAsia" w:ascii="仿宋" w:hAnsi="仿宋" w:eastAsia="仿宋" w:cs="仿宋"/>
          <w:sz w:val="28"/>
          <w:szCs w:val="28"/>
        </w:rPr>
        <w:t>法定代表人或                     法定代表人或</w:t>
      </w:r>
    </w:p>
    <w:p w14:paraId="54FD5ED9">
      <w:pPr>
        <w:adjustRightInd w:val="0"/>
        <w:snapToGrid w:val="0"/>
        <w:spacing w:line="540" w:lineRule="exact"/>
        <w:rPr>
          <w:rFonts w:ascii="仿宋" w:hAnsi="仿宋" w:eastAsia="仿宋" w:cs="仿宋"/>
          <w:sz w:val="28"/>
          <w:szCs w:val="28"/>
        </w:rPr>
      </w:pPr>
      <w:r>
        <w:rPr>
          <w:rFonts w:hint="eastAsia" w:ascii="仿宋" w:hAnsi="仿宋" w:eastAsia="仿宋" w:cs="仿宋"/>
          <w:sz w:val="28"/>
          <w:szCs w:val="28"/>
        </w:rPr>
        <w:t>其授权的代理人                   其授权的代理人</w:t>
      </w:r>
    </w:p>
    <w:p w14:paraId="49A50EF4">
      <w:pPr>
        <w:adjustRightInd w:val="0"/>
        <w:snapToGrid w:val="0"/>
        <w:spacing w:line="540" w:lineRule="exact"/>
        <w:rPr>
          <w:rFonts w:ascii="仿宋" w:hAnsi="仿宋" w:eastAsia="仿宋" w:cs="仿宋"/>
          <w:sz w:val="28"/>
          <w:szCs w:val="28"/>
        </w:rPr>
      </w:pPr>
      <w:r>
        <w:rPr>
          <w:rFonts w:hint="eastAsia" w:ascii="仿宋" w:hAnsi="仿宋" w:eastAsia="仿宋" w:cs="仿宋"/>
          <w:sz w:val="28"/>
          <w:szCs w:val="28"/>
        </w:rPr>
        <w:t>（签字</w:t>
      </w:r>
      <w:r>
        <w:rPr>
          <w:rFonts w:ascii="仿宋" w:hAnsi="仿宋" w:eastAsia="仿宋" w:cs="仿宋"/>
          <w:sz w:val="28"/>
          <w:szCs w:val="28"/>
        </w:rPr>
        <w:t>或盖章</w:t>
      </w:r>
      <w:r>
        <w:rPr>
          <w:rFonts w:hint="eastAsia" w:ascii="仿宋" w:hAnsi="仿宋" w:eastAsia="仿宋" w:cs="仿宋"/>
          <w:sz w:val="28"/>
          <w:szCs w:val="28"/>
        </w:rPr>
        <w:t>）：                 （签字</w:t>
      </w:r>
      <w:r>
        <w:rPr>
          <w:rFonts w:ascii="仿宋" w:hAnsi="仿宋" w:eastAsia="仿宋" w:cs="仿宋"/>
          <w:sz w:val="28"/>
          <w:szCs w:val="28"/>
        </w:rPr>
        <w:t>或盖章</w:t>
      </w:r>
      <w:r>
        <w:rPr>
          <w:rFonts w:hint="eastAsia" w:ascii="仿宋" w:hAnsi="仿宋" w:eastAsia="仿宋" w:cs="仿宋"/>
          <w:sz w:val="28"/>
          <w:szCs w:val="28"/>
        </w:rPr>
        <w:t>）：</w:t>
      </w:r>
    </w:p>
    <w:p w14:paraId="1E168495">
      <w:pPr>
        <w:adjustRightInd/>
        <w:spacing w:line="360" w:lineRule="auto"/>
        <w:rPr>
          <w:rFonts w:ascii="仿宋" w:hAnsi="仿宋" w:eastAsia="仿宋" w:cs="仿宋"/>
          <w:sz w:val="28"/>
          <w:szCs w:val="28"/>
          <w:lang w:eastAsia="zh-Hans"/>
        </w:rPr>
      </w:pPr>
      <w:r>
        <w:rPr>
          <w:rFonts w:hint="eastAsia" w:ascii="仿宋" w:hAnsi="仿宋" w:eastAsia="仿宋" w:cs="仿宋"/>
          <w:sz w:val="28"/>
          <w:szCs w:val="28"/>
          <w:lang w:eastAsia="zh-Hans"/>
        </w:rPr>
        <w:t xml:space="preserve">订立时间：年月日       </w:t>
      </w:r>
      <w:r>
        <w:rPr>
          <w:rFonts w:hint="eastAsia" w:ascii="仿宋" w:hAnsi="仿宋" w:eastAsia="仿宋" w:cs="仿宋"/>
          <w:sz w:val="28"/>
          <w:szCs w:val="28"/>
        </w:rPr>
        <w:t xml:space="preserve">   </w:t>
      </w:r>
      <w:r>
        <w:rPr>
          <w:rFonts w:hint="eastAsia" w:ascii="仿宋" w:hAnsi="仿宋" w:eastAsia="仿宋" w:cs="仿宋"/>
          <w:sz w:val="28"/>
          <w:szCs w:val="28"/>
          <w:lang w:eastAsia="zh-Hans"/>
        </w:rPr>
        <w:t xml:space="preserve">      订立时间：年月日</w:t>
      </w:r>
    </w:p>
    <w:p w14:paraId="48D50F99">
      <w:pPr>
        <w:adjustRightInd/>
        <w:spacing w:line="240" w:lineRule="auto"/>
        <w:rPr>
          <w:rFonts w:ascii="仿宋" w:hAnsi="仿宋" w:eastAsia="仿宋" w:cs="仿宋"/>
          <w:sz w:val="28"/>
          <w:szCs w:val="28"/>
        </w:rPr>
      </w:pPr>
      <w:r>
        <w:rPr>
          <w:rFonts w:ascii="仿宋" w:hAnsi="仿宋" w:eastAsia="仿宋" w:cs="仿宋"/>
          <w:sz w:val="28"/>
          <w:szCs w:val="28"/>
        </w:rPr>
        <w:br w:type="page"/>
      </w:r>
    </w:p>
    <w:p w14:paraId="474F132E">
      <w:pPr>
        <w:adjustRightInd/>
        <w:spacing w:line="240" w:lineRule="auto"/>
        <w:jc w:val="left"/>
        <w:rPr>
          <w:rFonts w:ascii="仿宋" w:hAnsi="仿宋" w:eastAsia="仿宋" w:cs="黑体"/>
          <w:sz w:val="28"/>
          <w:szCs w:val="28"/>
        </w:rPr>
      </w:pPr>
      <w:r>
        <w:rPr>
          <w:rFonts w:hint="eastAsia" w:ascii="仿宋" w:hAnsi="仿宋" w:eastAsia="仿宋" w:cs="黑体"/>
          <w:sz w:val="28"/>
          <w:szCs w:val="28"/>
        </w:rPr>
        <w:t>附件：</w:t>
      </w:r>
    </w:p>
    <w:p w14:paraId="0CD1DF79">
      <w:pPr>
        <w:adjustRightInd/>
        <w:spacing w:before="3120" w:beforeLines="1000" w:after="5616" w:afterLines="1800" w:line="240" w:lineRule="auto"/>
        <w:jc w:val="center"/>
        <w:rPr>
          <w:rFonts w:ascii="仿宋" w:hAnsi="仿宋" w:eastAsia="仿宋" w:cs="Times New Roman"/>
          <w:b/>
          <w:sz w:val="28"/>
          <w:szCs w:val="28"/>
          <w:highlight w:val="none"/>
        </w:rPr>
      </w:pPr>
      <w:r>
        <w:rPr>
          <w:rFonts w:hint="eastAsia" w:ascii="仿宋" w:hAnsi="仿宋" w:eastAsia="仿宋" w:cs="Times New Roman"/>
          <w:b/>
          <w:sz w:val="28"/>
          <w:szCs w:val="28"/>
          <w:highlight w:val="none"/>
          <w:u w:val="single"/>
          <w:lang w:eastAsia="zh-CN"/>
        </w:rPr>
        <w:t>交通云平台及专网主干网设备维护</w:t>
      </w:r>
      <w:r>
        <w:rPr>
          <w:rFonts w:hint="eastAsia" w:ascii="仿宋" w:hAnsi="仿宋" w:eastAsia="仿宋" w:cs="Times New Roman"/>
          <w:b/>
          <w:sz w:val="28"/>
          <w:szCs w:val="28"/>
          <w:highlight w:val="none"/>
        </w:rPr>
        <w:t>项目保密协议</w:t>
      </w:r>
    </w:p>
    <w:p w14:paraId="4EF9B51A">
      <w:pPr>
        <w:adjustRightInd/>
        <w:spacing w:line="240" w:lineRule="auto"/>
        <w:ind w:firstLine="6"/>
        <w:jc w:val="center"/>
        <w:rPr>
          <w:rFonts w:ascii="仿宋" w:hAnsi="仿宋" w:eastAsia="仿宋" w:cs="Times New Roman"/>
          <w:sz w:val="28"/>
          <w:szCs w:val="28"/>
        </w:rPr>
      </w:pPr>
      <w:r>
        <w:rPr>
          <w:rFonts w:hint="eastAsia" w:ascii="仿宋" w:hAnsi="仿宋" w:eastAsia="仿宋" w:cs="Times New Roman"/>
          <w:sz w:val="28"/>
          <w:szCs w:val="28"/>
        </w:rPr>
        <w:t xml:space="preserve">   甲  方：</w:t>
      </w:r>
      <w:r>
        <w:rPr>
          <w:rFonts w:hint="eastAsia" w:ascii="仿宋" w:hAnsi="仿宋" w:eastAsia="仿宋" w:cs="Times New Roman"/>
          <w:sz w:val="28"/>
          <w:szCs w:val="28"/>
          <w:u w:val="single"/>
        </w:rPr>
        <w:t>陕西省交通运行监测中心</w:t>
      </w:r>
    </w:p>
    <w:p w14:paraId="0D458960">
      <w:pPr>
        <w:adjustRightInd/>
        <w:spacing w:line="360" w:lineRule="auto"/>
        <w:ind w:firstLine="2240" w:firstLineChars="800"/>
        <w:rPr>
          <w:rFonts w:ascii="仿宋" w:hAnsi="仿宋" w:eastAsia="仿宋" w:cs="Times New Roman"/>
          <w:b/>
          <w:sz w:val="28"/>
          <w:szCs w:val="28"/>
        </w:rPr>
      </w:pPr>
      <w:r>
        <w:rPr>
          <w:rFonts w:hint="eastAsia" w:ascii="仿宋" w:hAnsi="仿宋" w:eastAsia="仿宋" w:cs="Times New Roman"/>
          <w:sz w:val="28"/>
          <w:szCs w:val="28"/>
        </w:rPr>
        <w:t>乙  方：</w:t>
      </w:r>
      <w:r>
        <w:rPr>
          <w:rFonts w:ascii="仿宋" w:hAnsi="仿宋" w:eastAsia="仿宋" w:cs="Times New Roman"/>
          <w:b/>
          <w:sz w:val="28"/>
          <w:szCs w:val="28"/>
        </w:rPr>
        <w:br w:type="page"/>
      </w:r>
    </w:p>
    <w:p w14:paraId="62CD98E6">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b/>
          <w:sz w:val="28"/>
          <w:szCs w:val="28"/>
        </w:rPr>
        <w:t>陕西省交通运行监测中心</w:t>
      </w:r>
    </w:p>
    <w:p w14:paraId="503FEFCB">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地址：西安市唐延路6号</w:t>
      </w:r>
      <w:r>
        <w:rPr>
          <w:rFonts w:hint="eastAsia" w:ascii="仿宋" w:hAnsi="仿宋" w:eastAsia="仿宋" w:cs="仿宋"/>
          <w:sz w:val="28"/>
          <w:szCs w:val="28"/>
        </w:rPr>
        <w:tab/>
      </w:r>
      <w:r>
        <w:rPr>
          <w:rFonts w:hint="eastAsia" w:ascii="仿宋" w:hAnsi="仿宋" w:eastAsia="仿宋" w:cs="仿宋"/>
          <w:sz w:val="28"/>
          <w:szCs w:val="28"/>
        </w:rPr>
        <w:tab/>
      </w:r>
    </w:p>
    <w:p w14:paraId="5975E738">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邮编：710075</w:t>
      </w:r>
      <w:r>
        <w:rPr>
          <w:rFonts w:hint="eastAsia" w:ascii="仿宋" w:hAnsi="仿宋" w:eastAsia="仿宋" w:cs="仿宋"/>
          <w:sz w:val="28"/>
          <w:szCs w:val="28"/>
        </w:rPr>
        <w:tab/>
      </w:r>
    </w:p>
    <w:p w14:paraId="6491092E">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电话：</w:t>
      </w:r>
    </w:p>
    <w:p w14:paraId="57700896">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乙方：</w:t>
      </w:r>
    </w:p>
    <w:p w14:paraId="30C177ED">
      <w:pPr>
        <w:adjustRightInd/>
        <w:spacing w:line="360" w:lineRule="auto"/>
        <w:ind w:firstLine="560" w:firstLineChars="200"/>
        <w:rPr>
          <w:rFonts w:ascii="仿宋" w:hAnsi="仿宋" w:eastAsia="仿宋" w:cs="仿宋"/>
          <w:bCs/>
          <w:sz w:val="28"/>
          <w:szCs w:val="28"/>
        </w:rPr>
      </w:pPr>
      <w:r>
        <w:rPr>
          <w:rFonts w:hint="eastAsia" w:ascii="仿宋" w:hAnsi="仿宋" w:eastAsia="仿宋" w:cs="仿宋"/>
          <w:sz w:val="28"/>
          <w:szCs w:val="28"/>
        </w:rPr>
        <w:t>地址：</w:t>
      </w:r>
    </w:p>
    <w:p w14:paraId="33E5AD3F">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 xml:space="preserve">邮编：           </w:t>
      </w:r>
    </w:p>
    <w:p w14:paraId="043B89DB">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电话：</w:t>
      </w:r>
    </w:p>
    <w:p w14:paraId="7AB661CD">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highlight w:val="none"/>
        </w:rPr>
        <w:t>依据《中华人民共和国民法典》的规定，就乙方履行合同《</w:t>
      </w:r>
      <w:r>
        <w:rPr>
          <w:rFonts w:hint="eastAsia" w:ascii="仿宋" w:hAnsi="仿宋" w:eastAsia="仿宋" w:cs="仿宋"/>
          <w:sz w:val="28"/>
          <w:szCs w:val="28"/>
          <w:highlight w:val="none"/>
          <w:lang w:eastAsia="zh-CN"/>
        </w:rPr>
        <w:t>交通云平台及专网主干网设备维护</w:t>
      </w:r>
      <w:r>
        <w:rPr>
          <w:rFonts w:hint="eastAsia" w:ascii="仿宋" w:hAnsi="仿宋" w:eastAsia="仿宋" w:cs="仿宋"/>
          <w:sz w:val="28"/>
          <w:szCs w:val="28"/>
          <w:highlight w:val="none"/>
        </w:rPr>
        <w:t>》期间</w:t>
      </w:r>
      <w:r>
        <w:rPr>
          <w:rFonts w:hint="eastAsia" w:ascii="仿宋" w:hAnsi="仿宋" w:eastAsia="仿宋" w:cs="仿宋"/>
          <w:sz w:val="28"/>
          <w:szCs w:val="28"/>
        </w:rPr>
        <w:t>，乙方所接触到的甲方各种技术内容、会议信息和其他秘密的保守事项，经协商一致，签订本协议。</w:t>
      </w:r>
    </w:p>
    <w:p w14:paraId="2CC06F82">
      <w:pPr>
        <w:adjustRightInd/>
        <w:spacing w:line="360" w:lineRule="auto"/>
        <w:rPr>
          <w:rFonts w:ascii="仿宋" w:hAnsi="仿宋" w:eastAsia="仿宋" w:cs="仿宋"/>
          <w:b/>
          <w:sz w:val="28"/>
          <w:szCs w:val="28"/>
        </w:rPr>
      </w:pPr>
      <w:r>
        <w:rPr>
          <w:rFonts w:hint="eastAsia" w:ascii="仿宋" w:hAnsi="仿宋" w:eastAsia="仿宋" w:cs="仿宋"/>
          <w:b/>
          <w:sz w:val="28"/>
          <w:szCs w:val="28"/>
        </w:rPr>
        <w:t>一、保密范围和秘密定义</w:t>
      </w:r>
    </w:p>
    <w:p w14:paraId="1C93BBA2">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1.本协议提及的技术秘密，包括但不限于：技术方案、设备配置、技术指标、技术报告、检测报告、试验结果、操作手册、技术文档、相关的函电，等等。</w:t>
      </w:r>
    </w:p>
    <w:p w14:paraId="50708009">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48659924">
      <w:pPr>
        <w:adjustRightInd/>
        <w:spacing w:line="360" w:lineRule="auto"/>
        <w:ind w:firstLine="560" w:firstLineChars="200"/>
        <w:rPr>
          <w:rFonts w:ascii="Calibri" w:hAnsi="Calibri" w:eastAsia="仿宋" w:cs="Times New Roman"/>
          <w:sz w:val="30"/>
          <w:szCs w:val="22"/>
        </w:rPr>
      </w:pPr>
      <w:r>
        <w:rPr>
          <w:rFonts w:hint="eastAsia" w:ascii="仿宋" w:hAnsi="仿宋" w:eastAsia="仿宋" w:cs="仿宋"/>
          <w:sz w:val="28"/>
          <w:szCs w:val="28"/>
        </w:rPr>
        <w:t>3.保密期限：自合同签订之日起至乙方技术服务结束之日起五年。</w:t>
      </w:r>
    </w:p>
    <w:p w14:paraId="1CA49A1D">
      <w:pPr>
        <w:adjustRightInd/>
        <w:spacing w:line="360" w:lineRule="auto"/>
        <w:rPr>
          <w:rFonts w:ascii="仿宋" w:hAnsi="仿宋" w:eastAsia="仿宋" w:cs="仿宋"/>
          <w:b/>
          <w:sz w:val="28"/>
          <w:szCs w:val="28"/>
        </w:rPr>
      </w:pPr>
      <w:r>
        <w:rPr>
          <w:rFonts w:hint="eastAsia" w:ascii="仿宋" w:hAnsi="仿宋" w:eastAsia="仿宋" w:cs="仿宋"/>
          <w:b/>
          <w:sz w:val="28"/>
          <w:szCs w:val="28"/>
        </w:rPr>
        <w:t>二、甲方的权利和义务</w:t>
      </w:r>
    </w:p>
    <w:p w14:paraId="37CA6936">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甲方应指定专人定期督导和检查乙方关于秘密保守的执行情况。</w:t>
      </w:r>
    </w:p>
    <w:p w14:paraId="35939EC1">
      <w:pPr>
        <w:adjustRightInd/>
        <w:spacing w:line="360" w:lineRule="auto"/>
        <w:rPr>
          <w:rFonts w:ascii="仿宋" w:hAnsi="仿宋" w:eastAsia="仿宋" w:cs="仿宋"/>
          <w:b/>
          <w:sz w:val="28"/>
          <w:szCs w:val="28"/>
        </w:rPr>
      </w:pPr>
      <w:r>
        <w:rPr>
          <w:rFonts w:hint="eastAsia" w:ascii="仿宋" w:hAnsi="仿宋" w:eastAsia="仿宋" w:cs="仿宋"/>
          <w:b/>
          <w:sz w:val="28"/>
          <w:szCs w:val="28"/>
        </w:rPr>
        <w:t>三、乙方的权利和义务</w:t>
      </w:r>
    </w:p>
    <w:p w14:paraId="0111091B">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1.乙方在甲方单位服务期间，必须遵守甲方规定的任何成文或不成文的保密规章、制度，履行与其工作相应的保密职责。</w:t>
      </w:r>
    </w:p>
    <w:p w14:paraId="6351608B">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2.乙方承诺，甲方的保密规章、制度没有规定或者规定不明确之处，乙方亦应本着谨慎、诚实的态度，维护其于服务期间知悉的技术秘密或其他秘密信息，以保持其机密性。</w:t>
      </w:r>
    </w:p>
    <w:p w14:paraId="28B66B92">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3.除了履行服务职责的需要之外，乙方承诺，未经甲方同意，不得以任何方式向甲方指定人员以外的其他任何人或单位传递属于甲方的秘密。</w:t>
      </w:r>
    </w:p>
    <w:p w14:paraId="52F3255B">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4.乙方服务结束之后仍对其在甲方服务期间接触、知悉的属于甲方的技术秘密和其他秘密信息，承担如同服务期间一样的保密义务，而无论乙方因何种原因结束技术服务。</w:t>
      </w:r>
    </w:p>
    <w:p w14:paraId="41C3189D">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5.乙方承诺，在为甲方履行技术服务时，不得擅自使用任何属于他人的技术秘密或其他秘密信息。</w:t>
      </w:r>
    </w:p>
    <w:p w14:paraId="2775587C">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6.乙方因工作上的需要所持有或保管的一切记录着甲方秘密信息的文件、资料、图表、笔记、报告、信件、磁带、磁盘、仪器以及其他任何形式的载体，均归甲方所有。</w:t>
      </w:r>
    </w:p>
    <w:p w14:paraId="0EA0B42C">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7.乙方应当于技术服务结束时，或者于甲方提出请求时，返还全部记载着甲方秘密信息的一切载体。</w:t>
      </w:r>
    </w:p>
    <w:p w14:paraId="52CB4F07">
      <w:pPr>
        <w:adjustRightInd/>
        <w:spacing w:line="360" w:lineRule="auto"/>
        <w:rPr>
          <w:rFonts w:ascii="仿宋" w:hAnsi="仿宋" w:eastAsia="仿宋" w:cs="仿宋"/>
          <w:b/>
          <w:sz w:val="28"/>
          <w:szCs w:val="28"/>
        </w:rPr>
      </w:pPr>
      <w:r>
        <w:rPr>
          <w:rFonts w:hint="eastAsia" w:ascii="仿宋" w:hAnsi="仿宋" w:eastAsia="仿宋" w:cs="仿宋"/>
          <w:b/>
          <w:sz w:val="28"/>
          <w:szCs w:val="28"/>
        </w:rPr>
        <w:t>四、违约责任</w:t>
      </w:r>
    </w:p>
    <w:p w14:paraId="76D2CC61">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1.双方因履行本协议而引起的争议或与本协议有关的争议，双方通过友好协商解决。如果无法达成一致意见，任何一方均有权限据本协议向甲方所在地人民法院提起诉讼解决。</w:t>
      </w:r>
    </w:p>
    <w:p w14:paraId="3F739A0E">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2.一方违反本协议时，另一方有权终止本协议，并有权向违约方主张合同总金额20%的违约金。</w:t>
      </w:r>
    </w:p>
    <w:p w14:paraId="43846938">
      <w:pPr>
        <w:adjustRightInd/>
        <w:spacing w:line="360" w:lineRule="auto"/>
        <w:rPr>
          <w:rFonts w:ascii="仿宋" w:hAnsi="仿宋" w:eastAsia="仿宋" w:cs="仿宋"/>
          <w:b/>
          <w:sz w:val="28"/>
          <w:szCs w:val="28"/>
        </w:rPr>
      </w:pPr>
      <w:r>
        <w:rPr>
          <w:rFonts w:hint="eastAsia" w:ascii="仿宋" w:hAnsi="仿宋" w:eastAsia="仿宋" w:cs="仿宋"/>
          <w:b/>
          <w:sz w:val="28"/>
          <w:szCs w:val="28"/>
        </w:rPr>
        <w:t>五、协议的变更和解除</w:t>
      </w:r>
    </w:p>
    <w:p w14:paraId="2014DC8F">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1.在协议履行期内，甲乙双方均不得擅自变更或解除本协议。但经双方友好协商可对本协议条款进行变更或解除本协议。在技术服务合同期限内，甲乙双方不得终止本协议。</w:t>
      </w:r>
    </w:p>
    <w:p w14:paraId="4946DA48">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2.因客观原因，一方要求变更本协议时，须提前7天通知另一方，并征得的另一方的同意。</w:t>
      </w:r>
    </w:p>
    <w:p w14:paraId="5BE9E1E0">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3.因一方严重违约使本协议不能履行，另一方可单方面解除本协议，同时由违约方应承担违约责任，并对因违约所造成的损失予以赔偿。</w:t>
      </w:r>
    </w:p>
    <w:p w14:paraId="283D2CC6">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4.本协议未尽事宜由甲乙双方协商解决，并以书面备忘录形式加以补充规定，备忘录与本协议具有同等的法律效力。</w:t>
      </w:r>
    </w:p>
    <w:p w14:paraId="7024C8E0">
      <w:pPr>
        <w:adjustRightInd/>
        <w:spacing w:line="360" w:lineRule="auto"/>
        <w:rPr>
          <w:rFonts w:ascii="仿宋" w:hAnsi="仿宋" w:eastAsia="仿宋" w:cs="仿宋"/>
          <w:b/>
          <w:sz w:val="28"/>
          <w:szCs w:val="28"/>
        </w:rPr>
      </w:pPr>
      <w:r>
        <w:rPr>
          <w:rFonts w:hint="eastAsia" w:ascii="仿宋" w:hAnsi="仿宋" w:eastAsia="仿宋" w:cs="仿宋"/>
          <w:b/>
          <w:sz w:val="28"/>
          <w:szCs w:val="28"/>
        </w:rPr>
        <w:t>六、其它</w:t>
      </w:r>
    </w:p>
    <w:p w14:paraId="3FAC9E21">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1.未尽事宜，双方本着友好精神，另行协商。</w:t>
      </w:r>
    </w:p>
    <w:p w14:paraId="2CB8C176">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2.本协议一式肆份，甲方贰份，乙方贰份，具有同等效力。</w:t>
      </w:r>
    </w:p>
    <w:p w14:paraId="41305383">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3.本协议中所称的技术服务履约期间，以甲方和乙方签订的技术服务合同书为标志。本协议中所称的结束技术服务，以双方所签订的技术服务合同书相关条款所规定的解除合作关系的时间为准。</w:t>
      </w:r>
    </w:p>
    <w:p w14:paraId="79F20809">
      <w:pPr>
        <w:adjustRightInd/>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4.本协议自双方签字、盖章完成之日起生效。</w:t>
      </w:r>
    </w:p>
    <w:p w14:paraId="41A2BF6C">
      <w:pPr>
        <w:adjustRightInd/>
        <w:spacing w:line="360" w:lineRule="auto"/>
        <w:ind w:left="426"/>
        <w:rPr>
          <w:rFonts w:ascii="仿宋" w:hAnsi="仿宋" w:eastAsia="仿宋" w:cs="仿宋"/>
          <w:sz w:val="28"/>
          <w:szCs w:val="28"/>
        </w:rPr>
      </w:pPr>
    </w:p>
    <w:p w14:paraId="429963A7">
      <w:pPr>
        <w:adjustRightInd/>
        <w:spacing w:line="360" w:lineRule="auto"/>
        <w:jc w:val="left"/>
        <w:rPr>
          <w:rFonts w:ascii="仿宋" w:hAnsi="仿宋" w:eastAsia="仿宋" w:cs="仿宋"/>
          <w:sz w:val="28"/>
          <w:szCs w:val="28"/>
        </w:rPr>
      </w:pPr>
    </w:p>
    <w:tbl>
      <w:tblPr>
        <w:tblStyle w:val="3"/>
        <w:tblW w:w="9066" w:type="dxa"/>
        <w:jc w:val="center"/>
        <w:tblLayout w:type="fixed"/>
        <w:tblCellMar>
          <w:top w:w="0" w:type="dxa"/>
          <w:left w:w="284" w:type="dxa"/>
          <w:bottom w:w="0" w:type="dxa"/>
          <w:right w:w="0" w:type="dxa"/>
        </w:tblCellMar>
      </w:tblPr>
      <w:tblGrid>
        <w:gridCol w:w="4533"/>
        <w:gridCol w:w="4533"/>
      </w:tblGrid>
      <w:tr w14:paraId="1B8815AF">
        <w:tblPrEx>
          <w:tblCellMar>
            <w:top w:w="0" w:type="dxa"/>
            <w:left w:w="284" w:type="dxa"/>
            <w:bottom w:w="0" w:type="dxa"/>
            <w:right w:w="0" w:type="dxa"/>
          </w:tblCellMar>
        </w:tblPrEx>
        <w:trPr>
          <w:trHeight w:val="1265" w:hRule="atLeast"/>
          <w:jc w:val="center"/>
        </w:trPr>
        <w:tc>
          <w:tcPr>
            <w:tcW w:w="4533" w:type="dxa"/>
          </w:tcPr>
          <w:p w14:paraId="4201CC53">
            <w:pPr>
              <w:widowControl/>
              <w:adjustRightInd/>
              <w:spacing w:line="360" w:lineRule="auto"/>
              <w:ind w:right="-31"/>
              <w:jc w:val="left"/>
              <w:rPr>
                <w:rFonts w:ascii="仿宋" w:hAnsi="仿宋" w:eastAsia="仿宋" w:cs="仿宋"/>
                <w:sz w:val="28"/>
                <w:szCs w:val="28"/>
              </w:rPr>
            </w:pPr>
            <w:r>
              <w:rPr>
                <w:rFonts w:hint="eastAsia" w:ascii="仿宋" w:hAnsi="仿宋" w:eastAsia="仿宋" w:cs="仿宋"/>
                <w:sz w:val="28"/>
                <w:szCs w:val="28"/>
              </w:rPr>
              <w:t>甲方：陕西省交通运行监测中心（公章）</w:t>
            </w:r>
          </w:p>
        </w:tc>
        <w:tc>
          <w:tcPr>
            <w:tcW w:w="4533" w:type="dxa"/>
          </w:tcPr>
          <w:p w14:paraId="14AFF8B0">
            <w:pPr>
              <w:widowControl/>
              <w:adjustRightInd/>
              <w:spacing w:line="360" w:lineRule="auto"/>
              <w:ind w:left="700" w:right="102" w:hanging="700" w:hangingChars="250"/>
              <w:jc w:val="left"/>
              <w:rPr>
                <w:rFonts w:ascii="仿宋" w:hAnsi="仿宋" w:eastAsia="仿宋" w:cs="仿宋"/>
                <w:sz w:val="28"/>
                <w:szCs w:val="28"/>
              </w:rPr>
            </w:pPr>
            <w:r>
              <w:rPr>
                <w:rFonts w:hint="eastAsia" w:ascii="仿宋" w:hAnsi="仿宋" w:eastAsia="仿宋" w:cs="仿宋"/>
                <w:sz w:val="28"/>
                <w:szCs w:val="28"/>
              </w:rPr>
              <w:t>乙方： （公章）</w:t>
            </w:r>
          </w:p>
        </w:tc>
      </w:tr>
      <w:tr w14:paraId="72E83CD6">
        <w:tblPrEx>
          <w:tblCellMar>
            <w:top w:w="0" w:type="dxa"/>
            <w:left w:w="284" w:type="dxa"/>
            <w:bottom w:w="0" w:type="dxa"/>
            <w:right w:w="0" w:type="dxa"/>
          </w:tblCellMar>
        </w:tblPrEx>
        <w:trPr>
          <w:trHeight w:val="2684" w:hRule="atLeast"/>
          <w:jc w:val="center"/>
        </w:trPr>
        <w:tc>
          <w:tcPr>
            <w:tcW w:w="4533" w:type="dxa"/>
          </w:tcPr>
          <w:p w14:paraId="2CCB70B2">
            <w:pPr>
              <w:widowControl/>
              <w:adjustRightInd/>
              <w:spacing w:line="360" w:lineRule="auto"/>
              <w:ind w:left="100"/>
              <w:rPr>
                <w:rFonts w:ascii="仿宋" w:hAnsi="仿宋" w:eastAsia="仿宋" w:cs="仿宋"/>
                <w:sz w:val="28"/>
                <w:szCs w:val="28"/>
              </w:rPr>
            </w:pPr>
            <w:r>
              <w:rPr>
                <w:rFonts w:hint="eastAsia" w:ascii="仿宋" w:hAnsi="仿宋" w:eastAsia="仿宋" w:cs="仿宋"/>
                <w:sz w:val="28"/>
                <w:szCs w:val="28"/>
              </w:rPr>
              <w:t>法定代表人</w:t>
            </w:r>
          </w:p>
          <w:p w14:paraId="12CACB90">
            <w:pPr>
              <w:widowControl/>
              <w:adjustRightInd/>
              <w:spacing w:line="360" w:lineRule="auto"/>
              <w:ind w:left="100"/>
              <w:rPr>
                <w:rFonts w:ascii="仿宋" w:hAnsi="仿宋" w:eastAsia="仿宋" w:cs="仿宋"/>
                <w:sz w:val="28"/>
                <w:szCs w:val="28"/>
              </w:rPr>
            </w:pPr>
            <w:r>
              <w:rPr>
                <w:rFonts w:hint="eastAsia" w:ascii="仿宋" w:hAnsi="仿宋" w:eastAsia="仿宋" w:cs="仿宋"/>
                <w:sz w:val="28"/>
                <w:szCs w:val="28"/>
              </w:rPr>
              <w:t>或授权代表人：</w:t>
            </w:r>
          </w:p>
          <w:p w14:paraId="3373BFB5">
            <w:pPr>
              <w:widowControl/>
              <w:adjustRightInd/>
              <w:spacing w:line="360" w:lineRule="auto"/>
              <w:ind w:left="100" w:firstLine="280" w:firstLineChars="100"/>
              <w:rPr>
                <w:rFonts w:ascii="仿宋" w:hAnsi="仿宋" w:eastAsia="仿宋" w:cs="仿宋"/>
                <w:sz w:val="28"/>
                <w:szCs w:val="28"/>
              </w:rPr>
            </w:pPr>
            <w:r>
              <w:rPr>
                <w:rFonts w:hint="eastAsia" w:ascii="仿宋" w:hAnsi="仿宋" w:eastAsia="仿宋" w:cs="仿宋"/>
                <w:sz w:val="28"/>
                <w:szCs w:val="28"/>
              </w:rPr>
              <w:t>（签章）</w:t>
            </w:r>
          </w:p>
        </w:tc>
        <w:tc>
          <w:tcPr>
            <w:tcW w:w="4533" w:type="dxa"/>
          </w:tcPr>
          <w:p w14:paraId="4B8CA353">
            <w:pPr>
              <w:widowControl/>
              <w:adjustRightInd/>
              <w:spacing w:line="360" w:lineRule="auto"/>
              <w:ind w:left="100"/>
              <w:rPr>
                <w:rFonts w:ascii="仿宋" w:hAnsi="仿宋" w:eastAsia="仿宋" w:cs="仿宋"/>
                <w:sz w:val="28"/>
                <w:szCs w:val="28"/>
              </w:rPr>
            </w:pPr>
            <w:r>
              <w:rPr>
                <w:rFonts w:hint="eastAsia" w:ascii="仿宋" w:hAnsi="仿宋" w:eastAsia="仿宋" w:cs="仿宋"/>
                <w:sz w:val="28"/>
                <w:szCs w:val="28"/>
              </w:rPr>
              <w:t>法定代表人</w:t>
            </w:r>
          </w:p>
          <w:p w14:paraId="1949FE45">
            <w:pPr>
              <w:widowControl/>
              <w:adjustRightInd/>
              <w:spacing w:line="360" w:lineRule="auto"/>
              <w:ind w:left="100"/>
              <w:rPr>
                <w:rFonts w:ascii="仿宋" w:hAnsi="仿宋" w:eastAsia="仿宋" w:cs="仿宋"/>
                <w:sz w:val="28"/>
                <w:szCs w:val="28"/>
              </w:rPr>
            </w:pPr>
            <w:bookmarkStart w:id="3" w:name="_GoBack"/>
            <w:bookmarkEnd w:id="3"/>
            <w:r>
              <w:rPr>
                <w:rFonts w:hint="eastAsia" w:ascii="仿宋" w:hAnsi="仿宋" w:eastAsia="仿宋" w:cs="仿宋"/>
                <w:sz w:val="28"/>
                <w:szCs w:val="28"/>
              </w:rPr>
              <w:t>或授权代表人：</w:t>
            </w:r>
          </w:p>
          <w:p w14:paraId="3FBED550">
            <w:pPr>
              <w:widowControl/>
              <w:adjustRightInd/>
              <w:spacing w:line="360" w:lineRule="auto"/>
              <w:ind w:left="100" w:firstLine="280" w:firstLineChars="100"/>
              <w:rPr>
                <w:rFonts w:ascii="仿宋" w:hAnsi="仿宋" w:eastAsia="仿宋" w:cs="仿宋"/>
                <w:sz w:val="28"/>
                <w:szCs w:val="28"/>
              </w:rPr>
            </w:pPr>
            <w:r>
              <w:rPr>
                <w:rFonts w:hint="eastAsia" w:ascii="仿宋" w:hAnsi="仿宋" w:eastAsia="仿宋" w:cs="仿宋"/>
                <w:sz w:val="28"/>
                <w:szCs w:val="28"/>
              </w:rPr>
              <w:t>（签章）</w:t>
            </w:r>
          </w:p>
        </w:tc>
      </w:tr>
      <w:tr w14:paraId="05EA34F4">
        <w:tblPrEx>
          <w:tblCellMar>
            <w:top w:w="0" w:type="dxa"/>
            <w:left w:w="284" w:type="dxa"/>
            <w:bottom w:w="0" w:type="dxa"/>
            <w:right w:w="0" w:type="dxa"/>
          </w:tblCellMar>
        </w:tblPrEx>
        <w:trPr>
          <w:trHeight w:val="590" w:hRule="atLeast"/>
          <w:jc w:val="center"/>
        </w:trPr>
        <w:tc>
          <w:tcPr>
            <w:tcW w:w="9066" w:type="dxa"/>
            <w:gridSpan w:val="2"/>
          </w:tcPr>
          <w:p w14:paraId="05C96420">
            <w:pPr>
              <w:widowControl/>
              <w:wordWrap w:val="0"/>
              <w:adjustRightInd/>
              <w:spacing w:line="360" w:lineRule="auto"/>
              <w:jc w:val="center"/>
              <w:rPr>
                <w:rFonts w:ascii="仿宋" w:hAnsi="仿宋" w:eastAsia="仿宋" w:cs="仿宋"/>
                <w:sz w:val="28"/>
                <w:szCs w:val="28"/>
              </w:rPr>
            </w:pPr>
            <w:r>
              <w:rPr>
                <w:rFonts w:hint="eastAsia" w:ascii="仿宋" w:hAnsi="仿宋" w:eastAsia="仿宋" w:cs="仿宋"/>
                <w:sz w:val="28"/>
                <w:szCs w:val="28"/>
              </w:rPr>
              <w:t xml:space="preserve">订立时间：        年      月      日          </w:t>
            </w:r>
          </w:p>
        </w:tc>
      </w:tr>
    </w:tbl>
    <w:p w14:paraId="65BD168C">
      <w:pPr>
        <w:adjustRightInd w:val="0"/>
        <w:spacing w:line="360" w:lineRule="auto"/>
        <w:rPr>
          <w:rFonts w:hint="default" w:ascii="Calibri" w:hAnsi="Calibri" w:eastAsia="宋体" w:cs="Times New Roman"/>
          <w:sz w:val="32"/>
          <w:szCs w:val="20"/>
          <w:lang w:val="en-US" w:eastAsia="zh-Hans" w:bidi="ar-SA"/>
        </w:rPr>
      </w:pPr>
    </w:p>
    <w:p w14:paraId="6269A93D">
      <w:pPr>
        <w:adjustRightInd w:val="0"/>
        <w:spacing w:line="360" w:lineRule="auto"/>
        <w:rPr>
          <w:rFonts w:ascii="Times New Roman" w:hAnsi="Times New Roman" w:eastAsia="仿宋" w:cs="Times New Roman"/>
          <w:sz w:val="32"/>
          <w:szCs w:val="20"/>
        </w:rPr>
      </w:pPr>
    </w:p>
    <w:p w14:paraId="554BC704">
      <w:pPr>
        <w:adjustRightInd w:val="0"/>
        <w:spacing w:line="360" w:lineRule="auto"/>
        <w:rPr>
          <w:rFonts w:ascii="Times New Roman" w:hAnsi="Times New Roman" w:eastAsia="仿宋" w:cs="Times New Roman"/>
          <w:sz w:val="32"/>
          <w:szCs w:val="20"/>
        </w:rPr>
      </w:pPr>
    </w:p>
    <w:p w14:paraId="4169601E">
      <w:pPr>
        <w:pStyle w:val="6"/>
        <w:rPr>
          <w:rFonts w:ascii="仿宋_GB2312" w:hAnsi="仿宋_GB2312" w:eastAsia="仿宋_GB2312" w:cs="仿宋_GB2312"/>
        </w:rPr>
      </w:pPr>
    </w:p>
    <w:p w14:paraId="2E83EEB9">
      <w:pPr>
        <w:pStyle w:val="6"/>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p w14:paraId="0F146C8F">
      <w:pPr>
        <w:rPr>
          <w:rFonts w:hint="eastAsia" w:ascii="仿宋_GB2312" w:hAnsi="仿宋_GB2312" w:eastAsia="仿宋_GB2312" w:cs="仿宋_GB2312"/>
          <w:lang w:val="en-US" w:eastAsia="zh-Hans"/>
        </w:rPr>
      </w:pPr>
    </w:p>
    <w:p w14:paraId="20ACBB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3D4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2026-06-09T15:50:01Z</dcterms:created>
  <dc:creator>pc</dc:creator>
  <cp:lastModifiedBy>肖肖</cp:lastModifiedBy>
  <dcterms:modified xsi:type="dcterms:W3CDTF">2026-06-09T15:50:11Z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35538D8984B64606960D5A617E6559DD_12</vt:lpwstr>
  </property>
</Properties>
</file>