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版本号：ZMZB2026ZXXZ-5220260730001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血检科进口试剂耗材采购项目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ZMZB2026ZXXZ-52</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血检科进口试剂耗材采购项目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ZMZB2026ZXXZ-52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血检科进口试剂耗材采购项目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为保证临床输血安全，向临床及时提供安全有效的血液制品，拟通过招标方式采购部分检测试剂及实验耗材。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p>
      <w:pPr>
        <w:pStyle w:val="null3"/>
      </w:pPr>
      <w:r>
        <w:rPr>
          <w:rFonts w:ascii="仿宋_GB2312" w:hAnsi="仿宋_GB2312" w:cs="仿宋_GB2312" w:eastAsia="仿宋_GB2312"/>
        </w:rPr>
        <w:t>3、税收缴纳证明：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6、近3年内在经营活动中没有重大违法记录的书面声明：近3年内在经营活动中没有重大违法记录的书面声明</w:t>
      </w:r>
    </w:p>
    <w:p>
      <w:pPr>
        <w:pStyle w:val="null3"/>
      </w:pPr>
      <w:r>
        <w:rPr>
          <w:rFonts w:ascii="仿宋_GB2312" w:hAnsi="仿宋_GB2312" w:cs="仿宋_GB2312" w:eastAsia="仿宋_GB2312"/>
        </w:rPr>
        <w:t>7、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定代表人委托授权书：非法定代表人参加投标的，须提供法定代表人委托授权书、授权代表身份证、授权代表提供在投标单位缴纳的社保记录（近3个月内任意一个月）；法定代表人参加投标时,只需提供法定代表人身份证</w:t>
      </w:r>
    </w:p>
    <w:p>
      <w:pPr>
        <w:pStyle w:val="null3"/>
      </w:pPr>
      <w:r>
        <w:rPr>
          <w:rFonts w:ascii="仿宋_GB2312" w:hAnsi="仿宋_GB2312" w:cs="仿宋_GB2312" w:eastAsia="仿宋_GB2312"/>
        </w:rPr>
        <w:t>9、本项目不接受联合体投标：本项目不接受联合体投标</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资质证明：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p>
      <w:pPr>
        <w:pStyle w:val="null3"/>
      </w:pPr>
      <w:r>
        <w:rPr>
          <w:rFonts w:ascii="仿宋_GB2312" w:hAnsi="仿宋_GB2312" w:cs="仿宋_GB2312" w:eastAsia="仿宋_GB2312"/>
        </w:rPr>
        <w:t>3、税收缴纳证明：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6、近3年内在经营活动中没有重大违法记录的书面声明：近3年内在经营活动中没有重大违法记录的书面声明</w:t>
      </w:r>
    </w:p>
    <w:p>
      <w:pPr>
        <w:pStyle w:val="null3"/>
      </w:pPr>
      <w:r>
        <w:rPr>
          <w:rFonts w:ascii="仿宋_GB2312" w:hAnsi="仿宋_GB2312" w:cs="仿宋_GB2312" w:eastAsia="仿宋_GB2312"/>
        </w:rPr>
        <w:t>7、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定代表人委托授权书：非法定代表人参加投标的，须提供法定代表人委托授权书、授权代表身份证、授权代表提供在投标单位缴纳的社保记录（近3个月内任意一个月）；法定代表人参加投标时,只需提供法定代表人身份证</w:t>
      </w:r>
    </w:p>
    <w:p>
      <w:pPr>
        <w:pStyle w:val="null3"/>
      </w:pPr>
      <w:r>
        <w:rPr>
          <w:rFonts w:ascii="仿宋_GB2312" w:hAnsi="仿宋_GB2312" w:cs="仿宋_GB2312" w:eastAsia="仿宋_GB2312"/>
        </w:rPr>
        <w:t>9、本项目不接受联合体投标：本项目不接受联合体投标</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资质证明：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029-85236579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采购包1：3,259,200.00元</w:t>
            </w:r>
          </w:p>
          <w:p>
            <w:pPr>
              <w:pStyle w:val="null3"/>
            </w:pPr>
            <w:r>
              <w:rPr>
                <w:rFonts w:ascii="仿宋_GB2312" w:hAnsi="仿宋_GB2312" w:cs="仿宋_GB2312" w:eastAsia="仿宋_GB2312"/>
              </w:rPr>
              <w:t>采购包2：720,000.00元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及（发改办价格[2011]534号）的规定计取，按照中标金额差额定率累进法计算，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西安市中心血站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按照采购文件、投标文件及合同约定执行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为保证临床输血安全，向临床及时提供安全有效的血液制品，拟通过招标方式采购部分检测试剂及实验耗材。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3,259,200.00</w:t>
      </w:r>
    </w:p>
    <w:p>
      <w:pPr>
        <w:pStyle w:val="null3"/>
      </w:pPr>
      <w:r>
        <w:rPr>
          <w:rFonts w:ascii="仿宋_GB2312" w:hAnsi="仿宋_GB2312" w:cs="仿宋_GB2312" w:eastAsia="仿宋_GB2312"/>
        </w:rPr>
        <w:t>采购包最高限价（元）: 3,259,200.00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进口HBsAg体外诊断试剂盒</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3,259,200.00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进口5ml真空采血管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标的名称：进口HBsAg体外诊断试剂盒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一、进口</w:t>
            </w:r>
            <w:r>
              <w:rPr>
                <w:rFonts w:ascii="仿宋_GB2312" w:hAnsi="仿宋_GB2312" w:cs="仿宋_GB2312" w:eastAsia="仿宋_GB2312"/>
                <w:sz w:val="20"/>
                <w:b/>
              </w:rPr>
              <w:t>HBsAg体外诊断试剂盒   700盒</w:t>
            </w:r>
          </w:p>
          <w:p>
            <w:pPr>
              <w:pStyle w:val="null3"/>
              <w:jc w:val="both"/>
            </w:pPr>
            <w:r>
              <w:rPr>
                <w:rFonts w:ascii="仿宋_GB2312" w:hAnsi="仿宋_GB2312" w:cs="仿宋_GB2312" w:eastAsia="仿宋_GB2312"/>
                <w:sz w:val="20"/>
              </w:rPr>
              <w:t>1.酶联免疫（EIA）的实验原理，二步法；</w:t>
            </w:r>
          </w:p>
          <w:p>
            <w:pPr>
              <w:pStyle w:val="null3"/>
              <w:jc w:val="both"/>
            </w:pPr>
            <w:r>
              <w:rPr>
                <w:rFonts w:ascii="仿宋_GB2312" w:hAnsi="仿宋_GB2312" w:cs="仿宋_GB2312" w:eastAsia="仿宋_GB2312"/>
                <w:sz w:val="20"/>
              </w:rPr>
              <w:t>2.具有进字号注册文号；</w:t>
            </w:r>
          </w:p>
          <w:p>
            <w:pPr>
              <w:pStyle w:val="null3"/>
              <w:jc w:val="both"/>
            </w:pPr>
            <w:r>
              <w:rPr>
                <w:rFonts w:ascii="仿宋_GB2312" w:hAnsi="仿宋_GB2312" w:cs="仿宋_GB2312" w:eastAsia="仿宋_GB2312"/>
                <w:sz w:val="20"/>
              </w:rPr>
              <w:t>3.检测灵敏度≤0.1IU/ml；</w:t>
            </w:r>
          </w:p>
          <w:p>
            <w:pPr>
              <w:pStyle w:val="null3"/>
              <w:jc w:val="both"/>
            </w:pPr>
            <w:r>
              <w:rPr>
                <w:rFonts w:ascii="仿宋_GB2312" w:hAnsi="仿宋_GB2312" w:cs="仿宋_GB2312" w:eastAsia="仿宋_GB2312"/>
                <w:sz w:val="20"/>
              </w:rPr>
              <w:t>4.敏感性：100％；特异性：≥99.5％。批间差（CV）≤20%，批内差（CV）≤15%；</w:t>
            </w:r>
          </w:p>
          <w:p>
            <w:pPr>
              <w:pStyle w:val="null3"/>
              <w:jc w:val="both"/>
            </w:pPr>
            <w:r>
              <w:rPr>
                <w:rFonts w:ascii="仿宋_GB2312" w:hAnsi="仿宋_GB2312" w:cs="仿宋_GB2312" w:eastAsia="仿宋_GB2312"/>
                <w:sz w:val="20"/>
              </w:rPr>
              <w:t>5.孵育时间应在符合药典要求的同时耗时最短，保证及时高效的出具检测结果；</w:t>
            </w:r>
          </w:p>
          <w:p>
            <w:pPr>
              <w:pStyle w:val="null3"/>
              <w:jc w:val="both"/>
            </w:pPr>
            <w:r>
              <w:rPr>
                <w:rFonts w:ascii="仿宋_GB2312" w:hAnsi="仿宋_GB2312" w:cs="仿宋_GB2312" w:eastAsia="仿宋_GB2312"/>
                <w:sz w:val="20"/>
              </w:rPr>
              <w:t>6.试剂盒包装规格480人份/ 盒，试剂盒的反应板每板96人份（规格8*12）；</w:t>
            </w:r>
          </w:p>
          <w:p>
            <w:pPr>
              <w:pStyle w:val="null3"/>
            </w:pPr>
            <w:r>
              <w:rPr>
                <w:rFonts w:ascii="仿宋_GB2312" w:hAnsi="仿宋_GB2312" w:cs="仿宋_GB2312" w:eastAsia="仿宋_GB2312"/>
                <w:sz w:val="20"/>
              </w:rPr>
              <w:t>7.酶标板的规格标准，适合在各种型号全自动酶免系统、酶标仪、洗板机上使用；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、服务要求</w:t>
            </w:r>
          </w:p>
          <w:p>
            <w:pPr>
              <w:pStyle w:val="null3"/>
              <w:jc w:val="both"/>
            </w:pPr>
            <w:r>
              <w:rPr>
                <w:rFonts w:ascii="仿宋_GB2312" w:hAnsi="仿宋_GB2312" w:cs="仿宋_GB2312" w:eastAsia="仿宋_GB2312"/>
                <w:sz w:val="20"/>
              </w:rPr>
              <w:t>试剂类产品中标单位供货时必须提供以下相关资料存档：</w:t>
            </w:r>
          </w:p>
          <w:p>
            <w:pPr>
              <w:pStyle w:val="null3"/>
              <w:jc w:val="both"/>
            </w:pPr>
            <w:r>
              <w:rPr>
                <w:rFonts w:ascii="仿宋_GB2312" w:hAnsi="仿宋_GB2312" w:cs="仿宋_GB2312" w:eastAsia="仿宋_GB2312"/>
                <w:sz w:val="20"/>
              </w:rPr>
              <w:t>1.《药品生产许可证》和《药品经营许可证》及营业执照复印件；</w:t>
            </w:r>
          </w:p>
          <w:p>
            <w:pPr>
              <w:pStyle w:val="null3"/>
              <w:jc w:val="both"/>
            </w:pPr>
            <w:r>
              <w:rPr>
                <w:rFonts w:ascii="仿宋_GB2312" w:hAnsi="仿宋_GB2312" w:cs="仿宋_GB2312" w:eastAsia="仿宋_GB2312"/>
                <w:sz w:val="20"/>
              </w:rPr>
              <w:t>2.《药品生产质量管理规范》和《药品经营质量管理规范》认证证书复印件；</w:t>
            </w:r>
          </w:p>
          <w:p>
            <w:pPr>
              <w:pStyle w:val="null3"/>
              <w:jc w:val="both"/>
            </w:pPr>
            <w:r>
              <w:rPr>
                <w:rFonts w:ascii="仿宋_GB2312" w:hAnsi="仿宋_GB2312" w:cs="仿宋_GB2312" w:eastAsia="仿宋_GB2312"/>
                <w:sz w:val="20"/>
              </w:rPr>
              <w:t>3.药品的批准证明文件复印件；</w:t>
            </w:r>
          </w:p>
          <w:p>
            <w:pPr>
              <w:pStyle w:val="null3"/>
              <w:jc w:val="both"/>
            </w:pPr>
            <w:r>
              <w:rPr>
                <w:rFonts w:ascii="仿宋_GB2312" w:hAnsi="仿宋_GB2312" w:cs="仿宋_GB2312" w:eastAsia="仿宋_GB2312"/>
                <w:sz w:val="20"/>
              </w:rPr>
              <w:t>4.销售人员有效身份证明复印件；</w:t>
            </w:r>
          </w:p>
          <w:p>
            <w:pPr>
              <w:pStyle w:val="null3"/>
              <w:jc w:val="both"/>
            </w:pPr>
            <w:r>
              <w:rPr>
                <w:rFonts w:ascii="仿宋_GB2312" w:hAnsi="仿宋_GB2312" w:cs="仿宋_GB2312" w:eastAsia="仿宋_GB2312"/>
                <w:sz w:val="20"/>
              </w:rPr>
              <w:t>5.血源筛查体外诊断试剂的批签发文件；</w:t>
            </w:r>
          </w:p>
          <w:p>
            <w:pPr>
              <w:pStyle w:val="null3"/>
            </w:pPr>
            <w:r>
              <w:rPr>
                <w:rFonts w:ascii="仿宋_GB2312" w:hAnsi="仿宋_GB2312" w:cs="仿宋_GB2312" w:eastAsia="仿宋_GB2312"/>
                <w:sz w:val="20"/>
              </w:rPr>
              <w:t>6.出厂质量检验报告等。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标的名称：进口5ml真空采血管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一、进口</w:t>
            </w:r>
            <w:r>
              <w:rPr>
                <w:rFonts w:ascii="仿宋_GB2312" w:hAnsi="仿宋_GB2312" w:cs="仿宋_GB2312" w:eastAsia="仿宋_GB2312"/>
                <w:sz w:val="20"/>
                <w:b/>
              </w:rPr>
              <w:t>5ml真空采血管   300000支</w:t>
            </w:r>
          </w:p>
          <w:p>
            <w:pPr>
              <w:pStyle w:val="null3"/>
              <w:jc w:val="both"/>
            </w:pPr>
            <w:r>
              <w:rPr>
                <w:rFonts w:ascii="仿宋_GB2312" w:hAnsi="仿宋_GB2312" w:cs="仿宋_GB2312" w:eastAsia="仿宋_GB2312"/>
                <w:sz w:val="20"/>
              </w:rPr>
              <w:t>1.使用用途：用于采集静脉血液标本，经过离心分离出未稀释EDTA 血浆，该血浆可用于分子诊断检测法（包括但不限于聚合酶链反应（PCR）和/或分支DNA 扩增技术）；</w:t>
            </w:r>
          </w:p>
          <w:p>
            <w:pPr>
              <w:pStyle w:val="null3"/>
              <w:jc w:val="both"/>
            </w:pPr>
            <w:r>
              <w:rPr>
                <w:rFonts w:ascii="仿宋_GB2312" w:hAnsi="仿宋_GB2312" w:cs="仿宋_GB2312" w:eastAsia="仿宋_GB2312"/>
                <w:sz w:val="20"/>
              </w:rPr>
              <w:t>2.添加剂：采用添加剂为EDTA-K2/分离胶；</w:t>
            </w:r>
          </w:p>
          <w:p>
            <w:pPr>
              <w:pStyle w:val="null3"/>
              <w:jc w:val="both"/>
            </w:pPr>
            <w:r>
              <w:rPr>
                <w:rFonts w:ascii="仿宋_GB2312" w:hAnsi="仿宋_GB2312" w:cs="仿宋_GB2312" w:eastAsia="仿宋_GB2312"/>
                <w:sz w:val="20"/>
              </w:rPr>
              <w:t>3.分离胶分离效果：应具有良好的分离效果，离心后应能使血液中的液体成分与固体成分彻底分开并完全积聚在试管中央并固化形成屏障；</w:t>
            </w:r>
          </w:p>
          <w:p>
            <w:pPr>
              <w:pStyle w:val="null3"/>
              <w:jc w:val="both"/>
            </w:pPr>
            <w:r>
              <w:rPr>
                <w:rFonts w:ascii="仿宋_GB2312" w:hAnsi="仿宋_GB2312" w:cs="仿宋_GB2312" w:eastAsia="仿宋_GB2312"/>
                <w:sz w:val="20"/>
              </w:rPr>
              <w:t>4.标本离心要求：针对标本离心时所使用的离心机要求、离心力大小和离心时间,说明书中需有明确建议操作条件；</w:t>
            </w:r>
          </w:p>
          <w:p>
            <w:pPr>
              <w:pStyle w:val="null3"/>
              <w:jc w:val="both"/>
            </w:pPr>
            <w:r>
              <w:rPr>
                <w:rFonts w:ascii="仿宋_GB2312" w:hAnsi="仿宋_GB2312" w:cs="仿宋_GB2312" w:eastAsia="仿宋_GB2312"/>
                <w:sz w:val="20"/>
              </w:rPr>
              <w:t>5.抽吸体积: 5ml核酸采血管规格为13×100mm，采血管预置真空，其实际抽吸体积与标示体积相比，上下浮动范围≤±5%，实际使用时采血量≥4.8ml；</w:t>
            </w:r>
          </w:p>
          <w:p>
            <w:pPr>
              <w:pStyle w:val="null3"/>
              <w:jc w:val="both"/>
            </w:pPr>
            <w:r>
              <w:rPr>
                <w:rFonts w:ascii="仿宋_GB2312" w:hAnsi="仿宋_GB2312" w:cs="仿宋_GB2312" w:eastAsia="仿宋_GB2312"/>
                <w:sz w:val="20"/>
              </w:rPr>
              <w:t>6.无菌要求: 采血管内部无菌，经钴60辐照灭菌，中文说明书及试管管体上需要体现无菌标示；</w:t>
            </w:r>
          </w:p>
          <w:p>
            <w:pPr>
              <w:pStyle w:val="null3"/>
              <w:jc w:val="both"/>
            </w:pPr>
            <w:r>
              <w:rPr>
                <w:rFonts w:ascii="仿宋_GB2312" w:hAnsi="仿宋_GB2312" w:cs="仿宋_GB2312" w:eastAsia="仿宋_GB2312"/>
                <w:sz w:val="20"/>
              </w:rPr>
              <w:t>7.冻存性能: 采血离心后可直接置于-20℃和-70℃冷冻保存，并确保采血管完好，无破裂变形情况发生，管内样本须保存完好。中文说明书中需有明确说明；</w:t>
            </w:r>
          </w:p>
          <w:p>
            <w:pPr>
              <w:pStyle w:val="null3"/>
              <w:jc w:val="both"/>
            </w:pPr>
            <w:r>
              <w:rPr>
                <w:rFonts w:ascii="仿宋_GB2312" w:hAnsi="仿宋_GB2312" w:cs="仿宋_GB2312" w:eastAsia="仿宋_GB2312"/>
                <w:sz w:val="20"/>
              </w:rPr>
              <w:t>8.采血管强度: 采血管纵轴方向应能承受3000g的离心力加速度10分钟，无断裂、塌陷、裂缝或其它可见缺陷；</w:t>
            </w:r>
          </w:p>
          <w:p>
            <w:pPr>
              <w:pStyle w:val="null3"/>
              <w:jc w:val="both"/>
            </w:pPr>
            <w:r>
              <w:rPr>
                <w:rFonts w:ascii="仿宋_GB2312" w:hAnsi="仿宋_GB2312" w:cs="仿宋_GB2312" w:eastAsia="仿宋_GB2312"/>
                <w:sz w:val="20"/>
              </w:rPr>
              <w:t>9.采血管须匹配采购方相应核酸检测试剂（提供相关证明文件）；</w:t>
            </w:r>
          </w:p>
          <w:p>
            <w:pPr>
              <w:pStyle w:val="null3"/>
            </w:pPr>
            <w:r>
              <w:rPr>
                <w:rFonts w:ascii="仿宋_GB2312" w:hAnsi="仿宋_GB2312" w:cs="仿宋_GB2312" w:eastAsia="仿宋_GB2312"/>
                <w:sz w:val="20"/>
              </w:rPr>
              <w:t>10.具有进字号注册文号</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交货期：按照采购人要求分批供货，接到甲方供货通知七日内交货；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交货期：按照采购人要求分批供货，接到甲方供货通知七日内交货；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其他，合同签订后每满三个月后5个工作日内根据各中标供应商所供试剂的实际数量据实结算一次，达到付款条件起10个工作日内，支付合同总金额的100.0%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其他，合同签订后每满三个月后5个工作日内根据各中标供应商所供试剂的实际数量据实结算一次，达到付款条件起10个工作日内，支付合同总金额的100.0%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按现行的国家标准或国家行政部门颁布的法律法规、规章制度以及相应的行业标准等进行货物验收，如发现质量问题应进行退换货。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按现行的国家标准或国家行政部门颁布的法律法规、规章制度以及相应的行业标准等进行货物验收，如发现质量问题应进行退换货。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保质期：产品到交货地点的有效期大于6个月。在使用期间如出现质量问题，应随时予以更换，保证血液检测工作的正常进行。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保质期：产品到交货地点的有效期大于6个月。在使用期间如出现质量问题，应随时予以更换，保证血液检测工作的正常进行。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一般与合同款项的支付相关，注意不要超出《民法典》中对于违约的责任上限。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一般与合同款项的支付相关，注意不要超出《民法典》中对于违约的责任上限。</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1、本项目落实《国务院办公厅关于在政府采购中实施本国产品标准及相关政策的通知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2、中标供应商领取中标（成交）通知书时，向采购代理机构提供一正两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近3年内在经营活动中没有重大违法记录的书面声明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非法定代表人参加投标的，须提供法定代表人委托授权书、授权代表身份证、授权代表提供在投标单位缴纳的社保记录（近3个月内任意一个月）；法定代表人参加投标时,只需提供法定代表人身份证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依法缴纳税收的相关凭据（时间以税款所属时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近3年内在经营活动中没有重大违法记录的书面声明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非法定代表人参加投标的，须提供法定代表人委托授权书、授权代表身份证、授权代表提供在投标单位缴纳的社保记录（近3个月内任意一个月）；法定代表人参加投标时,只需提供法定代表人身份证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投标报价超过采购预算或者最高限价（不合格），投标报价未超过采购预算或者最高限价（合格）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交货期、保质期</w:t>
            </w:r>
          </w:p>
        </w:tc>
        <w:tc>
          <w:tcPr>
            <w:tcW w:type="dxa" w:w="3322"/>
          </w:tcPr>
          <w:p>
            <w:pPr>
              <w:pStyle w:val="null3"/>
            </w:pPr>
            <w:r>
              <w:rPr>
                <w:rFonts w:ascii="仿宋_GB2312" w:hAnsi="仿宋_GB2312" w:cs="仿宋_GB2312" w:eastAsia="仿宋_GB2312"/>
              </w:rPr>
              <w:t>投标文件的交货期、保质期不满足招标文件要求（不合格），投标文件的交货期、保质期满足招标文件要求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投标文件的签署、盖章不符合招标文件要求（不合格），投标文件的签署、盖章符合招标文件要求（合格）</w:t>
            </w:r>
          </w:p>
        </w:tc>
        <w:tc>
          <w:tcPr>
            <w:tcW w:type="dxa" w:w="1661"/>
          </w:tcPr>
          <w:p>
            <w:pPr>
              <w:pStyle w:val="null3"/>
            </w:pPr>
            <w:r>
              <w:rPr>
                <w:rFonts w:ascii="仿宋_GB2312" w:hAnsi="仿宋_GB2312" w:cs="仿宋_GB2312" w:eastAsia="仿宋_GB2312"/>
              </w:rPr>
              <w:t>开标一览表 质量安全责任承诺书.docx 投标函 商务应答表 标的清单 投标文件封面 产品技术参数表.docx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投标文件货物标的出现漏项或货物数量与要求不符的（不合格），投标文件货物标的未出现漏项或货物数量与要求符合的（合格）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质量安全责任承诺书</w:t>
            </w:r>
          </w:p>
        </w:tc>
        <w:tc>
          <w:tcPr>
            <w:tcW w:type="dxa" w:w="3322"/>
          </w:tcPr>
          <w:p>
            <w:pPr>
              <w:pStyle w:val="null3"/>
            </w:pPr>
            <w:r>
              <w:rPr>
                <w:rFonts w:ascii="仿宋_GB2312" w:hAnsi="仿宋_GB2312" w:cs="仿宋_GB2312" w:eastAsia="仿宋_GB2312"/>
              </w:rPr>
              <w:t>响应文件提供了合格的质量安全责任承诺书（合格），响应文件未提供或提供的质量安全责任承诺书不合格（不合格）</w:t>
            </w:r>
          </w:p>
        </w:tc>
        <w:tc>
          <w:tcPr>
            <w:tcW w:type="dxa" w:w="1661"/>
          </w:tcPr>
          <w:p>
            <w:pPr>
              <w:pStyle w:val="null3"/>
            </w:pPr>
            <w:r>
              <w:rPr>
                <w:rFonts w:ascii="仿宋_GB2312" w:hAnsi="仿宋_GB2312" w:cs="仿宋_GB2312" w:eastAsia="仿宋_GB2312"/>
              </w:rPr>
              <w:t>质量安全责任承诺书.docx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 的其他无效情形 （不合格）</w:t>
            </w:r>
          </w:p>
        </w:tc>
        <w:tc>
          <w:tcPr>
            <w:tcW w:type="dxa" w:w="1661"/>
          </w:tcPr>
          <w:p>
            <w:pPr>
              <w:pStyle w:val="null3"/>
            </w:pPr>
            <w:r>
              <w:rPr>
                <w:rFonts w:ascii="仿宋_GB2312" w:hAnsi="仿宋_GB2312" w:cs="仿宋_GB2312" w:eastAsia="仿宋_GB2312"/>
              </w:rPr>
              <w:t>投标函 商务应答表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投标报价超过采购预算或者最高限价（不合格），投标报价未超过采购预算或者最高限价（合格）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交货期、保质期</w:t>
            </w:r>
          </w:p>
        </w:tc>
        <w:tc>
          <w:tcPr>
            <w:tcW w:type="dxa" w:w="3322"/>
          </w:tcPr>
          <w:p>
            <w:pPr>
              <w:pStyle w:val="null3"/>
            </w:pPr>
            <w:r>
              <w:rPr>
                <w:rFonts w:ascii="仿宋_GB2312" w:hAnsi="仿宋_GB2312" w:cs="仿宋_GB2312" w:eastAsia="仿宋_GB2312"/>
              </w:rPr>
              <w:t>投标文件的交货期、保质期不满足招标文件要求（不合格），投标文件的交货期、保质期满足招标文件要求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投标文件的签署、盖章不符合招标文件要求（不合格），投标文件的签署、盖章符合招标文件要求（合格）</w:t>
            </w:r>
          </w:p>
        </w:tc>
        <w:tc>
          <w:tcPr>
            <w:tcW w:type="dxa" w:w="1661"/>
          </w:tcPr>
          <w:p>
            <w:pPr>
              <w:pStyle w:val="null3"/>
            </w:pPr>
            <w:r>
              <w:rPr>
                <w:rFonts w:ascii="仿宋_GB2312" w:hAnsi="仿宋_GB2312" w:cs="仿宋_GB2312" w:eastAsia="仿宋_GB2312"/>
              </w:rPr>
              <w:t>开标一览表 质量安全责任承诺书.docx 投标函 商务应答表 标的清单 投标文件封面 产品技术参数表.docx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投标文件货物标的出现漏项或货物数量与要求不符的（不合格），投标文件货物标的未出现漏项或货物数量与要求符合的（合格）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质量安全责任承诺书</w:t>
            </w:r>
          </w:p>
        </w:tc>
        <w:tc>
          <w:tcPr>
            <w:tcW w:type="dxa" w:w="3322"/>
          </w:tcPr>
          <w:p>
            <w:pPr>
              <w:pStyle w:val="null3"/>
            </w:pPr>
            <w:r>
              <w:rPr>
                <w:rFonts w:ascii="仿宋_GB2312" w:hAnsi="仿宋_GB2312" w:cs="仿宋_GB2312" w:eastAsia="仿宋_GB2312"/>
              </w:rPr>
              <w:t>响应文件提供了合格的质量安全责任承诺书（合格），响应文件未提供或提供的质量安全责任承诺书不合格（不合格）</w:t>
            </w:r>
          </w:p>
        </w:tc>
        <w:tc>
          <w:tcPr>
            <w:tcW w:type="dxa" w:w="1661"/>
          </w:tcPr>
          <w:p>
            <w:pPr>
              <w:pStyle w:val="null3"/>
            </w:pPr>
            <w:r>
              <w:rPr>
                <w:rFonts w:ascii="仿宋_GB2312" w:hAnsi="仿宋_GB2312" w:cs="仿宋_GB2312" w:eastAsia="仿宋_GB2312"/>
              </w:rPr>
              <w:t>质量安全责任承诺书.docx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 的其他无效情形 （不合格）</w:t>
            </w:r>
          </w:p>
        </w:tc>
        <w:tc>
          <w:tcPr>
            <w:tcW w:type="dxa" w:w="1661"/>
          </w:tcPr>
          <w:p>
            <w:pPr>
              <w:pStyle w:val="null3"/>
            </w:pPr>
            <w:r>
              <w:rPr>
                <w:rFonts w:ascii="仿宋_GB2312" w:hAnsi="仿宋_GB2312" w:cs="仿宋_GB2312" w:eastAsia="仿宋_GB2312"/>
              </w:rPr>
              <w:t>投标函 商务应答表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根据供应商提供所投产品的技术指标（参数）及相应的证明材料，经评审专家审定得分。 基本分（39分）：完全符合、响应招标文件要求，没有负偏离的得39分；参数负偏离一项扣5.58分，扣完为止。 注：参数须提供证明材料（不限于产品彩页、测试报告、官网和功能截图等技术支持性文件（资料）），未提供或提供的证明材料低于招标文件规定的响应技术指标、参数时视为负偏离。</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投标人针对本项目提出具体的实施方案，方案内容包含：①物流保障措施②配送方案③人员安排④质量保证措施⑤应急方案⑥验收方案； 提供的上述6项内容完整可行得12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出具体的售后服务方案，方案内容包含：①售后服务机构信息②售后服务人员组织③售后服务保障措施④质量问题的响应时间⑤供货不及时与残次品补货换货解决方案⑥培训服务⑦售后服务承诺⑧服务监督与持续改进； 提供的上述8项内容完整可行得8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提供供应商2023年3月1日至今所投产品合同（以合同签订日期为准），每提供1个得2分，最高得10分。 备注：响应文件中提供合同复印件，同一甲方不重复计分。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根据供应商提供所投产品的技术指标（参数）及相应的证明材料，经评审专家审定得分。 基本分（38分）：完全符合、响应招标文件要求，没有负偏离的得38分；参数负偏离一项扣3.8分，扣完为止。 注：参数须提供证明材料（不限于产品彩页、测试报告、官网和功能截图等技术支持性文件（资料）），未提供或提供的证明材料低于招标文件规定的响应技术指标、参数时视为负偏离。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投标人针对本项目提出具体的实施方案，方案内容包含：①物流保障措施②配送方案③人员安排④质量保证措施⑤应急方案⑥验收方案； 提供的上述6项内容完整可行得12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出具体的售后服务方案，方案内容包含：①售后服务机构信息②售后服务人员组织③售后服务保障措施④质量问题的响应时间⑤供货不及时与残次品补货换货解决方案⑥培训服务⑦售后服务承诺⑧服务监督与持续改进； 提供的上述8项内容完整可行得8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提供供应商2023年3月1日至今同类产品合同（以合同签订日期为准），每提供1个得2分，最高得10分。 备注：响应文件中提供合同复印件，同一甲方不重复计分。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详见附件：质量安全责任承诺书.docx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详见附件：质量安全责任承诺书.docx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详见附件：2026政府采购合同模板.docx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