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版本号：TCZFCG--2026-0055620260814001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办公设备购置项目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TCZFCG--2026-00556</w:t>
      </w:r>
      <w:r>
        <w:br/>
      </w:r>
      <w:r>
        <w:br/>
      </w:r>
      <w:r>
        <w:br/>
      </w:r>
    </w:p>
    <w:p>
      <w:pPr>
        <w:pStyle w:val="null3"/>
        <w:jc w:val="center"/>
        <w:outlineLvl w:val="2"/>
      </w:pPr>
      <w:r>
        <w:rPr>
          <w:rFonts w:ascii="仿宋_GB2312" w:hAnsi="仿宋_GB2312" w:cs="仿宋_GB2312" w:eastAsia="仿宋_GB2312"/>
          <w:sz w:val="28"/>
          <w:b/>
        </w:rPr>
        <w:t>铜川市实验中学</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铜川市实验中学</w:t>
      </w:r>
      <w:r>
        <w:rPr>
          <w:rFonts w:ascii="仿宋_GB2312" w:hAnsi="仿宋_GB2312" w:cs="仿宋_GB2312" w:eastAsia="仿宋_GB2312"/>
        </w:rPr>
        <w:t>委托，拟对</w:t>
      </w:r>
      <w:r>
        <w:rPr>
          <w:rFonts w:ascii="仿宋_GB2312" w:hAnsi="仿宋_GB2312" w:cs="仿宋_GB2312" w:eastAsia="仿宋_GB2312"/>
        </w:rPr>
        <w:t>办公设备购置项目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TCZFCG--2026-00556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办公设备购置项目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为改善学校教学、办公及生活环境，保障教学活动高效开展，新入学学生及老师学习和办公环境，学校依据年度采购计划及预算安排，启动本次空调、电脑设备等采购项目。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铜川市实验中学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铜川市耀州区大唐五路与旺旺路交叉口东 200 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0919-3235031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采购包1：556,500.00元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铜川市实验中学</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铜川市实验中学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铜川市实验中学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铜川市政府采购中心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15</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所有验收项需严格对照招标参数、合同条款及国家相关标准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铜川市实验中学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联系人：阎女士</w:t>
      </w:r>
    </w:p>
    <w:p>
      <w:pPr>
        <w:pStyle w:val="null3"/>
      </w:pPr>
      <w:r>
        <w:rPr>
          <w:rFonts w:ascii="仿宋_GB2312" w:hAnsi="仿宋_GB2312" w:cs="仿宋_GB2312" w:eastAsia="仿宋_GB2312"/>
        </w:rPr>
        <w:t>联系电话：0919-2859994</w:t>
      </w:r>
    </w:p>
    <w:p>
      <w:pPr>
        <w:pStyle w:val="null3"/>
      </w:pPr>
      <w:r>
        <w:rPr>
          <w:rFonts w:ascii="仿宋_GB2312" w:hAnsi="仿宋_GB2312" w:cs="仿宋_GB2312" w:eastAsia="仿宋_GB2312"/>
        </w:rPr>
        <w:t>地址：铜川市新区齐庆路中段人社大厦三楼</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为改善学校教学、办公及生活环境，保障教学活动高效开展，新入学学生及老师学习和办公环境，学校依据年度采购计划及预算安排，启动本次空调、电脑设备等采购项目。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556,500.00</w:t>
      </w:r>
    </w:p>
    <w:p>
      <w:pPr>
        <w:pStyle w:val="null3"/>
      </w:pPr>
      <w:r>
        <w:rPr>
          <w:rFonts w:ascii="仿宋_GB2312" w:hAnsi="仿宋_GB2312" w:cs="仿宋_GB2312" w:eastAsia="仿宋_GB2312"/>
        </w:rPr>
        <w:t>采购包最高限价（元）: 556,500.00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铜川市实验中学办公设备购置项目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556,500.00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标的名称：铜川市实验中学办公设备购置项目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LED屏</w:t>
            </w:r>
          </w:p>
          <w:p>
            <w:pPr>
              <w:pStyle w:val="null3"/>
            </w:pPr>
            <w:r>
              <w:rPr>
                <w:rFonts w:ascii="仿宋_GB2312" w:hAnsi="仿宋_GB2312" w:cs="仿宋_GB2312" w:eastAsia="仿宋_GB2312"/>
              </w:rPr>
              <w:t>购买数量：17.6平方米</w:t>
            </w:r>
          </w:p>
          <w:p>
            <w:pPr>
              <w:pStyle w:val="null3"/>
            </w:pPr>
            <w:r>
              <w:rPr>
                <w:rFonts w:ascii="仿宋_GB2312" w:hAnsi="仿宋_GB2312" w:cs="仿宋_GB2312" w:eastAsia="仿宋_GB2312"/>
              </w:rPr>
              <w:t>1.LED屏1.LED显示屏灯珠采用表贴三合一铜线封装；LED封装形式：SMD1515黑灯；</w:t>
            </w:r>
            <w:r>
              <w:br/>
            </w:r>
            <w:r>
              <w:rPr>
                <w:rFonts w:ascii="仿宋_GB2312" w:hAnsi="仿宋_GB2312" w:cs="仿宋_GB2312" w:eastAsia="仿宋_GB2312"/>
              </w:rPr>
              <w:t xml:space="preserve"> 2.LED显示屏采用≤1.86mm点间距；</w:t>
            </w:r>
            <w:r>
              <w:br/>
            </w:r>
            <w:r>
              <w:rPr>
                <w:rFonts w:ascii="仿宋_GB2312" w:hAnsi="仿宋_GB2312" w:cs="仿宋_GB2312" w:eastAsia="仿宋_GB2312"/>
              </w:rPr>
              <w:t xml:space="preserve"> 3.LED显示屏模组尺寸320mm*160mm；"</w:t>
            </w:r>
            <w:r>
              <w:br/>
            </w:r>
            <w:r>
              <w:rPr>
                <w:rFonts w:ascii="仿宋_GB2312" w:hAnsi="仿宋_GB2312" w:cs="仿宋_GB2312" w:eastAsia="仿宋_GB2312"/>
              </w:rPr>
              <w:t xml:space="preserve"> 4.具备带载面积≥650万像素，宽度≥10240点，高度≥8192点；</w:t>
            </w:r>
            <w:r>
              <w:br/>
            </w:r>
            <w:r>
              <w:rPr>
                <w:rFonts w:ascii="仿宋_GB2312" w:hAnsi="仿宋_GB2312" w:cs="仿宋_GB2312" w:eastAsia="仿宋_GB2312"/>
              </w:rPr>
              <w:t xml:space="preserve"> 5.具备OSD功能，可实现文字OSD或图片OSD功能；</w:t>
            </w:r>
            <w:r>
              <w:br/>
            </w:r>
            <w:r>
              <w:rPr>
                <w:rFonts w:ascii="仿宋_GB2312" w:hAnsi="仿宋_GB2312" w:cs="仿宋_GB2312" w:eastAsia="仿宋_GB2312"/>
              </w:rPr>
              <w:t xml:space="preserve"> 6.具备≥1路HDMI2.0输入接口，≥2路HDMI1.3输入接口；</w:t>
            </w:r>
            <w:r>
              <w:br/>
            </w:r>
            <w:r>
              <w:rPr>
                <w:rFonts w:ascii="仿宋_GB2312" w:hAnsi="仿宋_GB2312" w:cs="仿宋_GB2312" w:eastAsia="仿宋_GB2312"/>
              </w:rPr>
              <w:t xml:space="preserve"> 7.具备≥10路网口输出，≥1路HDMI1.3输出接口，用于预监输出显示；</w:t>
            </w:r>
            <w:r>
              <w:br/>
            </w:r>
            <w:r>
              <w:rPr>
                <w:rFonts w:ascii="仿宋_GB2312" w:hAnsi="仿宋_GB2312" w:cs="仿宋_GB2312" w:eastAsia="仿宋_GB2312"/>
              </w:rPr>
              <w:t xml:space="preserve"> 8.具备微信小程序快捷控制，包括亮度调节、输出画质调节、待机模式、画面冻结、场景切换、U盘播放功能；</w:t>
            </w:r>
            <w:r>
              <w:br/>
            </w:r>
            <w:r>
              <w:rPr>
                <w:rFonts w:ascii="仿宋_GB2312" w:hAnsi="仿宋_GB2312" w:cs="仿宋_GB2312" w:eastAsia="仿宋_GB2312"/>
              </w:rPr>
              <w:t xml:space="preserve"> ★9.支持通过在线服务小程序提交工单，可提交的类型包括“维护”、“指导调试”、“指导安装”、“指导布线”、“远程调试”类别可选。（提供功能界面截图佐证）</w:t>
            </w:r>
            <w:r>
              <w:br/>
            </w:r>
            <w:r>
              <w:rPr>
                <w:rFonts w:ascii="仿宋_GB2312" w:hAnsi="仿宋_GB2312" w:cs="仿宋_GB2312" w:eastAsia="仿宋_GB2312"/>
              </w:rPr>
              <w:t xml:space="preserve"> ★10.可通过在线服务小程序实时查询处理进度，具有“待处理”、“处理中”及“已处理”等版块。（提供功能界面截图佐证）</w:t>
            </w:r>
            <w:r>
              <w:br/>
            </w:r>
            <w:r>
              <w:rPr>
                <w:rFonts w:ascii="仿宋_GB2312" w:hAnsi="仿宋_GB2312" w:cs="仿宋_GB2312" w:eastAsia="仿宋_GB2312"/>
              </w:rPr>
              <w:t xml:space="preserve"> ★11.“已处理”版块具有历史记录功能，可通过联系电话搜索历史条目，条目信息记录客户、联系电话、申请日期、问题描述、状态、客服工程师、用时和信息反馈。并且具有“再次申请”功能。（提供功能界面截图佐证）"</w:t>
            </w:r>
            <w:r>
              <w:br/>
            </w:r>
            <w:r>
              <w:rPr>
                <w:rFonts w:ascii="仿宋_GB2312" w:hAnsi="仿宋_GB2312" w:cs="仿宋_GB2312" w:eastAsia="仿宋_GB2312"/>
              </w:rPr>
              <w:t xml:space="preserve"> 12.额定功率：≥20kW，输出路数：≥6路；</w:t>
            </w:r>
            <w:r>
              <w:br/>
            </w:r>
            <w:r>
              <w:rPr>
                <w:rFonts w:ascii="仿宋_GB2312" w:hAnsi="仿宋_GB2312" w:cs="仿宋_GB2312" w:eastAsia="仿宋_GB2312"/>
              </w:rPr>
              <w:t xml:space="preserve"> 13.输入电压：三相五线制AC380V±10%，频率50Hz±5%；</w:t>
            </w:r>
            <w:r>
              <w:br/>
            </w:r>
            <w:r>
              <w:rPr>
                <w:rFonts w:ascii="仿宋_GB2312" w:hAnsi="仿宋_GB2312" w:cs="仿宋_GB2312" w:eastAsia="仿宋_GB2312"/>
              </w:rPr>
              <w:t xml:space="preserve"> 14.输出电压：单相220VAC；</w:t>
            </w:r>
            <w:r>
              <w:br/>
            </w:r>
            <w:r>
              <w:rPr>
                <w:rFonts w:ascii="仿宋_GB2312" w:hAnsi="仿宋_GB2312" w:cs="仿宋_GB2312" w:eastAsia="仿宋_GB2312"/>
              </w:rPr>
              <w:t xml:space="preserve"> 15.具备过压、欠压、过流、短路、断路、过载、浪涌电气保护措施</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台式电脑（核心产品）</w:t>
            </w:r>
          </w:p>
          <w:p>
            <w:pPr>
              <w:pStyle w:val="null3"/>
            </w:pPr>
            <w:r>
              <w:rPr>
                <w:rFonts w:ascii="仿宋_GB2312" w:hAnsi="仿宋_GB2312" w:cs="仿宋_GB2312" w:eastAsia="仿宋_GB2312"/>
              </w:rPr>
              <w:t>购买数量49台</w:t>
            </w:r>
          </w:p>
          <w:p>
            <w:pPr>
              <w:pStyle w:val="null3"/>
            </w:pPr>
            <w:r>
              <w:rPr>
                <w:rFonts w:ascii="仿宋_GB2312" w:hAnsi="仿宋_GB2312" w:cs="仿宋_GB2312" w:eastAsia="仿宋_GB2312"/>
              </w:rPr>
              <w:t>1.基础要求：国产处理器商用台式机。整机IC器件及电子元器件国产化率≥99% 。</w:t>
            </w:r>
            <w:r>
              <w:br/>
            </w:r>
            <w:r>
              <w:rPr>
                <w:rFonts w:ascii="仿宋_GB2312" w:hAnsi="仿宋_GB2312" w:cs="仿宋_GB2312" w:eastAsia="仿宋_GB2312"/>
              </w:rPr>
              <w:t xml:space="preserve"> 2.处理器 ：处理器国产C86架构处理器，核心数≥8核，主频≥2.7GHz，末级缓存≥8MB</w:t>
            </w:r>
            <w:r>
              <w:br/>
            </w:r>
            <w:r>
              <w:rPr>
                <w:rFonts w:ascii="仿宋_GB2312" w:hAnsi="仿宋_GB2312" w:cs="仿宋_GB2312" w:eastAsia="仿宋_GB2312"/>
              </w:rPr>
              <w:t xml:space="preserve"> 3.内存：配置≥8GB DDR4 UDIMM内存，配置≥2个内存插槽；</w:t>
            </w:r>
            <w:r>
              <w:br/>
            </w:r>
            <w:r>
              <w:rPr>
                <w:rFonts w:ascii="仿宋_GB2312" w:hAnsi="仿宋_GB2312" w:cs="仿宋_GB2312" w:eastAsia="仿宋_GB2312"/>
              </w:rPr>
              <w:t xml:space="preserve"> 4.显卡：集成显卡</w:t>
            </w:r>
            <w:r>
              <w:br/>
            </w:r>
            <w:r>
              <w:rPr>
                <w:rFonts w:ascii="仿宋_GB2312" w:hAnsi="仿宋_GB2312" w:cs="仿宋_GB2312" w:eastAsia="仿宋_GB2312"/>
              </w:rPr>
              <w:t xml:space="preserve"> 5.硬盘：≥512GB M.2接口NVME协议SSD；</w:t>
            </w:r>
            <w:r>
              <w:br/>
            </w:r>
            <w:r>
              <w:rPr>
                <w:rFonts w:ascii="仿宋_GB2312" w:hAnsi="仿宋_GB2312" w:cs="仿宋_GB2312" w:eastAsia="仿宋_GB2312"/>
              </w:rPr>
              <w:t xml:space="preserve"> 6.电源： 电源功率≤180W，电源通过80PLUS认证 ；</w:t>
            </w:r>
            <w:r>
              <w:br/>
            </w:r>
            <w:r>
              <w:rPr>
                <w:rFonts w:ascii="仿宋_GB2312" w:hAnsi="仿宋_GB2312" w:cs="仿宋_GB2312" w:eastAsia="仿宋_GB2312"/>
              </w:rPr>
              <w:t xml:space="preserve"> 7网络：1个RJ45 10/100/1000自适应以太网口；</w:t>
            </w:r>
            <w:r>
              <w:br/>
            </w:r>
            <w:r>
              <w:rPr>
                <w:rFonts w:ascii="仿宋_GB2312" w:hAnsi="仿宋_GB2312" w:cs="仿宋_GB2312" w:eastAsia="仿宋_GB2312"/>
              </w:rPr>
              <w:t xml:space="preserve"> 8.接口扩展 ：1、PCIE插槽数量≥3个；</w:t>
            </w:r>
            <w:r>
              <w:br/>
            </w:r>
            <w:r>
              <w:rPr>
                <w:rFonts w:ascii="仿宋_GB2312" w:hAnsi="仿宋_GB2312" w:cs="仿宋_GB2312" w:eastAsia="仿宋_GB2312"/>
              </w:rPr>
              <w:t xml:space="preserve"> 9.接口：前置USB3.0接口≥4个；后置USB3.0接口≥2个，USB2.0接口≥2个；音频接口：麦克风1个，耳机1个；后端3个Audio音频接口；</w:t>
            </w:r>
            <w:r>
              <w:br/>
            </w:r>
            <w:r>
              <w:rPr>
                <w:rFonts w:ascii="仿宋_GB2312" w:hAnsi="仿宋_GB2312" w:cs="仿宋_GB2312" w:eastAsia="仿宋_GB2312"/>
              </w:rPr>
              <w:t xml:space="preserve"> ★10.机箱：  ≥13.6L，机箱模块化设计，免工具拆装，支持侧板挂环锁、Kensington锁；（提供截图佐证）。</w:t>
            </w:r>
            <w:r>
              <w:br/>
            </w:r>
            <w:r>
              <w:rPr>
                <w:rFonts w:ascii="仿宋_GB2312" w:hAnsi="仿宋_GB2312" w:cs="仿宋_GB2312" w:eastAsia="仿宋_GB2312"/>
              </w:rPr>
              <w:t xml:space="preserve"> 11.显示器：配置≥23.8寸LED显示器，与主机同品牌，分辨率≥1920*1080，刷新频率≥100Hz，对比度≥3000:1，视频接口VGA+HDMI；</w:t>
            </w:r>
            <w:r>
              <w:br/>
            </w:r>
            <w:r>
              <w:rPr>
                <w:rFonts w:ascii="仿宋_GB2312" w:hAnsi="仿宋_GB2312" w:cs="仿宋_GB2312" w:eastAsia="仿宋_GB2312"/>
              </w:rPr>
              <w:t xml:space="preserve"> 12.针对产品提供原厂三年质保（需提供针对本项目的原厂售后服务承诺函）</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操作系统</w:t>
            </w:r>
          </w:p>
          <w:p>
            <w:pPr>
              <w:pStyle w:val="null3"/>
            </w:pPr>
            <w:r>
              <w:rPr>
                <w:rFonts w:ascii="仿宋_GB2312" w:hAnsi="仿宋_GB2312" w:cs="仿宋_GB2312" w:eastAsia="仿宋_GB2312"/>
              </w:rPr>
              <w:t>购买数量49套</w:t>
            </w:r>
          </w:p>
          <w:p>
            <w:pPr>
              <w:pStyle w:val="null3"/>
            </w:pPr>
            <w:r>
              <w:rPr>
                <w:rFonts w:ascii="仿宋_GB2312" w:hAnsi="仿宋_GB2312" w:cs="仿宋_GB2312" w:eastAsia="仿宋_GB2312"/>
              </w:rPr>
              <w:t>1.内核版本：kernel不低于4.19，同一镜像在系统安装时支持选择内核版本。</w:t>
            </w:r>
            <w:r>
              <w:br/>
            </w:r>
            <w:r>
              <w:rPr>
                <w:rFonts w:ascii="仿宋_GB2312" w:hAnsi="仿宋_GB2312" w:cs="仿宋_GB2312" w:eastAsia="仿宋_GB2312"/>
              </w:rPr>
              <w:t xml:space="preserve"> 2.CPU兼容：支持AMD64、ARM64、LoongArch、SW64等CPU架构。</w:t>
            </w:r>
            <w:r>
              <w:br/>
            </w:r>
            <w:r>
              <w:rPr>
                <w:rFonts w:ascii="仿宋_GB2312" w:hAnsi="仿宋_GB2312" w:cs="仿宋_GB2312" w:eastAsia="仿宋_GB2312"/>
              </w:rPr>
              <w:t xml:space="preserve"> ★3.桌面环境：集成自研图形化桌面环境，支持桌面图标自动分类整理，对应用程序、文档、图片、文件夹等进行一键归类整理，可自定义集合区域尺寸、图标大小等。（提供自研桌面环境软著证书、功能截图并加盖厂商公章）</w:t>
            </w:r>
            <w:r>
              <w:br/>
            </w:r>
            <w:r>
              <w:rPr>
                <w:rFonts w:ascii="仿宋_GB2312" w:hAnsi="仿宋_GB2312" w:cs="仿宋_GB2312" w:eastAsia="仿宋_GB2312"/>
              </w:rPr>
              <w:t xml:space="preserve"> ★4.青少年上网保护：能够拦截网页中恶意弹窗，诱导点击跳转至不良内容、低俗庸俗等有害页面的行为，在线查阅拦截报表统计、用户举报。（提供青少年上网保护软著证书、功能截图并加盖厂商公章）</w:t>
            </w:r>
            <w:r>
              <w:br/>
            </w:r>
            <w:r>
              <w:rPr>
                <w:rFonts w:ascii="仿宋_GB2312" w:hAnsi="仿宋_GB2312" w:cs="仿宋_GB2312" w:eastAsia="仿宋_GB2312"/>
              </w:rPr>
              <w:t xml:space="preserve"> ★5.智能护眼健康：通过护眼距离监测、坐姿矫正监测、护眼模式和屏保、眼保健操指导、以及休息提醒等，预防学生视力和脊椎等健康风险。（提供智能护眼健康软著证书、功能截图并加盖厂商公章）</w:t>
            </w:r>
            <w:r>
              <w:br/>
            </w:r>
            <w:r>
              <w:rPr>
                <w:rFonts w:ascii="仿宋_GB2312" w:hAnsi="仿宋_GB2312" w:cs="仿宋_GB2312" w:eastAsia="仿宋_GB2312"/>
              </w:rPr>
              <w:t xml:space="preserve"> 6.AI服务：内置AI助手，支持调用AI能力进行内容创作、智能问答、系统控制等；支持AI随航，在任何应用中只需选中文字即可一键进行搜索、解释、总结、翻译、续写、扩写、纠错、润色等；AI助手应符合国家对生成式AI的监管要求，如备案、登记等。（提供AI助手软著证书、功能截图、备案截图并加盖厂商公章）</w:t>
            </w:r>
            <w:r>
              <w:br/>
            </w:r>
            <w:r>
              <w:rPr>
                <w:rFonts w:ascii="仿宋_GB2312" w:hAnsi="仿宋_GB2312" w:cs="仿宋_GB2312" w:eastAsia="仿宋_GB2312"/>
              </w:rPr>
              <w:t xml:space="preserve"> ★7.系统更新：提供系统更新与升级，支持在图形界面设置不升级系统版本仅单独获取安全漏洞和兼容性相关更新；支持保障安全升级的自动主备双根分区，并且在系统中有RootA和RootB标识符，在系统升级后支持回滚，并保留用户个人数据。（提供系统功能截图并加盖厂商公章）</w:t>
            </w:r>
            <w:r>
              <w:br/>
            </w:r>
            <w:r>
              <w:rPr>
                <w:rFonts w:ascii="仿宋_GB2312" w:hAnsi="仿宋_GB2312" w:cs="仿宋_GB2312" w:eastAsia="仿宋_GB2312"/>
              </w:rPr>
              <w:t xml:space="preserve"> 8.系统安全：内置安全中心，提供系统体检、病毒查杀、防火墙、垃圾清理等，支持应用安全、进行防杀死、联网控制、外设管理、文件审计、文件保护等系统安全管控；系统应默认限制用户的root权限，允许普通用户在图形化界面解除root权限限制，增强开发和调试能力。（提供安全中心软著证书、功能截图并加盖厂商公章）</w:t>
            </w:r>
            <w:r>
              <w:br/>
            </w:r>
            <w:r>
              <w:rPr>
                <w:rFonts w:ascii="仿宋_GB2312" w:hAnsi="仿宋_GB2312" w:cs="仿宋_GB2312" w:eastAsia="仿宋_GB2312"/>
              </w:rPr>
              <w:t xml:space="preserve"> 9.技术服务能力：操作系统原厂商须满足GB/T 27922-2011《商品售后服务评价体系》国家标准和CTEAS1001售后服务体系完善程度认证。</w:t>
            </w:r>
            <w:r>
              <w:br/>
            </w:r>
            <w:r>
              <w:rPr>
                <w:rFonts w:ascii="仿宋_GB2312" w:hAnsi="仿宋_GB2312" w:cs="仿宋_GB2312" w:eastAsia="仿宋_GB2312"/>
              </w:rPr>
              <w:t xml:space="preserve"> ★10、提供原厂（非OEM）授权及售后服务承诺函。</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办公软件</w:t>
            </w:r>
          </w:p>
          <w:p>
            <w:pPr>
              <w:pStyle w:val="null3"/>
            </w:pPr>
            <w:r>
              <w:rPr>
                <w:rFonts w:ascii="仿宋_GB2312" w:hAnsi="仿宋_GB2312" w:cs="仿宋_GB2312" w:eastAsia="仿宋_GB2312"/>
              </w:rPr>
              <w:t>购买数量49套</w:t>
            </w:r>
          </w:p>
          <w:p>
            <w:pPr>
              <w:pStyle w:val="null3"/>
            </w:pPr>
            <w:r>
              <w:rPr>
                <w:rFonts w:ascii="仿宋_GB2312" w:hAnsi="仿宋_GB2312" w:cs="仿宋_GB2312" w:eastAsia="仿宋_GB2312"/>
              </w:rPr>
              <w:t>1软件客⼾端需是在统信UOS、麒麟、 中科⽅德、 深度等国产操作系统上运⾏的 oﬃce 办公软件产品，包含 ⽂字 处理、表格计算、幻灯⽚演⽰三个组件。</w:t>
            </w:r>
            <w:r>
              <w:br/>
            </w:r>
            <w:r>
              <w:rPr>
                <w:rFonts w:ascii="仿宋_GB2312" w:hAnsi="仿宋_GB2312" w:cs="仿宋_GB2312" w:eastAsia="仿宋_GB2312"/>
              </w:rPr>
              <w:t xml:space="preserve">  2.⽂字组件⽀持智能识别⽬录，⾃动识别正⽂的段落结构，⽣成对应⽬录。 ⽂字组件⽀持章节导航、 书签导航功能。“章节导航 ”⽀持显⽰章节内容、更改章节标题、增加节、删除节、 合并节。“ 书签导航 ”⽀持显⽰书签，按照书签的名称和位置排序等。</w:t>
            </w:r>
            <w:r>
              <w:br/>
            </w:r>
            <w:r>
              <w:rPr>
                <w:rFonts w:ascii="仿宋_GB2312" w:hAnsi="仿宋_GB2312" w:cs="仿宋_GB2312" w:eastAsia="仿宋_GB2312"/>
              </w:rPr>
              <w:t xml:space="preserve"> 3.表格组件⽀持“⽂件瘦⾝ ”功能。能够通 过对对象、重复样式、空⽩单元格内容进⾏ 瘦⾝，减⼩⽂件 体积， 解决打开⽂件过程中 卡顿、慢的问题。</w:t>
            </w:r>
            <w:r>
              <w:br/>
            </w:r>
            <w:r>
              <w:rPr>
                <w:rFonts w:ascii="仿宋_GB2312" w:hAnsi="仿宋_GB2312" w:cs="仿宋_GB2312" w:eastAsia="仿宋_GB2312"/>
              </w:rPr>
              <w:t xml:space="preserve">  4.投标产品符合国家基础教育教学⼤纲规划。投标产品需能在计算机教室安装，能够配合中⼩学《信息 技术》学科教材教学。</w:t>
            </w:r>
            <w:r>
              <w:br/>
            </w:r>
            <w:r>
              <w:rPr>
                <w:rFonts w:ascii="仿宋_GB2312" w:hAnsi="仿宋_GB2312" w:cs="仿宋_GB2312" w:eastAsia="仿宋_GB2312"/>
              </w:rPr>
              <w:t xml:space="preserve"> 5.提供云端服务权益，通过账号登录，可跨系统、跨设备使⽤，提供≥50G 云盘，在线 Web oﬃce、 思维导图、流程图、轻⽂档、轻维表、表单，提供在线会议标准接⼊ 50 ⽅等功能。</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版式软件</w:t>
            </w:r>
          </w:p>
          <w:p>
            <w:pPr>
              <w:pStyle w:val="null3"/>
            </w:pPr>
            <w:r>
              <w:rPr>
                <w:rFonts w:ascii="仿宋_GB2312" w:hAnsi="仿宋_GB2312" w:cs="仿宋_GB2312" w:eastAsia="仿宋_GB2312"/>
              </w:rPr>
              <w:t>购买数量49套</w:t>
            </w:r>
          </w:p>
          <w:p>
            <w:pPr>
              <w:pStyle w:val="null3"/>
            </w:pPr>
            <w:r>
              <w:rPr>
                <w:rFonts w:ascii="仿宋_GB2312" w:hAnsi="仿宋_GB2312" w:cs="仿宋_GB2312" w:eastAsia="仿宋_GB2312"/>
              </w:rPr>
              <w:t>1. 文件操作：支持OFD/PDF文件的打开、保存、另存等基本文件操作，支持自动保存，可查看文档元数据、字体集及文档权限声明等文档属性，支持用户查看和添加自定义元数据；支持将打开的文件另存为PDF、纯文本、图片序列或多页TIFF格式；</w:t>
            </w:r>
            <w:r>
              <w:br/>
            </w:r>
            <w:r>
              <w:rPr>
                <w:rFonts w:ascii="仿宋_GB2312" w:hAnsi="仿宋_GB2312" w:cs="仿宋_GB2312" w:eastAsia="仿宋_GB2312"/>
              </w:rPr>
              <w:t xml:space="preserve"> 2. 公文语义：支持电子公文语义导入导出功能，支持电子公文语义的添加和编辑功能。</w:t>
            </w:r>
            <w:r>
              <w:br/>
            </w:r>
            <w:r>
              <w:rPr>
                <w:rFonts w:ascii="仿宋_GB2312" w:hAnsi="仿宋_GB2312" w:cs="仿宋_GB2312" w:eastAsia="仿宋_GB2312"/>
              </w:rPr>
              <w:t xml:space="preserve"> 3. 页面操作：支持翻页功能，包括前/后翻页、半页翻、翻至首/末页或指定页面等。支持页面旋转、页面无级别缩放和全屏显示。</w:t>
            </w:r>
            <w:r>
              <w:br/>
            </w:r>
            <w:r>
              <w:rPr>
                <w:rFonts w:ascii="仿宋_GB2312" w:hAnsi="仿宋_GB2312" w:cs="仿宋_GB2312" w:eastAsia="仿宋_GB2312"/>
              </w:rPr>
              <w:t xml:space="preserve"> 4. 电子签章：应支持电子签章集成功能，支持在OFD文档上加盖符合国家密码技术规范要求的电子印章，支持预盖章、骑缝章、指定位置盖章、文字定位盖章等多种盖章功能，提供公章、日期章、归档章、人名章等多种样式的公章，支持公章脱密与雾化。</w:t>
            </w:r>
            <w:r>
              <w:br/>
            </w:r>
            <w:r>
              <w:rPr>
                <w:rFonts w:ascii="仿宋_GB2312" w:hAnsi="仿宋_GB2312" w:cs="仿宋_GB2312" w:eastAsia="仿宋_GB2312"/>
              </w:rPr>
              <w:t xml:space="preserve"> 5. OFD/A转换：可将文档转换为符合标准的OFD/A 文件，可提供转换配置；能够检测OFD文档是否符合OFD/A标准并生成标准符合性检测报告。需提供国家级第三方检测机构出具的检测报告。</w:t>
            </w:r>
            <w:r>
              <w:br/>
            </w:r>
            <w:r>
              <w:rPr>
                <w:rFonts w:ascii="仿宋_GB2312" w:hAnsi="仿宋_GB2312" w:cs="仿宋_GB2312" w:eastAsia="仿宋_GB2312"/>
              </w:rPr>
              <w:t xml:space="preserve"> 6. 版转流：支持OFD、PDF文档转换为docx/xlsx/pptx文件，转换后页面顺序与原文保持一致，文章段落布局与原文件一致，转换后文章段落缩进与原文件一致；转换后文字文本、颜色与原文一致，转换后保留页眉、页脚，其文本与原文一致；转换后文内图片与原文一致；转换后文内表格行列布局、表格内文字与原文一致。需提供国家级第三方检测机构出具的检测报告，需体现信创环境下对单机功能验证。</w:t>
            </w:r>
            <w:r>
              <w:br/>
            </w:r>
            <w:r>
              <w:rPr>
                <w:rFonts w:ascii="仿宋_GB2312" w:hAnsi="仿宋_GB2312" w:cs="仿宋_GB2312" w:eastAsia="仿宋_GB2312"/>
              </w:rPr>
              <w:t xml:space="preserve"> 7. 多级附件：支持多层级的附件管理能力，支持附件目录层级的创建、展开、收起、删除、目录重命名，支持目录的添加、删除、阅读，支持多格式附件。可将本地文件夹及内文件整体导入，并自动生成附件目录结构；能够导出附件目录或将对应目录中附件整体导出到本地文件夹。需提供国家级第三方检测机构出具的检测报告。</w:t>
            </w:r>
            <w:r>
              <w:br/>
            </w:r>
            <w:r>
              <w:rPr>
                <w:rFonts w:ascii="仿宋_GB2312" w:hAnsi="仿宋_GB2312" w:cs="仿宋_GB2312" w:eastAsia="仿宋_GB2312"/>
              </w:rPr>
              <w:t xml:space="preserve"> 8. 文档安全语义：提供安全语义保护功能，可设置安全语义并与文档内容关联，关联后的文档内容可被保护；提供安全语义的导航功能，支持分组、展开\收起、添加、删除、修改，可通过安全语义数跳转功能到对应内容位置并高亮显示；可控制安全语义在文件中的可见/不可见、打印/不可打印、导出\不可导出；支持安全语义快速导出为结构化数据；支持安全语义轴孔内容替代显示，如语义原文用*号替代。需提供国家级第三方检测机构出具的检测报告。</w:t>
            </w:r>
            <w:r>
              <w:br/>
            </w:r>
            <w:r>
              <w:rPr>
                <w:rFonts w:ascii="仿宋_GB2312" w:hAnsi="仿宋_GB2312" w:cs="仿宋_GB2312" w:eastAsia="仿宋_GB2312"/>
              </w:rPr>
              <w:t xml:space="preserve"> 9. 加载大文件性能：OFD版式软件支持LoongArch、Arm、X86架构的芯片，就以上架构的芯片加载10M综合性文档并提取其全文文本需要的时间≤2.0秒。</w:t>
            </w:r>
            <w:r>
              <w:br/>
            </w:r>
            <w:r>
              <w:rPr>
                <w:rFonts w:ascii="仿宋_GB2312" w:hAnsi="仿宋_GB2312" w:cs="仿宋_GB2312" w:eastAsia="仿宋_GB2312"/>
              </w:rPr>
              <w:t xml:space="preserve"> 10. 应用集成：支持安全可靠、成熟环境下B/S集成，可嵌入Firefox、Chrome、360、奇安信等多种浏览器；应兼容流式软件、字库软件以及输入法软件等基础上下游软件；提供二次开发接口，支持定制开发，能够提供API文档。</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空调1.5P</w:t>
            </w:r>
          </w:p>
          <w:p>
            <w:pPr>
              <w:pStyle w:val="null3"/>
            </w:pPr>
            <w:r>
              <w:rPr>
                <w:rFonts w:ascii="仿宋_GB2312" w:hAnsi="仿宋_GB2312" w:cs="仿宋_GB2312" w:eastAsia="仿宋_GB2312"/>
              </w:rPr>
              <w:t>购买数量32台</w:t>
            </w:r>
          </w:p>
          <w:p>
            <w:pPr>
              <w:pStyle w:val="null3"/>
            </w:pPr>
            <w:r>
              <w:rPr>
                <w:rFonts w:ascii="仿宋_GB2312" w:hAnsi="仿宋_GB2312" w:cs="仿宋_GB2312" w:eastAsia="仿宋_GB2312"/>
              </w:rPr>
              <w:t>颜色：白色</w:t>
            </w:r>
            <w:r>
              <w:br/>
            </w:r>
            <w:r>
              <w:rPr>
                <w:rFonts w:ascii="仿宋_GB2312" w:hAnsi="仿宋_GB2312" w:cs="仿宋_GB2312" w:eastAsia="仿宋_GB2312"/>
              </w:rPr>
              <w:t xml:space="preserve"> ★1.能效等级：1级（提供功截图佐证）</w:t>
            </w:r>
            <w:r>
              <w:br/>
            </w:r>
            <w:r>
              <w:rPr>
                <w:rFonts w:ascii="仿宋_GB2312" w:hAnsi="仿宋_GB2312" w:cs="仿宋_GB2312" w:eastAsia="仿宋_GB2312"/>
              </w:rPr>
              <w:t xml:space="preserve"> ★2.能效比≥5.36（提供截图佐证）</w:t>
            </w:r>
            <w:r>
              <w:br/>
            </w:r>
            <w:r>
              <w:rPr>
                <w:rFonts w:ascii="仿宋_GB2312" w:hAnsi="仿宋_GB2312" w:cs="仿宋_GB2312" w:eastAsia="仿宋_GB2312"/>
              </w:rPr>
              <w:t xml:space="preserve"> 3.SEER=制冷季节能源消耗效率≥6.67）</w:t>
            </w:r>
            <w:r>
              <w:br/>
            </w:r>
            <w:r>
              <w:rPr>
                <w:rFonts w:ascii="仿宋_GB2312" w:hAnsi="仿宋_GB2312" w:cs="仿宋_GB2312" w:eastAsia="仿宋_GB2312"/>
              </w:rPr>
              <w:t xml:space="preserve"> ★4..制冷季节耗电量(kW·h)≤329（提供截图佐证）</w:t>
            </w:r>
            <w:r>
              <w:br/>
            </w:r>
            <w:r>
              <w:rPr>
                <w:rFonts w:ascii="仿宋_GB2312" w:hAnsi="仿宋_GB2312" w:cs="仿宋_GB2312" w:eastAsia="仿宋_GB2312"/>
              </w:rPr>
              <w:t xml:space="preserve"> 5.HSPF=制热季节能源消耗效率≥3.91</w:t>
            </w:r>
            <w:r>
              <w:br/>
            </w:r>
            <w:r>
              <w:rPr>
                <w:rFonts w:ascii="仿宋_GB2312" w:hAnsi="仿宋_GB2312" w:cs="仿宋_GB2312" w:eastAsia="仿宋_GB2312"/>
              </w:rPr>
              <w:t xml:space="preserve"> ★6.制热季节耗电量(kW·h)≤298（提供截图佐证）</w:t>
            </w:r>
            <w:r>
              <w:br/>
            </w:r>
            <w:r>
              <w:rPr>
                <w:rFonts w:ascii="仿宋_GB2312" w:hAnsi="仿宋_GB2312" w:cs="仿宋_GB2312" w:eastAsia="仿宋_GB2312"/>
              </w:rPr>
              <w:t xml:space="preserve"> 7.制冷量（W）≥3520</w:t>
            </w:r>
            <w:r>
              <w:br/>
            </w:r>
            <w:r>
              <w:rPr>
                <w:rFonts w:ascii="仿宋_GB2312" w:hAnsi="仿宋_GB2312" w:cs="仿宋_GB2312" w:eastAsia="仿宋_GB2312"/>
              </w:rPr>
              <w:t xml:space="preserve"> 8.制热量（W）≥5020</w:t>
            </w:r>
            <w:r>
              <w:br/>
            </w:r>
            <w:r>
              <w:rPr>
                <w:rFonts w:ascii="仿宋_GB2312" w:hAnsi="仿宋_GB2312" w:cs="仿宋_GB2312" w:eastAsia="仿宋_GB2312"/>
              </w:rPr>
              <w:t xml:space="preserve"> ★9.制冷输入功率(W)≤915（提供截图佐证）</w:t>
            </w:r>
            <w:r>
              <w:br/>
            </w:r>
            <w:r>
              <w:rPr>
                <w:rFonts w:ascii="仿宋_GB2312" w:hAnsi="仿宋_GB2312" w:cs="仿宋_GB2312" w:eastAsia="仿宋_GB2312"/>
              </w:rPr>
              <w:t xml:space="preserve"> ★10.制热输入功率(W)≤1320（提供截图佐证）</w:t>
            </w:r>
            <w:r>
              <w:br/>
            </w:r>
            <w:r>
              <w:rPr>
                <w:rFonts w:ascii="仿宋_GB2312" w:hAnsi="仿宋_GB2312" w:cs="仿宋_GB2312" w:eastAsia="仿宋_GB2312"/>
              </w:rPr>
              <w:t xml:space="preserve"> 11电热功率(W)≥1000</w:t>
            </w:r>
            <w:r>
              <w:br/>
            </w:r>
            <w:r>
              <w:rPr>
                <w:rFonts w:ascii="仿宋_GB2312" w:hAnsi="仿宋_GB2312" w:cs="仿宋_GB2312" w:eastAsia="仿宋_GB2312"/>
              </w:rPr>
              <w:t xml:space="preserve"> ★12.循环风量（m³/h）≥700（提供截图佐证）</w:t>
            </w:r>
            <w:r>
              <w:br/>
            </w:r>
            <w:r>
              <w:rPr>
                <w:rFonts w:ascii="仿宋_GB2312" w:hAnsi="仿宋_GB2312" w:cs="仿宋_GB2312" w:eastAsia="仿宋_GB2312"/>
              </w:rPr>
              <w:t xml:space="preserve"> 13.内机噪音（dB）A≤40</w:t>
            </w:r>
            <w:r>
              <w:br/>
            </w:r>
            <w:r>
              <w:rPr>
                <w:rFonts w:ascii="仿宋_GB2312" w:hAnsi="仿宋_GB2312" w:cs="仿宋_GB2312" w:eastAsia="仿宋_GB2312"/>
              </w:rPr>
              <w:t xml:space="preserve"> 14.外机噪音（dB）A≤50                                                                                    </w:t>
            </w:r>
            <w:r>
              <w:br/>
            </w:r>
            <w:r>
              <w:rPr>
                <w:rFonts w:ascii="仿宋_GB2312" w:hAnsi="仿宋_GB2312" w:cs="仿宋_GB2312" w:eastAsia="仿宋_GB2312"/>
              </w:rPr>
              <w:t xml:space="preserve"> 15.空调设备随机应具备以下配件：墙孔挡板、包扎带、排水接口密封圈、排水接头、遥控器、连接管、排水管、安装板、自攻螺丝、密封胶泥、塑料胀管、电池、连接管防拆帽、说明书。支架材质：镀锌角钢，厚度不低于 3mm。</w:t>
            </w:r>
            <w:r>
              <w:br/>
            </w:r>
            <w:r>
              <w:rPr>
                <w:rFonts w:ascii="仿宋_GB2312" w:hAnsi="仿宋_GB2312" w:cs="仿宋_GB2312" w:eastAsia="仿宋_GB2312"/>
              </w:rPr>
              <w:t xml:space="preserve"> ★16.项目要求：所投产品必须为原装正品，需要提供对应产品中国节能证书、中国环境标志产品证书，必须按生产厂家承诺的售后服务条款提供各项售后服务。报价应包对投标产品的运输、安装、售后服务、技术支持、保险、利润、税金及合同包含的所有风险、责任等各项应有费用，品牌必须保证正品，不能为旗下子品牌。（提供佐证材料）</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空调3p</w:t>
            </w:r>
          </w:p>
          <w:p>
            <w:pPr>
              <w:pStyle w:val="null3"/>
            </w:pPr>
            <w:r>
              <w:rPr>
                <w:rFonts w:ascii="仿宋_GB2312" w:hAnsi="仿宋_GB2312" w:cs="仿宋_GB2312" w:eastAsia="仿宋_GB2312"/>
              </w:rPr>
              <w:t>购买数量15台</w:t>
            </w:r>
          </w:p>
          <w:p>
            <w:pPr>
              <w:pStyle w:val="null3"/>
            </w:pPr>
            <w:r>
              <w:rPr>
                <w:rFonts w:ascii="仿宋_GB2312" w:hAnsi="仿宋_GB2312" w:cs="仿宋_GB2312" w:eastAsia="仿宋_GB2312"/>
              </w:rPr>
              <w:t>★1.能效等级：1级（提供截图佐证）</w:t>
            </w:r>
            <w:r>
              <w:br/>
            </w:r>
            <w:r>
              <w:rPr>
                <w:rFonts w:ascii="仿宋_GB2312" w:hAnsi="仿宋_GB2312" w:cs="仿宋_GB2312" w:eastAsia="仿宋_GB2312"/>
              </w:rPr>
              <w:t xml:space="preserve"> ★2.能效比≥4.45（提供截图佐证）</w:t>
            </w:r>
            <w:r>
              <w:br/>
            </w:r>
            <w:r>
              <w:rPr>
                <w:rFonts w:ascii="仿宋_GB2312" w:hAnsi="仿宋_GB2312" w:cs="仿宋_GB2312" w:eastAsia="仿宋_GB2312"/>
              </w:rPr>
              <w:t xml:space="preserve"> 3.SEER=制冷季节能源消耗效率≥5.39</w:t>
            </w:r>
            <w:r>
              <w:br/>
            </w:r>
            <w:r>
              <w:rPr>
                <w:rFonts w:ascii="仿宋_GB2312" w:hAnsi="仿宋_GB2312" w:cs="仿宋_GB2312" w:eastAsia="仿宋_GB2312"/>
              </w:rPr>
              <w:t xml:space="preserve"> ★4.制冷季节耗电量(kW·h)≤848（提供截图佐证）</w:t>
            </w:r>
            <w:r>
              <w:br/>
            </w:r>
            <w:r>
              <w:rPr>
                <w:rFonts w:ascii="仿宋_GB2312" w:hAnsi="仿宋_GB2312" w:cs="仿宋_GB2312" w:eastAsia="仿宋_GB2312"/>
              </w:rPr>
              <w:t xml:space="preserve"> 6.HSPF=制热季节能源消耗效率≥3.35</w:t>
            </w:r>
            <w:r>
              <w:br/>
            </w:r>
            <w:r>
              <w:rPr>
                <w:rFonts w:ascii="仿宋_GB2312" w:hAnsi="仿宋_GB2312" w:cs="仿宋_GB2312" w:eastAsia="仿宋_GB2312"/>
              </w:rPr>
              <w:t xml:space="preserve"> ★7.制热季节耗电量(kW·h)≤724（提供截图佐证）</w:t>
            </w:r>
            <w:r>
              <w:br/>
            </w:r>
            <w:r>
              <w:rPr>
                <w:rFonts w:ascii="仿宋_GB2312" w:hAnsi="仿宋_GB2312" w:cs="仿宋_GB2312" w:eastAsia="仿宋_GB2312"/>
              </w:rPr>
              <w:t xml:space="preserve"> 8.制冷量（W）≥7330</w:t>
            </w:r>
            <w:r>
              <w:br/>
            </w:r>
            <w:r>
              <w:rPr>
                <w:rFonts w:ascii="仿宋_GB2312" w:hAnsi="仿宋_GB2312" w:cs="仿宋_GB2312" w:eastAsia="仿宋_GB2312"/>
              </w:rPr>
              <w:t xml:space="preserve"> 9.制热量（W）≥10400</w:t>
            </w:r>
            <w:r>
              <w:br/>
            </w:r>
            <w:r>
              <w:rPr>
                <w:rFonts w:ascii="仿宋_GB2312" w:hAnsi="仿宋_GB2312" w:cs="仿宋_GB2312" w:eastAsia="仿宋_GB2312"/>
              </w:rPr>
              <w:t xml:space="preserve"> 10.制冷输入功率(W)≤2070</w:t>
            </w:r>
            <w:r>
              <w:br/>
            </w:r>
            <w:r>
              <w:rPr>
                <w:rFonts w:ascii="仿宋_GB2312" w:hAnsi="仿宋_GB2312" w:cs="仿宋_GB2312" w:eastAsia="仿宋_GB2312"/>
              </w:rPr>
              <w:t xml:space="preserve"> 11.制热输入功率(W)≤3050</w:t>
            </w:r>
            <w:r>
              <w:br/>
            </w:r>
            <w:r>
              <w:rPr>
                <w:rFonts w:ascii="仿宋_GB2312" w:hAnsi="仿宋_GB2312" w:cs="仿宋_GB2312" w:eastAsia="仿宋_GB2312"/>
              </w:rPr>
              <w:t xml:space="preserve"> 12.电热功率(W)≥2500</w:t>
            </w:r>
            <w:r>
              <w:br/>
            </w:r>
            <w:r>
              <w:rPr>
                <w:rFonts w:ascii="仿宋_GB2312" w:hAnsi="仿宋_GB2312" w:cs="仿宋_GB2312" w:eastAsia="仿宋_GB2312"/>
              </w:rPr>
              <w:t xml:space="preserve"> ★13.循环风量（m³/h）≥1420（提供截图佐证）</w:t>
            </w:r>
            <w:r>
              <w:br/>
            </w:r>
            <w:r>
              <w:rPr>
                <w:rFonts w:ascii="仿宋_GB2312" w:hAnsi="仿宋_GB2312" w:cs="仿宋_GB2312" w:eastAsia="仿宋_GB2312"/>
              </w:rPr>
              <w:t xml:space="preserve"> 14.内机噪音（dB）A≤47</w:t>
            </w:r>
            <w:r>
              <w:br/>
            </w:r>
            <w:r>
              <w:rPr>
                <w:rFonts w:ascii="仿宋_GB2312" w:hAnsi="仿宋_GB2312" w:cs="仿宋_GB2312" w:eastAsia="仿宋_GB2312"/>
              </w:rPr>
              <w:t xml:space="preserve"> 15.外机噪音（dB）A≤56                    </w:t>
            </w:r>
            <w:r>
              <w:br/>
            </w:r>
            <w:r>
              <w:rPr>
                <w:rFonts w:ascii="仿宋_GB2312" w:hAnsi="仿宋_GB2312" w:cs="仿宋_GB2312" w:eastAsia="仿宋_GB2312"/>
              </w:rPr>
              <w:t xml:space="preserve">  16.空调设备随机应具备以下配件：墙孔挡板、包扎带、排水接口密封圈、排水接头、遥控器、连接管、排水管、安装板、自攻螺丝、密封胶泥、塑料胀管、电池、连接管防拆帽、说明书。支架材质：镀锌角钢，厚度不低于 3mm。</w:t>
            </w:r>
            <w:r>
              <w:br/>
            </w:r>
            <w:r>
              <w:rPr>
                <w:rFonts w:ascii="仿宋_GB2312" w:hAnsi="仿宋_GB2312" w:cs="仿宋_GB2312" w:eastAsia="仿宋_GB2312"/>
              </w:rPr>
              <w:t xml:space="preserve"> ★17.项目要求：所投产品必须为原装正品，需要提供对应产品中国节能证书、中国环境标志产品证书，必须按生产厂家承诺的售后服务条款提供各项售后服务。报价应包对投标产品的运输、安装、售后服务、技术支持、保险、利润、税金及合同包含的所有风险、责任等各项应有费用，品牌必须保证正品，不能为旗下子品牌。（提供佐证材料）</w:t>
            </w:r>
            <w:r>
              <w:br/>
            </w: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合同签订后5天内完成所有产品的供货、安装及调试。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铜川市实验中学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进度款，供货完成，达到付款条件起45个工作日内，支付合同总金额的50.0%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 ，达到付款条件起30个工作日内，支付合同总金额的50.0%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1、验收交付标准和方法：严格按照招标文件、中标供应商投标文件相关验收规范等相关要求组织验收。 2、验收由采购人相关人员组成的验收小组负责。分为项目初验和项目终验。 3、项目初验：供应商安装调试完成后应提供详细的安装报告，并详细记录各种指示的实测数据，由使用单位进行初验。验收内容为审查验收安装及测试报告，现场查看产品使用情况。验收合格后，使用单位填写产品验收单。 4、项目整体验收：该项目初验合格后，采购人根据使用单位初步验收报告，组织相关人员或专家组成的验收小组对产品进行最终验收。验收所产生的相关费用由供应商承担。 4.1供应商提供完整的操作手册和安装、调试、维修手册；提供制造厂家的检验测试报告或产品出厂检测报告。 4.2采购人根据合同要求对产品进行验收、确认产品的产地、规格、型号和数量。验收依据为本合同文本、投标文件和国内相应的标准、规范。 5、验收合格后，填写产品验收单，并向采购人提交产品所包含的所有资料，以便使用单位日后管理和维护。 6、在交割以前产品所发生的一切损失及费用由供应商承担。性能达到技术要求的，验收通过；验收不合格的，限期整改；整改仍达不到要求的，按本合同第八条第2款处理。 7、如因货物的质量问题发生争议，由采购人属地技术质量监督部门进行质量鉴定；货物符合质量标准的，鉴定费由采购人承担；货物不符合质量标准的，鉴定费由供应商承担。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保修范围为本项目供货范围。根据各采购标的品类的国家“三包”政策进行质保，最低不少于国家规定的同类产品质保期限。</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合同约定的技术要求，采购人有权终止合同，供应商须无条件全额退回采购人已付给供应商的货款，并向采购人支付合同总价款百分之十的违约金。并保留追究供应商违约责任的权利。 3、时间迟延的，违约方按照每天1‰向对方承担违约责任，延迟30天以上，采购人有权解除合同。产品质量问题违约的，除了按照迟延时间计算违约金外，另可以采取退货、换货等方式，由供方承担一切费用</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1.谈判文件报价为交钥匙工程，包含货款、运输、税金、安装调试等一切相关费用，采购人不承担因市场价格变动等风险。 2.谈判响应⽂件建议提供⽬录及⻚码索引，尤其是采购清单技术要求中详细参数的证明材料。便于快速查阅评审，提⾼效率。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1、提供有效存续期内的企业营业执照（副本） 等证书； 2、提供2025 年8⽉⾄今任意⼀个⽉ 的社会保障资⾦缴存单据或社保机构开具的社 会 保险参保缴费情况证明。依法不需要缴纳社 会保障资⾦的投标⼈应提供 相关证明⽂件； 3、 提供2025年8⽉⾄今任意⼀个⽉的依法缴纳税 收的 完税证明，完税证明应有税务机关或代收 机关的公章或业务专⽤章。依 法免税或⽆须缴 纳税收的投标⼈，应提供相应证明⽂件； 4、提 供《供 应商信⽤记录书⾯声明函》。经查，投 标⼈未被列⼊“信⽤中国”⽹站记 录的“失信被执 ⾏⼈”或“重⼤税收违法案件当事⼈”名单；不处 于“中国 政府采购⽹”记录的“政府采购严重违法 失信⾏为记录名单”中的禁⽌参 加政府采购活动 期间； 5、提供书⾯声明，包括声明具有履⾏合 同所必 需的设备和专业技术能⼒；未为本项⽬ 提供整体设计、规范编制或者项 ⽬管理、监理 、检测等服务； 6、投标⼈应提供《⾮联合体不 分包投标 声明》，视为独⽴投标，不分包。 供 应商需在项⽬电⼦化交易系统中按 要求上传相 应证明⽂件并进⾏电⼦签章。</w:t>
            </w:r>
          </w:p>
        </w:tc>
        <w:tc>
          <w:tcPr>
            <w:tcW w:type="dxa" w:w="1661"/>
          </w:tcPr>
          <w:p>
            <w:pPr>
              <w:pStyle w:val="null3"/>
            </w:pPr>
            <w:r>
              <w:rPr>
                <w:rFonts w:ascii="仿宋_GB2312" w:hAnsi="仿宋_GB2312" w:cs="仿宋_GB2312" w:eastAsia="仿宋_GB2312"/>
              </w:rPr>
              <w:t>响应商认为需要提交的其他资料.docx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财务状况报告（以下三种资料提供任意⼀种即 可）： （1）提供递交投 标⽂件截⽌之⽇前两年 内任意⼀个年度经审计的财务报告，成⽴时间 ⾄ 提交投标⽂件截⽌时间不⾜⼀年的可提供成 ⽴后任意时段的资产负债表 ），审计报告须在 注册会计师⾏业统⼀监管平台报备并附验证码 ； （2 ）其开标前三个⽉内基本开⼾银⾏出具的 资信证明； （3）信⽤担保机 构出具的投标担保 函。供应商需在项⽬电⼦化交易系统中按要求 上传相 应证明⽂件并进⾏电⼦签章。</w:t>
            </w:r>
          </w:p>
        </w:tc>
        <w:tc>
          <w:tcPr>
            <w:tcW w:type="dxa" w:w="1661"/>
          </w:tcPr>
          <w:p>
            <w:pPr>
              <w:pStyle w:val="null3"/>
            </w:pPr>
            <w:r>
              <w:rPr>
                <w:rFonts w:ascii="仿宋_GB2312" w:hAnsi="仿宋_GB2312" w:cs="仿宋_GB2312" w:eastAsia="仿宋_GB2312"/>
              </w:rPr>
              <w:t>响应商认为需要提交的其他资料.docx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响应商认为需要提交的其他资料.docx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《政府采购促进中小企业发展管理办法》（财库〔2020〕46号） 中小企业声明函 供应商应提交的相关资格证明材料</w:t>
            </w:r>
          </w:p>
        </w:tc>
        <w:tc>
          <w:tcPr>
            <w:tcW w:type="dxa" w:w="1661"/>
          </w:tcPr>
          <w:p>
            <w:pPr>
              <w:pStyle w:val="null3"/>
            </w:pPr>
            <w:r>
              <w:rPr>
                <w:rFonts w:ascii="仿宋_GB2312" w:hAnsi="仿宋_GB2312" w:cs="仿宋_GB2312" w:eastAsia="仿宋_GB2312"/>
              </w:rPr>
              <w:t>响应商认为需要提交的其他资料.docx 中小企业声明函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残疾人福利性单位声明函</w:t>
            </w:r>
          </w:p>
        </w:tc>
        <w:tc>
          <w:tcPr>
            <w:tcW w:type="dxa" w:w="3322"/>
          </w:tcPr>
          <w:p>
            <w:pPr>
              <w:pStyle w:val="null3"/>
            </w:pPr>
            <w:r>
              <w:rPr>
                <w:rFonts w:ascii="仿宋_GB2312" w:hAnsi="仿宋_GB2312" w:cs="仿宋_GB2312" w:eastAsia="仿宋_GB2312"/>
              </w:rPr>
              <w:t>《关于促进残疾人就业政府采购政策的通知》（财库〔2017〕141号） 残疾人福利性单位声明函 供应商应提交的相关资格证明材料</w:t>
            </w:r>
          </w:p>
        </w:tc>
        <w:tc>
          <w:tcPr>
            <w:tcW w:type="dxa" w:w="1661"/>
          </w:tcPr>
          <w:p>
            <w:pPr>
              <w:pStyle w:val="null3"/>
            </w:pPr>
            <w:r>
              <w:rPr>
                <w:rFonts w:ascii="仿宋_GB2312" w:hAnsi="仿宋_GB2312" w:cs="仿宋_GB2312" w:eastAsia="仿宋_GB2312"/>
              </w:rPr>
              <w:t>响应商认为需要提交的其他资料.docx 残疾人福利性单位声明函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监狱企业的证明文件</w:t>
            </w:r>
          </w:p>
        </w:tc>
        <w:tc>
          <w:tcPr>
            <w:tcW w:type="dxa" w:w="3322"/>
          </w:tcPr>
          <w:p>
            <w:pPr>
              <w:pStyle w:val="null3"/>
            </w:pPr>
            <w:r>
              <w:rPr>
                <w:rFonts w:ascii="仿宋_GB2312" w:hAnsi="仿宋_GB2312" w:cs="仿宋_GB2312" w:eastAsia="仿宋_GB2312"/>
              </w:rPr>
              <w:t>《关于政府采购支持监狱企业发展有关问题的通知》（财库〔2014〕68号） 供应商应提交的相关资格证明材料 监狱企业的证明文件</w:t>
            </w:r>
          </w:p>
        </w:tc>
        <w:tc>
          <w:tcPr>
            <w:tcW w:type="dxa" w:w="1661"/>
          </w:tcPr>
          <w:p>
            <w:pPr>
              <w:pStyle w:val="null3"/>
            </w:pPr>
            <w:r>
              <w:rPr>
                <w:rFonts w:ascii="仿宋_GB2312" w:hAnsi="仿宋_GB2312" w:cs="仿宋_GB2312" w:eastAsia="仿宋_GB2312"/>
              </w:rPr>
              <w:t>响应商认为需要提交的其他资料.docx 供应商应提交的相关资格证明材料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1.根据财库（2026）2号关于推动解决政府采 购异常低价问题的通知⽂ 件。投标⼈投标报价 低于采购项⽬最⾼限价45%的，应随投标⽂件 提 供项⽬具体成本测算等与报价合理性相关的 书⾯说明及必要的证明材料 ，包括但不限于原 材料成本、⼈⼯成本、制造费⽤等。 2.投标⼈ 提交 的相关说明和证明材料，应当加盖投标⼈ （法定名称）电⼦印章，通过 项⽬电⼦化交易 系统进⾏提交，投标⼈不能证明其投标报价合 理性的， 评标委员会应当将其投标⽂件作为⽆ 效处理。</w:t>
            </w:r>
          </w:p>
        </w:tc>
        <w:tc>
          <w:tcPr>
            <w:tcW w:type="dxa" w:w="1661"/>
          </w:tcPr>
          <w:p>
            <w:pPr>
              <w:pStyle w:val="null3"/>
            </w:pPr>
            <w:r>
              <w:rPr>
                <w:rFonts w:ascii="仿宋_GB2312" w:hAnsi="仿宋_GB2312" w:cs="仿宋_GB2312" w:eastAsia="仿宋_GB2312"/>
              </w:rPr>
              <w:t>响应商认为需要提交的其他资料.docx 分项报价表.docx 书面声明函.docx 标的清单 报价表 谈判方案.docx 书面承诺函.docx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响应⽂件承诺、签字、盖章，响应⽂件内容及有效期 ，供货期、付款条件等要求。</w:t>
            </w:r>
          </w:p>
        </w:tc>
        <w:tc>
          <w:tcPr>
            <w:tcW w:type="dxa" w:w="3322"/>
          </w:tcPr>
          <w:p>
            <w:pPr>
              <w:pStyle w:val="null3"/>
            </w:pPr>
            <w:r>
              <w:rPr>
                <w:rFonts w:ascii="仿宋_GB2312" w:hAnsi="仿宋_GB2312" w:cs="仿宋_GB2312" w:eastAsia="仿宋_GB2312"/>
              </w:rPr>
              <w:t>均按采购⽂件要求承诺、签字、盖章，采购⽂件有效期，供货期、付款条件等全部满⾜要求 。</w:t>
            </w:r>
          </w:p>
        </w:tc>
        <w:tc>
          <w:tcPr>
            <w:tcW w:type="dxa" w:w="1661"/>
          </w:tcPr>
          <w:p>
            <w:pPr>
              <w:pStyle w:val="null3"/>
            </w:pPr>
            <w:r>
              <w:rPr>
                <w:rFonts w:ascii="仿宋_GB2312" w:hAnsi="仿宋_GB2312" w:cs="仿宋_GB2312" w:eastAsia="仿宋_GB2312"/>
              </w:rPr>
              <w:t>响应商认为需要提交的其他资料.docx 中小企业声明函 商务应答表 供应商应提交的相关资格证明材料 报价表 书面承诺函.docx 响应文件封面 分项报价表.docx 残疾人福利性单位声明函 书面声明函.docx 标的清单 关于符合本国产品标准的声明函 谈判方案.docx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报价⼀览表</w:t>
            </w:r>
          </w:p>
        </w:tc>
        <w:tc>
          <w:tcPr>
            <w:tcW w:type="dxa" w:w="3322"/>
          </w:tcPr>
          <w:p>
            <w:pPr>
              <w:pStyle w:val="null3"/>
            </w:pPr>
            <w:r>
              <w:rPr>
                <w:rFonts w:ascii="仿宋_GB2312" w:hAnsi="仿宋_GB2312" w:cs="仿宋_GB2312" w:eastAsia="仿宋_GB2312"/>
              </w:rPr>
              <w:t>（1）投标报价符合唯⼀性要求：（2）报价⼀ 览表填写符合要求；（3）计量单位、报价货币 均符合采购⽂件要求；（4）未超出采购预算或采购⽂件规定的最⾼限价。</w:t>
            </w:r>
          </w:p>
        </w:tc>
        <w:tc>
          <w:tcPr>
            <w:tcW w:type="dxa" w:w="1661"/>
          </w:tcPr>
          <w:p>
            <w:pPr>
              <w:pStyle w:val="null3"/>
            </w:pPr>
            <w:r>
              <w:rPr>
                <w:rFonts w:ascii="仿宋_GB2312" w:hAnsi="仿宋_GB2312" w:cs="仿宋_GB2312" w:eastAsia="仿宋_GB2312"/>
              </w:rPr>
              <w:t>响应文件封面 响应商认为需要提交的其他资料.docx 分项报价表.docx 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技术参数要求</w:t>
            </w:r>
          </w:p>
        </w:tc>
        <w:tc>
          <w:tcPr>
            <w:tcW w:type="dxa" w:w="3322"/>
          </w:tcPr>
          <w:p>
            <w:pPr>
              <w:pStyle w:val="null3"/>
            </w:pPr>
            <w:r>
              <w:rPr>
                <w:rFonts w:ascii="仿宋_GB2312" w:hAnsi="仿宋_GB2312" w:cs="仿宋_GB2312" w:eastAsia="仿宋_GB2312"/>
              </w:rPr>
              <w:t>分项报价表按采购⽂件技术要求逐条响应，完全满⾜采购⽂件第三章技术要求中加“★”标识的实质性要求，没有负偏离，以提交的佐证资料为准。</w:t>
            </w:r>
          </w:p>
        </w:tc>
        <w:tc>
          <w:tcPr>
            <w:tcW w:type="dxa" w:w="1661"/>
          </w:tcPr>
          <w:p>
            <w:pPr>
              <w:pStyle w:val="null3"/>
            </w:pPr>
            <w:r>
              <w:rPr>
                <w:rFonts w:ascii="仿宋_GB2312" w:hAnsi="仿宋_GB2312" w:cs="仿宋_GB2312" w:eastAsia="仿宋_GB2312"/>
              </w:rPr>
              <w:t>响应文件封面 响应商认为需要提交的其他资料.docx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谈判响应文件⽆效的事项</w:t>
            </w:r>
          </w:p>
        </w:tc>
        <w:tc>
          <w:tcPr>
            <w:tcW w:type="dxa" w:w="3322"/>
          </w:tcPr>
          <w:p>
            <w:pPr>
              <w:pStyle w:val="null3"/>
            </w:pPr>
            <w:r>
              <w:rPr>
                <w:rFonts w:ascii="仿宋_GB2312" w:hAnsi="仿宋_GB2312" w:cs="仿宋_GB2312" w:eastAsia="仿宋_GB2312"/>
              </w:rPr>
              <w:t>没有违反法律法规、不符合谈判⽂件规定或评审⼩组认定视为⽆效响应的其他条款。</w:t>
            </w:r>
          </w:p>
        </w:tc>
        <w:tc>
          <w:tcPr>
            <w:tcW w:type="dxa" w:w="1661"/>
          </w:tcPr>
          <w:p>
            <w:pPr>
              <w:pStyle w:val="null3"/>
            </w:pPr>
            <w:r>
              <w:rPr>
                <w:rFonts w:ascii="仿宋_GB2312" w:hAnsi="仿宋_GB2312" w:cs="仿宋_GB2312" w:eastAsia="仿宋_GB2312"/>
              </w:rPr>
              <w:t>响应商认为需要提交的其他资料.docx 中小企业声明函 商务应答表 供应商应提交的相关资格证明材料 报价表 书面承诺函.docx 响应文件封面 分项报价表.docx 残疾人福利性单位声明函 书面声明函.docx 标的清单 关于符合本国产品标准的声明函 谈判方案.docx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93"/>
        <w:gridCol w:w="1780"/>
        <w:gridCol w:w="3560"/>
        <w:gridCol w:w="1187"/>
        <w:gridCol w:w="1187"/>
      </w:tblGrid>
      <w:tr>
        <w:tc>
          <w:tcPr>
            <w:tcW w:type="dxa" w:w="593"/>
          </w:tcPr>
          <w:p>
            <w:pPr>
              <w:pStyle w:val="null3"/>
            </w:pPr>
            <w:r>
              <w:rPr>
                <w:rFonts w:ascii="仿宋_GB2312" w:hAnsi="仿宋_GB2312" w:cs="仿宋_GB2312" w:eastAsia="仿宋_GB2312"/>
              </w:rPr>
              <w:t xml:space="preserve"> 序号</w:t>
            </w:r>
          </w:p>
        </w:tc>
        <w:tc>
          <w:tcPr>
            <w:tcW w:type="dxa" w:w="1780"/>
          </w:tcPr>
          <w:p>
            <w:pPr>
              <w:pStyle w:val="null3"/>
            </w:pPr>
            <w:r>
              <w:rPr>
                <w:rFonts w:ascii="仿宋_GB2312" w:hAnsi="仿宋_GB2312" w:cs="仿宋_GB2312" w:eastAsia="仿宋_GB2312"/>
              </w:rPr>
              <w:t xml:space="preserve"> 评审点要求概况</w:t>
            </w:r>
          </w:p>
        </w:tc>
        <w:tc>
          <w:tcPr>
            <w:tcW w:type="dxa" w:w="3560"/>
          </w:tcPr>
          <w:p>
            <w:pPr>
              <w:pStyle w:val="null3"/>
            </w:pPr>
            <w:r>
              <w:rPr>
                <w:rFonts w:ascii="仿宋_GB2312" w:hAnsi="仿宋_GB2312" w:cs="仿宋_GB2312" w:eastAsia="仿宋_GB2312"/>
              </w:rPr>
              <w:t xml:space="preserve"> 异常低价的情形</w:t>
            </w:r>
          </w:p>
        </w:tc>
      </w:tr>
      <w:tr>
        <w:tc>
          <w:tcPr>
            <w:tcW w:type="dxa" w:w="8307"/>
            <w:gridSpan w:val="5"/>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响应商认为需要提交的其他资料.docx 分项报价表.docx 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响应商认为需要提交的其他资料.docx 分项报价表.docx 标的清单 关于符合本国产品标准的声明函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谈判⽂件有效的前提下，响应供应商最低报价相同的，将追加报价轮次 ，直⾄⽐出最低报价为⽌。</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本项目授权谈判小组直接确认成交供应商，确认后代理机构在陕西省政府采购网上发布成交结果公告，同时向成交供应商发出成交通知书。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详见附件：谈判方案.docx</w:t>
      </w:r>
    </w:p>
    <w:p>
      <w:pPr>
        <w:pStyle w:val="null3"/>
        <w:ind w:firstLine="960"/>
      </w:pPr>
      <w:r>
        <w:rPr>
          <w:rFonts w:ascii="仿宋_GB2312" w:hAnsi="仿宋_GB2312" w:cs="仿宋_GB2312" w:eastAsia="仿宋_GB2312"/>
        </w:rPr>
        <w:t>详见附件：书面承诺函.docx</w:t>
      </w:r>
    </w:p>
    <w:p>
      <w:pPr>
        <w:pStyle w:val="null3"/>
        <w:ind w:firstLine="960"/>
      </w:pPr>
      <w:r>
        <w:rPr>
          <w:rFonts w:ascii="仿宋_GB2312" w:hAnsi="仿宋_GB2312" w:cs="仿宋_GB2312" w:eastAsia="仿宋_GB2312"/>
        </w:rPr>
        <w:t>详见附件：书面声明函.docx</w:t>
      </w:r>
    </w:p>
    <w:p>
      <w:pPr>
        <w:pStyle w:val="null3"/>
        <w:ind w:firstLine="960"/>
      </w:pPr>
      <w:r>
        <w:rPr>
          <w:rFonts w:ascii="仿宋_GB2312" w:hAnsi="仿宋_GB2312" w:cs="仿宋_GB2312" w:eastAsia="仿宋_GB2312"/>
        </w:rPr>
        <w:t>详见附件：响应商认为需要提交的其他资料.docx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详见附件：设备合同.docx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