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版本号：ZBZB-2026-295720260716001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ZBZB-2026-2957</w:t>
      </w:r>
      <w:r>
        <w:br/>
      </w:r>
      <w:r>
        <w:br/>
      </w:r>
      <w:r>
        <w:br/>
      </w:r>
    </w:p>
    <w:p>
      <w:pPr>
        <w:pStyle w:val="null3"/>
        <w:jc w:val="center"/>
        <w:outlineLvl w:val="2"/>
      </w:pPr>
      <w:r>
        <w:rPr>
          <w:rFonts w:ascii="仿宋_GB2312" w:hAnsi="仿宋_GB2312" w:cs="仿宋_GB2312" w:eastAsia="仿宋_GB2312"/>
          <w:sz w:val="28"/>
          <w:b/>
        </w:rPr>
        <w:t>西安市行政审批服务局</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西安市行政审批服务局</w:t>
      </w:r>
      <w:r>
        <w:rPr>
          <w:rFonts w:ascii="仿宋_GB2312" w:hAnsi="仿宋_GB2312" w:cs="仿宋_GB2312" w:eastAsia="仿宋_GB2312"/>
        </w:rPr>
        <w:t>委托，拟对</w:t>
      </w:r>
      <w:r>
        <w:rPr>
          <w:rFonts w:ascii="仿宋_GB2312" w:hAnsi="仿宋_GB2312" w:cs="仿宋_GB2312" w:eastAsia="仿宋_GB2312"/>
        </w:rPr>
        <w:t>2026年度体检项目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2026年度体检项目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按照2026年健康体检服务采购相关要求，在规定条件下完成服务。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3、财务状况报告：提供2024或2025年度经审计的财务审计报告，或其开标前六个月内基本存款账户开户银行出具的资信证明；</w:t>
      </w:r>
    </w:p>
    <w:p>
      <w:pPr>
        <w:pStyle w:val="null3"/>
      </w:pPr>
      <w:r>
        <w:rPr>
          <w:rFonts w:ascii="仿宋_GB2312" w:hAnsi="仿宋_GB2312" w:cs="仿宋_GB2312" w:eastAsia="仿宋_GB2312"/>
        </w:rPr>
        <w:t>4、社会保障资金缴纳证明：提供2025年7月至今已缴存的至少三个月的社会保障资金缴存单据或社保机构开具的社会保险参保缴费情况证明，依法不需要缴纳社会保障资金的单位应提供相关证明材料；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5、税收缴纳证明：提供2025年7月至今已缴纳的至少三个月的纳税证明或完税证明，依法免税的单位应提供相关证明材料；</w:t>
      </w:r>
    </w:p>
    <w:p>
      <w:pPr>
        <w:pStyle w:val="null3"/>
      </w:pPr>
      <w:r>
        <w:rPr>
          <w:rFonts w:ascii="仿宋_GB2312" w:hAnsi="仿宋_GB2312" w:cs="仿宋_GB2312" w:eastAsia="仿宋_GB2312"/>
        </w:rPr>
        <w:t>6、资质要求1：供应商具备卫生行政主管部门批准的三级（甲等）或以上资质的综合性医院。</w:t>
      </w:r>
    </w:p>
    <w:p>
      <w:pPr>
        <w:pStyle w:val="null3"/>
      </w:pPr>
      <w:r>
        <w:rPr>
          <w:rFonts w:ascii="仿宋_GB2312" w:hAnsi="仿宋_GB2312" w:cs="仿宋_GB2312" w:eastAsia="仿宋_GB2312"/>
        </w:rPr>
        <w:t>7、资质要求2：供应商须具有卫生主管部门颁发的《医疗机构执业许可证》和《放射诊疗许可证》。</w:t>
      </w:r>
    </w:p>
    <w:p>
      <w:pPr>
        <w:pStyle w:val="null3"/>
      </w:pPr>
      <w:r>
        <w:rPr>
          <w:rFonts w:ascii="仿宋_GB2312" w:hAnsi="仿宋_GB2312" w:cs="仿宋_GB2312" w:eastAsia="仿宋_GB2312"/>
        </w:rPr>
        <w:t>8、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9、承诺书：提供具有履行合同所必需的设备和专业技术能力的承诺书。</w:t>
      </w:r>
    </w:p>
    <w:p>
      <w:pPr>
        <w:pStyle w:val="null3"/>
      </w:pPr>
      <w:r>
        <w:rPr>
          <w:rFonts w:ascii="仿宋_GB2312" w:hAnsi="仿宋_GB2312" w:cs="仿宋_GB2312" w:eastAsia="仿宋_GB2312"/>
        </w:rPr>
        <w:t>10、无重大违法记录的书面声明：参加本次政府采购活动前三年内，在经营活动中没有重大违法记录声明。</w:t>
      </w:r>
    </w:p>
    <w:p>
      <w:pPr>
        <w:pStyle w:val="null3"/>
      </w:pPr>
      <w:r>
        <w:rPr>
          <w:rFonts w:ascii="仿宋_GB2312" w:hAnsi="仿宋_GB2312" w:cs="仿宋_GB2312" w:eastAsia="仿宋_GB2312"/>
        </w:rPr>
        <w:t>11、非联合体声明：本项目不接受联合体磋商（须提供声明函）。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西安市凤城八路95号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西安市行政审批服务局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029-86785006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杨丹、张婷、刘少杰、傅武英、张哲、李琳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定额收取3000元，在领取《成交通知书》前，成交单位一次性支付给陕西正邦招标有限责任公司。 缴交渠道： 开户名称：陕西正邦招标有限责任公司 开户银行：平安银行西安分行营业部/平安银行西安分行 银行账号：30205380002126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西安市行政审批服务局</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联系电话：029-85578186转829</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把干部关心关爱工作落到实处，保障机关工作人员身体健康，确保各项工作顺利开展，拟开展一次体检工作。本次体检采购总人数103人，其中男性56人，已婚女性41人，未婚女性6人。体检项目内容包括超声音检查、化验检查、肿瘤检验筛查、心电图、其他检查、妇科检查等项目共25项内容。通过体检达到疾病“早发现、早诊断、早治疗、早康复”的目的，同时也为进一步提高工作人员对身体健康重要性的认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150000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一、项目需实现的功能或者目标：</w:t>
            </w:r>
          </w:p>
          <w:p>
            <w:pPr>
              <w:pStyle w:val="null3"/>
              <w:ind w:firstLine="400"/>
            </w:pPr>
            <w:r>
              <w:rPr>
                <w:rFonts w:ascii="仿宋_GB2312" w:hAnsi="仿宋_GB2312" w:cs="仿宋_GB2312" w:eastAsia="仿宋_GB2312"/>
              </w:rPr>
              <w:t>选取</w:t>
            </w:r>
            <w:r>
              <w:rPr>
                <w:rFonts w:ascii="仿宋_GB2312" w:hAnsi="仿宋_GB2312" w:cs="仿宋_GB2312" w:eastAsia="仿宋_GB2312"/>
              </w:rPr>
              <w:t>1家三级甲等以上（含三级甲等）综合医院的体检中心作为职工的健康体检。</w:t>
            </w:r>
          </w:p>
          <w:p>
            <w:pPr>
              <w:pStyle w:val="null3"/>
            </w:pPr>
            <w:r>
              <w:rPr>
                <w:rFonts w:ascii="仿宋_GB2312" w:hAnsi="仿宋_GB2312" w:cs="仿宋_GB2312" w:eastAsia="仿宋_GB2312"/>
              </w:rPr>
              <w:t>二、项目需执行的相关标准和规范：</w:t>
            </w:r>
          </w:p>
          <w:p>
            <w:pPr>
              <w:pStyle w:val="null3"/>
              <w:ind w:firstLine="400"/>
            </w:pPr>
            <w:r>
              <w:rPr>
                <w:rFonts w:ascii="仿宋_GB2312" w:hAnsi="仿宋_GB2312" w:cs="仿宋_GB2312" w:eastAsia="仿宋_GB2312"/>
              </w:rPr>
              <w:t>按照三级甲等医院医疗规范执行。</w:t>
            </w:r>
          </w:p>
          <w:p>
            <w:pPr>
              <w:pStyle w:val="null3"/>
            </w:pPr>
            <w:r>
              <w:rPr>
                <w:rFonts w:ascii="仿宋_GB2312" w:hAnsi="仿宋_GB2312" w:cs="仿宋_GB2312" w:eastAsia="仿宋_GB2312"/>
              </w:rPr>
              <w:t>三、项目需满足的质量、安全、技术规格、物理特性等要求（技术参数）：</w:t>
            </w:r>
          </w:p>
          <w:p>
            <w:pPr>
              <w:pStyle w:val="null3"/>
              <w:ind w:firstLine="400"/>
            </w:pPr>
            <w:r>
              <w:rPr>
                <w:rFonts w:ascii="仿宋_GB2312" w:hAnsi="仿宋_GB2312" w:cs="仿宋_GB2312" w:eastAsia="仿宋_GB2312"/>
              </w:rPr>
              <w:t>需求：</w:t>
            </w:r>
          </w:p>
          <w:p>
            <w:pPr>
              <w:pStyle w:val="null3"/>
              <w:ind w:firstLine="400"/>
            </w:pPr>
            <w:r>
              <w:rPr>
                <w:rFonts w:ascii="仿宋_GB2312" w:hAnsi="仿宋_GB2312" w:cs="仿宋_GB2312" w:eastAsia="仿宋_GB2312"/>
              </w:rPr>
              <w:t>1.三级甲等以上（含三级甲等）综合医院的体检中心。</w:t>
            </w:r>
          </w:p>
          <w:p>
            <w:pPr>
              <w:pStyle w:val="null3"/>
              <w:ind w:firstLine="400"/>
            </w:pPr>
            <w:r>
              <w:rPr>
                <w:rFonts w:ascii="仿宋_GB2312" w:hAnsi="仿宋_GB2312" w:cs="仿宋_GB2312" w:eastAsia="仿宋_GB2312"/>
              </w:rPr>
              <w:t>2.有能力接待完成我单位每日103人（其中男性56人，已婚女性41人，未婚女性6人），职工体检集中一次安排。</w:t>
            </w:r>
          </w:p>
          <w:p>
            <w:pPr>
              <w:pStyle w:val="null3"/>
              <w:ind w:firstLine="400"/>
            </w:pPr>
            <w:r>
              <w:rPr>
                <w:rFonts w:ascii="仿宋_GB2312" w:hAnsi="仿宋_GB2312" w:cs="仿宋_GB2312" w:eastAsia="仿宋_GB2312"/>
              </w:rPr>
              <w:t>3.采购过程中可能会因为人员调整造成数量变更，投标人报价时，须列明每项检查价格，以便于验收时据实结算。</w:t>
            </w:r>
          </w:p>
          <w:p>
            <w:pPr>
              <w:pStyle w:val="null3"/>
            </w:pPr>
            <w:r>
              <w:rPr>
                <w:rFonts w:ascii="仿宋_GB2312" w:hAnsi="仿宋_GB2312" w:cs="仿宋_GB2312" w:eastAsia="仿宋_GB2312"/>
              </w:rPr>
              <w:t>四、项目需满足的服务标准、期限、效率等要求：</w:t>
            </w:r>
          </w:p>
          <w:p>
            <w:pPr>
              <w:pStyle w:val="null3"/>
            </w:pPr>
            <w:r>
              <w:rPr>
                <w:rFonts w:ascii="仿宋_GB2312" w:hAnsi="仿宋_GB2312" w:cs="仿宋_GB2312" w:eastAsia="仿宋_GB2312"/>
              </w:rPr>
              <w:t>1.合理安排就诊流程，拥有独立导检系统，减少等候时间，热情服务，报告及时准确</w:t>
            </w:r>
          </w:p>
          <w:p>
            <w:pPr>
              <w:pStyle w:val="null3"/>
            </w:pPr>
            <w:r>
              <w:rPr>
                <w:rFonts w:ascii="仿宋_GB2312" w:hAnsi="仿宋_GB2312" w:cs="仿宋_GB2312" w:eastAsia="仿宋_GB2312"/>
              </w:rPr>
              <w:t>2.提供免费早餐</w:t>
            </w:r>
          </w:p>
          <w:p>
            <w:pPr>
              <w:pStyle w:val="null3"/>
            </w:pPr>
            <w:r>
              <w:rPr>
                <w:rFonts w:ascii="仿宋_GB2312" w:hAnsi="仿宋_GB2312" w:cs="仿宋_GB2312" w:eastAsia="仿宋_GB2312"/>
              </w:rPr>
              <w:t>3.建立电子健康档案，提供检后综合评估和报告解读、健康指导追踪随访及就医绿色通道</w:t>
            </w:r>
          </w:p>
          <w:p>
            <w:pPr>
              <w:pStyle w:val="null3"/>
            </w:pPr>
            <w:r>
              <w:rPr>
                <w:rFonts w:ascii="仿宋_GB2312" w:hAnsi="仿宋_GB2312" w:cs="仿宋_GB2312" w:eastAsia="仿宋_GB2312"/>
              </w:rPr>
              <w:t>4.可换同价位体检项目，以实际体检人数据实结算</w:t>
            </w:r>
          </w:p>
          <w:p>
            <w:pPr>
              <w:pStyle w:val="null3"/>
            </w:pPr>
            <w:r>
              <w:rPr>
                <w:rFonts w:ascii="仿宋_GB2312" w:hAnsi="仿宋_GB2312" w:cs="仿宋_GB2312" w:eastAsia="仿宋_GB2312"/>
              </w:rPr>
              <w:t>5.独立体检区域，与患者分流</w:t>
            </w:r>
          </w:p>
          <w:p>
            <w:pPr>
              <w:pStyle w:val="null3"/>
            </w:pPr>
            <w:r>
              <w:rPr>
                <w:rFonts w:ascii="仿宋_GB2312" w:hAnsi="仿宋_GB2312" w:cs="仿宋_GB2312" w:eastAsia="仿宋_GB2312"/>
              </w:rPr>
              <w:t>6.独立超声及影像设备，与患者分流</w:t>
            </w:r>
          </w:p>
          <w:p>
            <w:pPr>
              <w:pStyle w:val="null3"/>
            </w:pPr>
            <w:r>
              <w:rPr>
                <w:rFonts w:ascii="仿宋_GB2312" w:hAnsi="仿宋_GB2312" w:cs="仿宋_GB2312" w:eastAsia="仿宋_GB2312"/>
              </w:rPr>
              <w:t>7.体检后于10日内出具相应的体检报告</w:t>
            </w:r>
          </w:p>
          <w:p>
            <w:pPr>
              <w:pStyle w:val="null3"/>
            </w:pPr>
            <w:r>
              <w:rPr>
                <w:rFonts w:ascii="仿宋_GB2312" w:hAnsi="仿宋_GB2312" w:cs="仿宋_GB2312" w:eastAsia="仿宋_GB2312"/>
              </w:rPr>
              <w:t>五、项目交付或者实施的时间和地点</w:t>
            </w:r>
            <w:r>
              <w:rPr>
                <w:rFonts w:ascii="仿宋_GB2312" w:hAnsi="仿宋_GB2312" w:cs="仿宋_GB2312" w:eastAsia="仿宋_GB2312"/>
              </w:rPr>
              <w:t>:</w:t>
            </w:r>
          </w:p>
          <w:p>
            <w:pPr>
              <w:pStyle w:val="null3"/>
              <w:ind w:firstLine="400"/>
            </w:pPr>
            <w:r>
              <w:rPr>
                <w:rFonts w:ascii="仿宋_GB2312" w:hAnsi="仿宋_GB2312" w:cs="仿宋_GB2312" w:eastAsia="仿宋_GB2312"/>
              </w:rPr>
              <w:t xml:space="preserve">  </w:t>
            </w:r>
            <w:r>
              <w:rPr>
                <w:rFonts w:ascii="仿宋_GB2312" w:hAnsi="仿宋_GB2312" w:cs="仿宋_GB2312" w:eastAsia="仿宋_GB2312"/>
              </w:rPr>
              <w:t>签订合同之日起至项目完成</w:t>
            </w:r>
          </w:p>
          <w:p>
            <w:pPr>
              <w:pStyle w:val="null3"/>
            </w:pPr>
            <w:r>
              <w:rPr>
                <w:rFonts w:ascii="仿宋_GB2312" w:hAnsi="仿宋_GB2312" w:cs="仿宋_GB2312" w:eastAsia="仿宋_GB2312"/>
              </w:rPr>
              <w:t>六、项目的验收标准及方式：</w:t>
            </w:r>
          </w:p>
          <w:p>
            <w:pPr>
              <w:pStyle w:val="null3"/>
              <w:ind w:firstLine="400"/>
            </w:pPr>
            <w:r>
              <w:rPr>
                <w:rFonts w:ascii="仿宋_GB2312" w:hAnsi="仿宋_GB2312" w:cs="仿宋_GB2312" w:eastAsia="仿宋_GB2312"/>
              </w:rPr>
              <w:t>体检人员完成体检后，并收到体检报告</w:t>
            </w:r>
          </w:p>
          <w:p>
            <w:pPr>
              <w:pStyle w:val="null3"/>
            </w:pPr>
            <w:r>
              <w:rPr>
                <w:rFonts w:ascii="仿宋_GB2312" w:hAnsi="仿宋_GB2312" w:cs="仿宋_GB2312" w:eastAsia="仿宋_GB2312"/>
              </w:rPr>
              <w:t>七、职工体检项目</w:t>
            </w:r>
          </w:p>
          <w:tbl>
            <w:tblPr>
              <w:tblInd w:type="dxa" w:w="90"/>
              <w:tblBorders>
                <w:top w:val="none" w:color="000000" w:sz="4"/>
                <w:left w:val="none" w:color="000000" w:sz="4"/>
                <w:bottom w:val="none" w:color="000000" w:sz="4"/>
                <w:right w:val="none" w:color="000000" w:sz="4"/>
                <w:insideH w:val="none"/>
                <w:insideV w:val="none"/>
              </w:tblBorders>
            </w:tblPr>
            <w:tblGrid>
              <w:gridCol w:w="178"/>
              <w:gridCol w:w="324"/>
              <w:gridCol w:w="400"/>
              <w:gridCol w:w="368"/>
              <w:gridCol w:w="381"/>
              <w:gridCol w:w="902"/>
            </w:tblGrid>
            <w:tr>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体检项目</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男</w:t>
                  </w:r>
                  <w:r>
                    <w:br/>
                  </w:r>
                  <w:r>
                    <w:rPr>
                      <w:rFonts w:ascii="仿宋_GB2312" w:hAnsi="仿宋_GB2312" w:cs="仿宋_GB2312" w:eastAsia="仿宋_GB2312"/>
                      <w:sz w:val="20"/>
                    </w:rPr>
                    <w:t>（</w:t>
                  </w:r>
                  <w:r>
                    <w:rPr>
                      <w:rFonts w:ascii="仿宋_GB2312" w:hAnsi="仿宋_GB2312" w:cs="仿宋_GB2312" w:eastAsia="仿宋_GB2312"/>
                      <w:sz w:val="20"/>
                    </w:rPr>
                    <w:t>56人）</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女</w:t>
                  </w:r>
                  <w:r>
                    <w:br/>
                  </w:r>
                  <w:r>
                    <w:rPr>
                      <w:rFonts w:ascii="仿宋_GB2312" w:hAnsi="仿宋_GB2312" w:cs="仿宋_GB2312" w:eastAsia="仿宋_GB2312"/>
                      <w:sz w:val="20"/>
                    </w:rPr>
                    <w:t>(41人）</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未婚女</w:t>
                  </w:r>
                  <w:r>
                    <w:br/>
                  </w:r>
                  <w:r>
                    <w:rPr>
                      <w:rFonts w:ascii="仿宋_GB2312" w:hAnsi="仿宋_GB2312" w:cs="仿宋_GB2312" w:eastAsia="仿宋_GB2312"/>
                      <w:sz w:val="20"/>
                    </w:rPr>
                    <w:t>（</w:t>
                  </w:r>
                  <w:r>
                    <w:rPr>
                      <w:rFonts w:ascii="仿宋_GB2312" w:hAnsi="仿宋_GB2312" w:cs="仿宋_GB2312" w:eastAsia="仿宋_GB2312"/>
                      <w:sz w:val="20"/>
                    </w:rPr>
                    <w:t>6人）</w:t>
                  </w: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检查意义　</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身高、体重、心率、血压等</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测量身高、体重、心率、腰臀围、血压，初步筛查高血压及是否有超重、肥胖。</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内科</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通过视、触、叩、听等物理检查方法，初步判断有无心肺异常、肝脾肿大、腹部包块等情况。</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外科</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可筛查诊断皮肤病、甲状腺炎、乳腺炎、脊柱畸形等疾病。</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血常规（五分类）</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筛查贫血及感染炎症等疾病均有重要价值。</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尿常规</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（尿液分析</w:t>
                  </w:r>
                  <w:r>
                    <w:rPr>
                      <w:rFonts w:ascii="仿宋_GB2312" w:hAnsi="仿宋_GB2312" w:cs="仿宋_GB2312" w:eastAsia="仿宋_GB2312"/>
                      <w:sz w:val="20"/>
                    </w:rPr>
                    <w:t>+沉渣计数）检查泌尿系统疾病，如有无尿道感染、血尿、尿蛋白等情况，辅助诊断肾炎、肾病中和镇等泌尿系统疾病。</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肝功能六项</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诊断有无肝脏损伤，判断脂肪肝、肝硬化等各种疾病有无肝脏损伤，早筛早防。</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肾功三项</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检查肌酐、尿素、尿酸，筛查是否有肾功能损害，也可用于高血压、糖尿病等患者有无肾脏并发症的判断。</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血糖</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糖尿病初筛方法之一，了解有无低血糖、空腹血糖升高等。</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糖化血红蛋白</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反映采血前</w:t>
                  </w:r>
                  <w:r>
                    <w:rPr>
                      <w:rFonts w:ascii="仿宋_GB2312" w:hAnsi="仿宋_GB2312" w:cs="仿宋_GB2312" w:eastAsia="仿宋_GB2312"/>
                      <w:sz w:val="20"/>
                    </w:rPr>
                    <w:t>2-3个月之内的平均血糖水平，是糖尿病筛查和了解糖尿病控制情况的一个重要指标</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2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血脂六项</w:t>
                  </w:r>
                </w:p>
              </w:tc>
              <w:tc>
                <w:tcPr>
                  <w:tcW w:type="dxa" w:w="400"/>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诊断高脂血症的重要诊断指标、判断脂类代谢情况。</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胃功能三项</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反映胃酸高低、提示胃黏膜萎缩的风险及萎缩的部位和程度，对胃部疾病的诊断具有临床意义</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同型半胱氨酸</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心脑血管疾病的独立危险因素，尤其是冠状动脉粥样硬化和心肌梗塞的危险指标。</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2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甲状腺功能五项</w:t>
                  </w:r>
                </w:p>
              </w:tc>
              <w:tc>
                <w:tcPr>
                  <w:tcW w:type="dxa" w:w="400"/>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诊断甲状腺功能亢进症或甲状腺功能低下的灵敏指标与疗效检测</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2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心电图</w:t>
                  </w:r>
                </w:p>
              </w:tc>
              <w:tc>
                <w:tcPr>
                  <w:tcW w:type="dxa" w:w="400"/>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辅助诊断心律失常、心肌缺血、心肌梗死等</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多肿瘤标志物筛查（男）</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主要是消化道（肝、胃、胰、结、直肠）、肺、白血病和前列腺癌的筛查</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多肿瘤标志物筛查（女）</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主要是消化道（肝、胃、胰、结、直肠）、肺、白血病、卵巢、子宫、乳腺癌的筛查</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2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C13尿素呼气试验</w:t>
                  </w:r>
                </w:p>
              </w:tc>
              <w:tc>
                <w:tcPr>
                  <w:tcW w:type="dxa" w:w="400"/>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检测是否感染幽门螺旋杆菌，对消化性溃疡、慢性活动性胃炎、胃癌等有辅助诊断作用</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动脉硬化检查</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对动脉的弹性、硬化程度及动脉官腔的阻塞程度进行综合评估，早期预测心脑血管疾病（中风、心肌梗死等）的风险程度及疾病的发展趋势</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2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腹部</w:t>
                  </w:r>
                  <w:r>
                    <w:rPr>
                      <w:rFonts w:ascii="仿宋_GB2312" w:hAnsi="仿宋_GB2312" w:cs="仿宋_GB2312" w:eastAsia="仿宋_GB2312"/>
                      <w:sz w:val="20"/>
                    </w:rPr>
                    <w:t>+泌尿系彩超（男）</w:t>
                  </w:r>
                </w:p>
              </w:tc>
              <w:tc>
                <w:tcPr>
                  <w:tcW w:type="dxa" w:w="400"/>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通过彩色超声检查肝脏、胆囊、胰腺、脾脏、肾脏、前列腺、膀胱内脏器官的形态及病理改变（如肿瘤、结石、脂肪肝、肝硬化、前列腺增生及肥大等）</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2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腹部</w:t>
                  </w:r>
                  <w:r>
                    <w:rPr>
                      <w:rFonts w:ascii="仿宋_GB2312" w:hAnsi="仿宋_GB2312" w:cs="仿宋_GB2312" w:eastAsia="仿宋_GB2312"/>
                      <w:sz w:val="20"/>
                    </w:rPr>
                    <w:t>+泌尿系+妇科彩超（女）</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通过彩色超声检查肝脏、胆囊、胰腺、脾脏、肾脏、子宫、附件等内脏器官的形态及病理改变（如肿瘤、结石、脂肪肝、肝硬化、子宫及附件病变等）</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颈部血管彩超</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检查颈动脉有无硬化有无斑块形成及斑块的性质，动脉狭窄的程度等</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甲状腺彩超</w:t>
                  </w:r>
                </w:p>
              </w:tc>
              <w:tc>
                <w:tcPr>
                  <w:tcW w:type="dxa" w:w="400"/>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了解甲状腺长度、厚度、横径、血管内径、血流速度及有无占位性病变</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2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妇科检查（女）</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检查女性生殖器有无异常改变，有无宫颈及阴道异常病变</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2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宫颈液基细胞检查（女）</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宫颈癌早期筛查。</w:t>
                  </w:r>
                </w:p>
              </w:tc>
            </w:tr>
            <w:tr>
              <w:tc>
                <w:tcPr>
                  <w:tcW w:type="dxa" w:w="178"/>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2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乳腺彩超（女）</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8"/>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1"/>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有无乳腺包块、增生、小结等</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体检人员完成体检后，并收到体检报告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进度款，剩余金额据实结算，达到付款条件起30个工作日内，支付合同总金额的50.0%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解决办法：1．在执行本合同中发生的或与本合同有关的争端，双方应通过友好协商解决，经协商在10天内不能达成协议时，则采取方式解决争议：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证项目存档使用供应商须提交纸质响应文件正本壹份、副本贰份。（2）纸质响应文件正、副本分别胶装递交，递交截止时间：开标后2个工作日之内，递交地址：陕西省西安市雁塔区朱雀大街南段69号长丰园三区5号楼9层9006室（3）若电子响应文件与纸质响应文件不一致的，以电子响应文件为准。（4）本项目据实结算，具体结算时间在双方签订合同时自行协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提供2024或2025年度经审计的财务审计报告，或其开标前六个月内基本存款账户开户银行出具的资信证明；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提供2025年7月至今已缴纳的至少三个月的纳税证明或完税证明，依法免税的单位应提供相关证明材料；</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资质要求1</w:t>
            </w:r>
          </w:p>
        </w:tc>
        <w:tc>
          <w:tcPr>
            <w:tcW w:type="dxa" w:w="3322"/>
          </w:tcPr>
          <w:p>
            <w:pPr>
              <w:pStyle w:val="null3"/>
            </w:pPr>
            <w:r>
              <w:rPr>
                <w:rFonts w:ascii="仿宋_GB2312" w:hAnsi="仿宋_GB2312" w:cs="仿宋_GB2312" w:eastAsia="仿宋_GB2312"/>
              </w:rPr>
              <w:t>供应商具备卫生行政主管部门批准的三级（甲等）或以上资质的综合性医院。</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资质要求2</w:t>
            </w:r>
          </w:p>
        </w:tc>
        <w:tc>
          <w:tcPr>
            <w:tcW w:type="dxa" w:w="3322"/>
          </w:tcPr>
          <w:p>
            <w:pPr>
              <w:pStyle w:val="null3"/>
            </w:pPr>
            <w:r>
              <w:rPr>
                <w:rFonts w:ascii="仿宋_GB2312" w:hAnsi="仿宋_GB2312" w:cs="仿宋_GB2312" w:eastAsia="仿宋_GB2312"/>
              </w:rPr>
              <w:t>供应商须具有卫生主管部门颁发的《医疗机构执业许可证》和《放射诊疗许可证》。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参加本次政府采购活动前三年内，在经营活动中没有重大违法记录声明。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本项目不接受联合体磋商（须提供声明函）。</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中小企业声明函 商务应答表 服务内容及服务要求应答表 标的清单 报价表 响应函 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体检服务方案</w:t>
            </w:r>
          </w:p>
        </w:tc>
        <w:tc>
          <w:tcPr>
            <w:tcW w:type="dxa" w:w="2492"/>
          </w:tcPr>
          <w:p>
            <w:pPr>
              <w:pStyle w:val="null3"/>
            </w:pPr>
            <w:r>
              <w:rPr>
                <w:rFonts w:ascii="仿宋_GB2312" w:hAnsi="仿宋_GB2312" w:cs="仿宋_GB2312" w:eastAsia="仿宋_GB2312"/>
              </w:rPr>
              <w:t>针对本项目有①体检服务⼯作流程、②检前预约及告知⽅案、③各项体检操作规程、④主要检测项⽬的检测⽅法、⑤主要检测试剂使⽤情况。 每有一项缺项扣3.2分；每一处内容有缺陷扣1.6分，满分16分，扣完为止；未提供不得分。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体检医疗设备</w:t>
            </w:r>
          </w:p>
        </w:tc>
        <w:tc>
          <w:tcPr>
            <w:tcW w:type="dxa" w:w="2492"/>
          </w:tcPr>
          <w:p>
            <w:pPr>
              <w:pStyle w:val="null3"/>
            </w:pPr>
            <w:r>
              <w:rPr>
                <w:rFonts w:ascii="仿宋_GB2312" w:hAnsi="仿宋_GB2312" w:cs="仿宋_GB2312" w:eastAsia="仿宋_GB2312"/>
              </w:rPr>
              <w:t>供应商根据本项目采购需求，列明完成各项体检项目所需的体检主要设备仪器清单表及图片。 1. 提供设备仪器清单表，且清单中列明的设备种类及数量完全覆盖本项目采购需求的所有体检项目的，得6分；每遗漏1项体检项目对应的设备扣0.5分，扣完为止；未提供不得分。 2. 为清单中列明的每一台主要设备均提供清晰有效的设备图片的，得6分；未提供图片或图片无法辨认设备型号的，每缺漏1处扣0.5分，扣完为止；未提供不得分。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体检服务场地</w:t>
            </w:r>
          </w:p>
        </w:tc>
        <w:tc>
          <w:tcPr>
            <w:tcW w:type="dxa" w:w="2492"/>
          </w:tcPr>
          <w:p>
            <w:pPr>
              <w:pStyle w:val="null3"/>
            </w:pPr>
            <w:r>
              <w:rPr>
                <w:rFonts w:ascii="仿宋_GB2312" w:hAnsi="仿宋_GB2312" w:cs="仿宋_GB2312" w:eastAsia="仿宋_GB2312"/>
              </w:rPr>
              <w:t>供应商针对本项目提供详细的体检配套环境，⾄少包含：①场所独立性与承载能⼒：提供体检场所产权证或租赁合同、平面布局图，得2分，本项满分2分；②⽆障碍与适⽼化设施、急救设备与应急配置：提供无障碍通道、适老化设施（如扶⼿、防滑地⾯等）的现场照片，得1分；提供急救设备清单（含设备名称、数量、有效期证明），得2分；提供应急配置设施清单（含设备名称、数量、有效期证明），得1分；本项满分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投⼊本项目⼈员须为投标单位在职⼈员，提供证明材料，否则不计分。 拟派总检医师具有医学类相关专业正⾼级职称的计4分，其它不计分，提供证书复印件，未提供不计分。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投⼊本项目⼈员须为投标单位在职⼈员，提供证明材料，否则不计分。 拟派各科室主检医（技）师具有医学类相关专业副⾼级及以上职称的，每提供1⼈计2分，最⾼计8分，提供证书复印件，未提供不计分。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辅助人员</w:t>
            </w:r>
          </w:p>
        </w:tc>
        <w:tc>
          <w:tcPr>
            <w:tcW w:type="dxa" w:w="2492"/>
          </w:tcPr>
          <w:p>
            <w:pPr>
              <w:pStyle w:val="null3"/>
            </w:pPr>
            <w:r>
              <w:rPr>
                <w:rFonts w:ascii="仿宋_GB2312" w:hAnsi="仿宋_GB2312" w:cs="仿宋_GB2312" w:eastAsia="仿宋_GB2312"/>
              </w:rPr>
              <w:t>投⼊本项目⼈员须为投标单位在职⼈员，提供证明材料，否则不计分。 拟派医技、护理⼈员具有卫生专业技术中级职称每提供1⼈计1分；具备副⾼级及以上职称的每提供1⼈计2分，此条最⾼计6分，提供证书复印件，未提供不计分。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应急⽅案及补救措施</w:t>
            </w:r>
          </w:p>
        </w:tc>
        <w:tc>
          <w:tcPr>
            <w:tcW w:type="dxa" w:w="2492"/>
          </w:tcPr>
          <w:p>
            <w:pPr>
              <w:pStyle w:val="null3"/>
            </w:pPr>
            <w:r>
              <w:rPr>
                <w:rFonts w:ascii="仿宋_GB2312" w:hAnsi="仿宋_GB2312" w:cs="仿宋_GB2312" w:eastAsia="仿宋_GB2312"/>
              </w:rPr>
              <w:t>针对本项目提供有①医疗事故及原因分析、②医疗事故发生的处置⽅式及流程、③预防医疗事故发生的保障措施。 每有一项缺项扣2分；每一处内容有缺陷扣1分，满分6分，扣完为止；未提供不得分。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体检后服务措施</w:t>
            </w:r>
          </w:p>
        </w:tc>
        <w:tc>
          <w:tcPr>
            <w:tcW w:type="dxa" w:w="2492"/>
          </w:tcPr>
          <w:p>
            <w:pPr>
              <w:pStyle w:val="null3"/>
            </w:pPr>
            <w:r>
              <w:rPr>
                <w:rFonts w:ascii="仿宋_GB2312" w:hAnsi="仿宋_GB2312" w:cs="仿宋_GB2312" w:eastAsia="仿宋_GB2312"/>
              </w:rPr>
              <w:t>针对本项目提供有①检后服务⼈员安排、②检后服务内容及⽅式、 ③检后服务质量保障措施。 每有一项缺项扣2分；每一处内容有缺陷扣1分，满分6分，扣完为止；未提供不得分。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1. 医学跟踪与复查服务（1分）：提供明确的医学跟踪与复查服务方案，并提供具体的服务流程及人员配置说明的，得1分；未提供得0分。 2. 院内/外转诊服务（1分）：提供明确的转诊服务方案，且提供与接收医院签订的有效合作协议（或意向书）复印件的，得1分；未提供协议证明材料的，得0分。 3. 优先住院服务（1分）：提供明确的优先住院绿色通道方案，并提供具体的对接机制及联系人信息的，得1分；未提供得0分。 4. 专家会诊服务（1分）：提供明确的专家会诊服务方案，并提供拟参与会诊的专家名单，得1分；未提供得0分。 5. 服务承诺（1分）：提供针对上述增值服务的书面承诺函（加盖供应商公章），得1分；未提供的，得0分。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体检报告及保密措施等</w:t>
            </w:r>
          </w:p>
        </w:tc>
        <w:tc>
          <w:tcPr>
            <w:tcW w:type="dxa" w:w="2492"/>
          </w:tcPr>
          <w:p>
            <w:pPr>
              <w:pStyle w:val="null3"/>
            </w:pPr>
            <w:r>
              <w:rPr>
                <w:rFonts w:ascii="仿宋_GB2312" w:hAnsi="仿宋_GB2312" w:cs="仿宋_GB2312" w:eastAsia="仿宋_GB2312"/>
              </w:rPr>
              <w:t>针对本项目提供有①体检结果分析；②体检报告中出现异常指标出具专业意⻅及治疗⽅案；③建⽴健康档案、④保密措施、⑤验收措施。 每有一项缺项扣2.4分；每一处内容有缺陷扣1.2分，满分12分，扣完为止；未提供不得分。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投标人提供2023年07月至今同类项目业绩合同（团体体检）。以合同签订日期为准，每份合同计3分，最高9分。 评审依据：响应文件中须提供业绩合同证明材料复印件加盖公章，含合同关键页（即合同首页、合同标的物、合同金额页及双方签字盖章页），以合同签订时间为准。未提供不得分。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磋商⽂件要求且最后报价最低的供应商的价格为磋商基准价，其价格分为满分。其他供应商的价格分统⼀按照下列公式计算：磋商报价得分=10×（磋商基准价/最后磋商报价）价格分计算：四舍五⼊，保留两位⼩数。满⾜落实政府采购相 关政策的,⽤扣除后的价格参与评审。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