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版本号：FHZB-202601320260901002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新区雨洪利用片区生态多样性栽植工程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FHZB-2026013</w:t>
      </w:r>
      <w:r>
        <w:br/>
      </w:r>
      <w:r>
        <w:br/>
      </w:r>
      <w:r>
        <w:br/>
      </w:r>
    </w:p>
    <w:p>
      <w:pPr>
        <w:pStyle w:val="null3"/>
        <w:jc w:val="center"/>
        <w:outlineLvl w:val="2"/>
      </w:pPr>
      <w:r>
        <w:rPr>
          <w:rFonts w:ascii="仿宋_GB2312" w:hAnsi="仿宋_GB2312" w:cs="仿宋_GB2312" w:eastAsia="仿宋_GB2312"/>
          <w:sz w:val="28"/>
          <w:b/>
        </w:rPr>
        <w:t>铜川市新区住房建设和交通运输局</w:t>
      </w:r>
    </w:p>
    <w:p>
      <w:pPr>
        <w:pStyle w:val="null3"/>
        <w:jc w:val="center"/>
        <w:outlineLvl w:val="2"/>
      </w:pPr>
      <w:r>
        <w:rPr>
          <w:rFonts w:ascii="仿宋_GB2312" w:hAnsi="仿宋_GB2312" w:cs="仿宋_GB2312" w:eastAsia="仿宋_GB2312"/>
          <w:sz w:val="28"/>
          <w:b/>
        </w:rPr>
        <w:t>陕西凡华建设项目管理有限公司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陕西凡华建设项目管理有限公司</w:t>
      </w:r>
      <w:r>
        <w:rPr>
          <w:rFonts w:ascii="仿宋_GB2312" w:hAnsi="仿宋_GB2312" w:cs="仿宋_GB2312" w:eastAsia="仿宋_GB2312"/>
        </w:rPr>
        <w:t>（以下简称“代理机构”）受</w:t>
      </w:r>
      <w:r>
        <w:rPr>
          <w:rFonts w:ascii="仿宋_GB2312" w:hAnsi="仿宋_GB2312" w:cs="仿宋_GB2312" w:eastAsia="仿宋_GB2312"/>
        </w:rPr>
        <w:t>铜川市新区住房建设和交通运输局</w:t>
      </w:r>
      <w:r>
        <w:rPr>
          <w:rFonts w:ascii="仿宋_GB2312" w:hAnsi="仿宋_GB2312" w:cs="仿宋_GB2312" w:eastAsia="仿宋_GB2312"/>
        </w:rPr>
        <w:t>委托，拟对</w:t>
      </w:r>
      <w:r>
        <w:rPr>
          <w:rFonts w:ascii="仿宋_GB2312" w:hAnsi="仿宋_GB2312" w:cs="仿宋_GB2312" w:eastAsia="仿宋_GB2312"/>
        </w:rPr>
        <w:t>新区雨洪利用片区生态多样性栽植工程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FHZB-2026013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新区雨洪利用片区生态多样性栽植工程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新区⾬洪利⽤⽚区补充⾯积不同的牡丹、芍药、⽉季、红叶⽯楠、腊梅花镜彩⾊区块。种植⽩⽪松198株，⾼杆⽉季2400株，腊梅120株，红叶⽯楠球40株，牡丹3000株，荷花12000丛，睡莲6000丛等。(具体内容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采购包1（新区雨洪利用片区生态多样性栽植工程）：属于专门面向中小企业采购。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1、营业执照：具有独立承担民事责任的能力，提供法人或者其他组织的营业执照等国家规定的证明文件，⾃然人参与的提供其身份证明；</w:t>
      </w:r>
    </w:p>
    <w:p>
      <w:pPr>
        <w:pStyle w:val="null3"/>
      </w:pPr>
      <w:r>
        <w:rPr>
          <w:rFonts w:ascii="仿宋_GB2312" w:hAnsi="仿宋_GB2312" w:cs="仿宋_GB2312" w:eastAsia="仿宋_GB2312"/>
        </w:rPr>
        <w:t>2、法定代表人⾝份证明或法定代表人授权委托书：法定代表人授权书（附法定代表人及被授权人身份证复印件）（如法定代表人直接投标只须提交法定代表人身份证明并附身份证复印件）</w:t>
      </w:r>
    </w:p>
    <w:p>
      <w:pPr>
        <w:pStyle w:val="null3"/>
      </w:pPr>
      <w:r>
        <w:rPr>
          <w:rFonts w:ascii="仿宋_GB2312" w:hAnsi="仿宋_GB2312" w:cs="仿宋_GB2312" w:eastAsia="仿宋_GB2312"/>
        </w:rPr>
        <w:t>3、项目负责人：拟派项⽬负责⼈具备园林绿化相关专业中级及以上工程师资格,且为本单位⼈员，未担任其他在建⼯程项⽬的项⽬负责⼈；（提供职称证书、社保缴纳证明、⽆在建承诺书。）</w:t>
      </w:r>
    </w:p>
    <w:p>
      <w:pPr>
        <w:pStyle w:val="null3"/>
      </w:pPr>
      <w:r>
        <w:rPr>
          <w:rFonts w:ascii="仿宋_GB2312" w:hAnsi="仿宋_GB2312" w:cs="仿宋_GB2312" w:eastAsia="仿宋_GB2312"/>
        </w:rPr>
        <w:t>4、财务状况：提供2024年度或2025年度经审计的财务会计报告（包括审计报告、资产负债表、利润表、现金流量表、所有者权益变动表及其附注，审计报告应当经过注册会计师行业统一监管平台备案赋码，成立时间至提交响应文件截止时间不足一年的可提供成立后任意时段的资产负债表），或其开标前三个月内基本开户银行出具的资信证明及基本户开户信息；</w:t>
      </w:r>
    </w:p>
    <w:p>
      <w:pPr>
        <w:pStyle w:val="null3"/>
      </w:pPr>
      <w:r>
        <w:rPr>
          <w:rFonts w:ascii="仿宋_GB2312" w:hAnsi="仿宋_GB2312" w:cs="仿宋_GB2312" w:eastAsia="仿宋_GB2312"/>
        </w:rPr>
        <w:t>5、履约能力：出具具备履行合同所必需的设备和专业技术能力的书面声明</w:t>
      </w:r>
    </w:p>
    <w:p>
      <w:pPr>
        <w:pStyle w:val="null3"/>
      </w:pPr>
      <w:r>
        <w:rPr>
          <w:rFonts w:ascii="仿宋_GB2312" w:hAnsi="仿宋_GB2312" w:cs="仿宋_GB2312" w:eastAsia="仿宋_GB2312"/>
        </w:rPr>
        <w:t>6、税收缴纳证明：提供2025年09⽉01⽇⾄今任意⼀个⽉的缴纳税收的证明材料(依法免税的单位应提供相关证明材料)</w:t>
      </w:r>
    </w:p>
    <w:p>
      <w:pPr>
        <w:pStyle w:val="null3"/>
      </w:pPr>
      <w:r>
        <w:rPr>
          <w:rFonts w:ascii="仿宋_GB2312" w:hAnsi="仿宋_GB2312" w:cs="仿宋_GB2312" w:eastAsia="仿宋_GB2312"/>
        </w:rPr>
        <w:t>7、社会保障资金缴纳证明：提供2025年09⽉01⽇⾄今任意⼀个⽉的依法缴纳社会保障资⾦的证明材料（依法不需要缴纳社会保障资⾦的单位应提供相关证明材料）</w:t>
      </w:r>
    </w:p>
    <w:p>
      <w:pPr>
        <w:pStyle w:val="null3"/>
      </w:pPr>
      <w:r>
        <w:rPr>
          <w:rFonts w:ascii="仿宋_GB2312" w:hAnsi="仿宋_GB2312" w:cs="仿宋_GB2312" w:eastAsia="仿宋_GB2312"/>
        </w:rPr>
        <w:t>8、无重大违法记录：参加政府采购活动前3年内，在经营活动中没有重大违法记录（提供书面声明函）</w:t>
      </w:r>
    </w:p>
    <w:p>
      <w:pPr>
        <w:pStyle w:val="null3"/>
      </w:pPr>
      <w:r>
        <w:rPr>
          <w:rFonts w:ascii="仿宋_GB2312" w:hAnsi="仿宋_GB2312" w:cs="仿宋_GB2312" w:eastAsia="仿宋_GB2312"/>
        </w:rPr>
        <w:t>9、信用截图：供应商不得为“信⽤中国”⽹站（www.creditchina.gov.cn）中列⼊失信被执⾏⼈或重⼤ 税收违法案件当事⼈名单的供应商，不得为中国政府采购⽹（www.ccgp.gov.cn）政府采购严 重违法失信⾏为记录名单中被财政部⻔禁⽌参加政府采购活动的供应商；</w:t>
      </w:r>
    </w:p>
    <w:p>
      <w:pPr>
        <w:pStyle w:val="null3"/>
      </w:pPr>
      <w:r>
        <w:rPr>
          <w:rFonts w:ascii="仿宋_GB2312" w:hAnsi="仿宋_GB2312" w:cs="仿宋_GB2312" w:eastAsia="仿宋_GB2312"/>
        </w:rPr>
        <w:t>10、本项⽬不接受联合体磋商：提供非联合体承诺；</w:t>
      </w:r>
    </w:p>
    <w:p>
      <w:pPr>
        <w:pStyle w:val="null3"/>
      </w:pPr>
      <w:r>
        <w:rPr>
          <w:rFonts w:ascii="仿宋_GB2312" w:hAnsi="仿宋_GB2312" w:cs="仿宋_GB2312" w:eastAsia="仿宋_GB2312"/>
        </w:rPr>
        <w:t>11、企业关联关系：单位负责人为同一人或者存在直接控股、管理关系的不同供应商不得同时参加本项目磋商；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铜川市新区住房建设和交通运输局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铜川新区长虹北路9号新区管委会</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0919-3153353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陕西凡华建设项目管理有限公司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陕西省西安市雁塔区陕西省西安市雁塔区朱雀大街南段6号紫郡长安小区7栋1单元28层07号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杨盼盼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13891067623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采购包1：3,950,576.00元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文件规定基础上下浮5%收取。可以采取现金、支票、银行汇票、电汇、网银等方式，中标/成交投标人在中标（成交）结果公告发布之日起5日内，向招标代理机构缴纳招标代理服务费/中标（成交）服务费。 开户名称：陕西凡华建设项目管理有限公司， 开户行：中国农业银行股份有限公司西安长丰园小区支行， 银行账户：26110201040016041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铜川市新区住房建设和交通运输局</w:t>
      </w:r>
      <w:r>
        <w:rPr>
          <w:rFonts w:ascii="仿宋_GB2312" w:hAnsi="仿宋_GB2312" w:cs="仿宋_GB2312" w:eastAsia="仿宋_GB2312"/>
        </w:rPr>
        <w:t>和</w:t>
      </w:r>
      <w:r>
        <w:rPr>
          <w:rFonts w:ascii="仿宋_GB2312" w:hAnsi="仿宋_GB2312" w:cs="仿宋_GB2312" w:eastAsia="仿宋_GB2312"/>
        </w:rPr>
        <w:t>陕西凡华建设项目管理有限公司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铜川市新区住房建设和交通运输局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陕西凡华建设项目管理有限公司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铜川市新区住房建设和交通运输局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陕西凡华建设项目管理有限公司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1、供应商应保证在本项目使用的任何服务和产品(包括部分使用)时，不会产生因第三方提出侵犯其专利权、商标权或其它知识产权而引起的法律和经济纠纷，如因专利权、商标权或其它知识产权而引起法律 和经济纠纷，由供应商承担所有相关责任。采购人享有本项目实施过程中产生的知识成果及知识产权。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6）履约验收程序：一次性验收； 7）履约验收时间： 供应商提出验收申请之日起7日内组织验收； 8）验收组织的其他事项：详⻅施⼯合同； 9）履约验收标准：符合国家现行验收规范合格标准及采购⼈要求。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联系电话：13891067623</w:t>
      </w:r>
    </w:p>
    <w:p>
      <w:pPr>
        <w:pStyle w:val="null3"/>
      </w:pPr>
      <w:r>
        <w:rPr>
          <w:rFonts w:ascii="仿宋_GB2312" w:hAnsi="仿宋_GB2312" w:cs="仿宋_GB2312" w:eastAsia="仿宋_GB2312"/>
        </w:rPr>
        <w:t>地址：陕西省西安市雁塔区朱雀大街南段6号紫郡长安小区7栋1单元28层07号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3,950,576.00</w:t>
      </w:r>
    </w:p>
    <w:p>
      <w:pPr>
        <w:pStyle w:val="null3"/>
      </w:pPr>
      <w:r>
        <w:rPr>
          <w:rFonts w:ascii="仿宋_GB2312" w:hAnsi="仿宋_GB2312" w:cs="仿宋_GB2312" w:eastAsia="仿宋_GB2312"/>
        </w:rPr>
        <w:t>采购包最高限价（元）: 3,950,575.63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新区雨洪利用片区生态多样性栽植工程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3,950,576.00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标的名称：新区雨洪利用片区生态多样性栽植工程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 xml:space="preserve">1. </w:t>
            </w:r>
            <w:r>
              <w:rPr>
                <w:rFonts w:ascii="仿宋_GB2312" w:hAnsi="仿宋_GB2312" w:cs="仿宋_GB2312" w:eastAsia="仿宋_GB2312"/>
                <w:sz w:val="21"/>
              </w:rPr>
              <w:t>工程名称：新区雨洪利用片区生态多样性栽植工程；</w:t>
            </w:r>
          </w:p>
          <w:p>
            <w:pPr>
              <w:pStyle w:val="null3"/>
              <w:ind w:firstLine="420"/>
              <w:jc w:val="both"/>
            </w:pPr>
            <w:r>
              <w:rPr>
                <w:rFonts w:ascii="仿宋_GB2312" w:hAnsi="仿宋_GB2312" w:cs="仿宋_GB2312" w:eastAsia="仿宋_GB2312"/>
                <w:sz w:val="21"/>
              </w:rPr>
              <w:t xml:space="preserve">2. </w:t>
            </w:r>
            <w:r>
              <w:rPr>
                <w:rFonts w:ascii="仿宋_GB2312" w:hAnsi="仿宋_GB2312" w:cs="仿宋_GB2312" w:eastAsia="仿宋_GB2312"/>
                <w:sz w:val="21"/>
              </w:rPr>
              <w:t>工程地点：铜川市新区</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建设规模及内容：在新区雨洪利用片区补充面积不同牡丹、芍药、月季、红叶石楠、腊梅花镜彩色区块、种植白皮松</w:t>
            </w:r>
            <w:r>
              <w:rPr>
                <w:rFonts w:ascii="仿宋_GB2312" w:hAnsi="仿宋_GB2312" w:cs="仿宋_GB2312" w:eastAsia="仿宋_GB2312"/>
                <w:sz w:val="21"/>
              </w:rPr>
              <w:t>198</w:t>
            </w:r>
            <w:r>
              <w:rPr>
                <w:rFonts w:ascii="仿宋_GB2312" w:hAnsi="仿宋_GB2312" w:cs="仿宋_GB2312" w:eastAsia="仿宋_GB2312"/>
                <w:sz w:val="21"/>
              </w:rPr>
              <w:t>株，高杆月季</w:t>
            </w:r>
            <w:r>
              <w:rPr>
                <w:rFonts w:ascii="仿宋_GB2312" w:hAnsi="仿宋_GB2312" w:cs="仿宋_GB2312" w:eastAsia="仿宋_GB2312"/>
                <w:sz w:val="21"/>
              </w:rPr>
              <w:t>2400</w:t>
            </w:r>
            <w:r>
              <w:rPr>
                <w:rFonts w:ascii="仿宋_GB2312" w:hAnsi="仿宋_GB2312" w:cs="仿宋_GB2312" w:eastAsia="仿宋_GB2312"/>
                <w:sz w:val="21"/>
              </w:rPr>
              <w:t>株、腊梅</w:t>
            </w:r>
            <w:r>
              <w:rPr>
                <w:rFonts w:ascii="仿宋_GB2312" w:hAnsi="仿宋_GB2312" w:cs="仿宋_GB2312" w:eastAsia="仿宋_GB2312"/>
                <w:sz w:val="21"/>
              </w:rPr>
              <w:t>120</w:t>
            </w:r>
            <w:r>
              <w:rPr>
                <w:rFonts w:ascii="仿宋_GB2312" w:hAnsi="仿宋_GB2312" w:cs="仿宋_GB2312" w:eastAsia="仿宋_GB2312"/>
                <w:sz w:val="21"/>
              </w:rPr>
              <w:t>株、红叶石楠球</w:t>
            </w:r>
            <w:r>
              <w:rPr>
                <w:rFonts w:ascii="仿宋_GB2312" w:hAnsi="仿宋_GB2312" w:cs="仿宋_GB2312" w:eastAsia="仿宋_GB2312"/>
                <w:sz w:val="21"/>
              </w:rPr>
              <w:t>40</w:t>
            </w:r>
            <w:r>
              <w:rPr>
                <w:rFonts w:ascii="仿宋_GB2312" w:hAnsi="仿宋_GB2312" w:cs="仿宋_GB2312" w:eastAsia="仿宋_GB2312"/>
                <w:sz w:val="21"/>
              </w:rPr>
              <w:t>株、牡丹</w:t>
            </w:r>
            <w:r>
              <w:rPr>
                <w:rFonts w:ascii="仿宋_GB2312" w:hAnsi="仿宋_GB2312" w:cs="仿宋_GB2312" w:eastAsia="仿宋_GB2312"/>
                <w:sz w:val="21"/>
              </w:rPr>
              <w:t>3000</w:t>
            </w:r>
            <w:r>
              <w:rPr>
                <w:rFonts w:ascii="仿宋_GB2312" w:hAnsi="仿宋_GB2312" w:cs="仿宋_GB2312" w:eastAsia="仿宋_GB2312"/>
                <w:sz w:val="21"/>
              </w:rPr>
              <w:t>株、荷花</w:t>
            </w:r>
            <w:r>
              <w:rPr>
                <w:rFonts w:ascii="仿宋_GB2312" w:hAnsi="仿宋_GB2312" w:cs="仿宋_GB2312" w:eastAsia="仿宋_GB2312"/>
                <w:sz w:val="21"/>
              </w:rPr>
              <w:t>12000</w:t>
            </w:r>
            <w:r>
              <w:rPr>
                <w:rFonts w:ascii="仿宋_GB2312" w:hAnsi="仿宋_GB2312" w:cs="仿宋_GB2312" w:eastAsia="仿宋_GB2312"/>
                <w:sz w:val="21"/>
              </w:rPr>
              <w:t>丛、睡莲</w:t>
            </w:r>
            <w:r>
              <w:rPr>
                <w:rFonts w:ascii="仿宋_GB2312" w:hAnsi="仿宋_GB2312" w:cs="仿宋_GB2312" w:eastAsia="仿宋_GB2312"/>
                <w:sz w:val="21"/>
              </w:rPr>
              <w:t>6000</w:t>
            </w:r>
            <w:r>
              <w:rPr>
                <w:rFonts w:ascii="仿宋_GB2312" w:hAnsi="仿宋_GB2312" w:cs="仿宋_GB2312" w:eastAsia="仿宋_GB2312"/>
                <w:sz w:val="21"/>
              </w:rPr>
              <w:t>丛等（具体内容以工程量清单为准）。</w:t>
            </w:r>
          </w:p>
          <w:p>
            <w:pPr>
              <w:pStyle w:val="null3"/>
              <w:ind w:firstLine="420"/>
              <w:jc w:val="both"/>
            </w:pPr>
            <w:r>
              <w:rPr>
                <w:rFonts w:ascii="仿宋_GB2312" w:hAnsi="仿宋_GB2312" w:cs="仿宋_GB2312" w:eastAsia="仿宋_GB2312"/>
                <w:sz w:val="21"/>
              </w:rPr>
              <w:t>二、编制依据</w:t>
            </w:r>
          </w:p>
          <w:p>
            <w:pPr>
              <w:pStyle w:val="null3"/>
              <w:ind w:firstLine="420"/>
              <w:jc w:val="both"/>
            </w:pPr>
            <w:r>
              <w:rPr>
                <w:rFonts w:ascii="仿宋_GB2312" w:hAnsi="仿宋_GB2312" w:cs="仿宋_GB2312" w:eastAsia="仿宋_GB2312"/>
                <w:sz w:val="21"/>
              </w:rPr>
              <w:t xml:space="preserve">1. </w:t>
            </w:r>
            <w:r>
              <w:rPr>
                <w:rFonts w:ascii="仿宋_GB2312" w:hAnsi="仿宋_GB2312" w:cs="仿宋_GB2312" w:eastAsia="仿宋_GB2312"/>
                <w:sz w:val="21"/>
              </w:rPr>
              <w:t>《陕西省建设工程工程量清单计价标准及计算标准》（</w:t>
            </w:r>
            <w:r>
              <w:rPr>
                <w:rFonts w:ascii="仿宋_GB2312" w:hAnsi="仿宋_GB2312" w:cs="仿宋_GB2312" w:eastAsia="仿宋_GB2312"/>
                <w:sz w:val="21"/>
              </w:rPr>
              <w:t>2025</w:t>
            </w:r>
            <w:r>
              <w:rPr>
                <w:rFonts w:ascii="仿宋_GB2312" w:hAnsi="仿宋_GB2312" w:cs="仿宋_GB2312" w:eastAsia="仿宋_GB2312"/>
                <w:sz w:val="21"/>
              </w:rPr>
              <w:t>）及其配套文件中工程量计算办法。</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《陕西省建设工程费用规则》（</w:t>
            </w:r>
            <w:r>
              <w:rPr>
                <w:rFonts w:ascii="仿宋_GB2312" w:hAnsi="仿宋_GB2312" w:cs="仿宋_GB2312" w:eastAsia="仿宋_GB2312"/>
                <w:sz w:val="21"/>
              </w:rPr>
              <w:t>2025</w:t>
            </w:r>
            <w:r>
              <w:rPr>
                <w:rFonts w:ascii="仿宋_GB2312" w:hAnsi="仿宋_GB2312" w:cs="仿宋_GB2312" w:eastAsia="仿宋_GB2312"/>
                <w:sz w:val="21"/>
              </w:rPr>
              <w:t>）、《陕西省园林绿化工程基价表》（</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《陕西省房屋建筑与装饰工程消耗量定额》（</w:t>
            </w:r>
            <w:r>
              <w:rPr>
                <w:rFonts w:ascii="仿宋_GB2312" w:hAnsi="仿宋_GB2312" w:cs="仿宋_GB2312" w:eastAsia="仿宋_GB2312"/>
                <w:sz w:val="21"/>
              </w:rPr>
              <w:t>2025</w:t>
            </w:r>
            <w:r>
              <w:rPr>
                <w:rFonts w:ascii="仿宋_GB2312" w:hAnsi="仿宋_GB2312" w:cs="仿宋_GB2312" w:eastAsia="仿宋_GB2312"/>
                <w:sz w:val="21"/>
              </w:rPr>
              <w:t>）、《陕西省园林绿化工程消耗量定额（</w:t>
            </w:r>
            <w:r>
              <w:rPr>
                <w:rFonts w:ascii="仿宋_GB2312" w:hAnsi="仿宋_GB2312" w:cs="仿宋_GB2312" w:eastAsia="仿宋_GB2312"/>
                <w:sz w:val="21"/>
              </w:rPr>
              <w:t>2025</w:t>
            </w:r>
            <w:r>
              <w:rPr>
                <w:rFonts w:ascii="仿宋_GB2312" w:hAnsi="仿宋_GB2312" w:cs="仿宋_GB2312" w:eastAsia="仿宋_GB2312"/>
                <w:sz w:val="21"/>
              </w:rPr>
              <w:t>）》、《陕西省建设工程施工机械台班费用定额》（</w:t>
            </w:r>
            <w:r>
              <w:rPr>
                <w:rFonts w:ascii="仿宋_GB2312" w:hAnsi="仿宋_GB2312" w:cs="仿宋_GB2312" w:eastAsia="仿宋_GB2312"/>
                <w:sz w:val="21"/>
              </w:rPr>
              <w:t>2025</w:t>
            </w:r>
            <w:r>
              <w:rPr>
                <w:rFonts w:ascii="仿宋_GB2312" w:hAnsi="仿宋_GB2312" w:cs="仿宋_GB2312" w:eastAsia="仿宋_GB2312"/>
                <w:sz w:val="21"/>
              </w:rPr>
              <w:t>）、《陕西省建设工程施工仪器仪表台班费用定额》（</w:t>
            </w:r>
            <w:r>
              <w:rPr>
                <w:rFonts w:ascii="仿宋_GB2312" w:hAnsi="仿宋_GB2312" w:cs="仿宋_GB2312" w:eastAsia="仿宋_GB2312"/>
                <w:sz w:val="21"/>
              </w:rPr>
              <w:t>2025</w:t>
            </w:r>
            <w:r>
              <w:rPr>
                <w:rFonts w:ascii="仿宋_GB2312" w:hAnsi="仿宋_GB2312" w:cs="仿宋_GB2312" w:eastAsia="仿宋_GB2312"/>
                <w:sz w:val="21"/>
              </w:rPr>
              <w:t>）及其他相关文件。</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材料价参考铜川市信息价（</w:t>
            </w:r>
            <w:r>
              <w:rPr>
                <w:rFonts w:ascii="仿宋_GB2312" w:hAnsi="仿宋_GB2312" w:cs="仿宋_GB2312" w:eastAsia="仿宋_GB2312"/>
                <w:sz w:val="21"/>
              </w:rPr>
              <w:t xml:space="preserve">2026 </w:t>
            </w:r>
            <w:r>
              <w:rPr>
                <w:rFonts w:ascii="仿宋_GB2312" w:hAnsi="仿宋_GB2312" w:cs="仿宋_GB2312" w:eastAsia="仿宋_GB2312"/>
                <w:sz w:val="21"/>
              </w:rPr>
              <w:t>年第</w:t>
            </w:r>
            <w:r>
              <w:rPr>
                <w:rFonts w:ascii="仿宋_GB2312" w:hAnsi="仿宋_GB2312" w:cs="仿宋_GB2312" w:eastAsia="仿宋_GB2312"/>
                <w:sz w:val="21"/>
              </w:rPr>
              <w:t>1</w:t>
            </w:r>
            <w:r>
              <w:rPr>
                <w:rFonts w:ascii="仿宋_GB2312" w:hAnsi="仿宋_GB2312" w:cs="仿宋_GB2312" w:eastAsia="仿宋_GB2312"/>
                <w:sz w:val="21"/>
              </w:rPr>
              <w:t>期）。</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其他费用依据陕发改投资【</w:t>
            </w:r>
            <w:r>
              <w:rPr>
                <w:rFonts w:ascii="仿宋_GB2312" w:hAnsi="仿宋_GB2312" w:cs="仿宋_GB2312" w:eastAsia="仿宋_GB2312"/>
                <w:sz w:val="21"/>
              </w:rPr>
              <w:t>2024</w:t>
            </w:r>
            <w:r>
              <w:rPr>
                <w:rFonts w:ascii="仿宋_GB2312" w:hAnsi="仿宋_GB2312" w:cs="仿宋_GB2312" w:eastAsia="仿宋_GB2312"/>
                <w:sz w:val="21"/>
              </w:rPr>
              <w:t>】</w:t>
            </w:r>
            <w:r>
              <w:rPr>
                <w:rFonts w:ascii="仿宋_GB2312" w:hAnsi="仿宋_GB2312" w:cs="仿宋_GB2312" w:eastAsia="仿宋_GB2312"/>
                <w:sz w:val="21"/>
              </w:rPr>
              <w:t>1929</w:t>
            </w:r>
            <w:r>
              <w:rPr>
                <w:rFonts w:ascii="仿宋_GB2312" w:hAnsi="仿宋_GB2312" w:cs="仿宋_GB2312" w:eastAsia="仿宋_GB2312"/>
                <w:sz w:val="21"/>
              </w:rPr>
              <w:t>号文件。</w:t>
            </w:r>
          </w:p>
          <w:p>
            <w:pPr>
              <w:pStyle w:val="null3"/>
              <w:ind w:firstLine="420"/>
              <w:jc w:val="both"/>
            </w:pPr>
            <w:r>
              <w:rPr>
                <w:rFonts w:ascii="仿宋_GB2312" w:hAnsi="仿宋_GB2312" w:cs="仿宋_GB2312" w:eastAsia="仿宋_GB2312"/>
                <w:sz w:val="21"/>
              </w:rPr>
              <w:t>三、其他说明</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本工程养护期为</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为保证苗木成活率，水生植物主材价格按带盆价格计入。</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广联达版本号</w:t>
            </w:r>
            <w:r>
              <w:rPr>
                <w:rFonts w:ascii="仿宋_GB2312" w:hAnsi="仿宋_GB2312" w:cs="仿宋_GB2312" w:eastAsia="仿宋_GB2312"/>
                <w:sz w:val="21"/>
              </w:rPr>
              <w:t>7.5000.23.3</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暂列金：</w:t>
            </w:r>
            <w:r>
              <w:rPr>
                <w:rFonts w:ascii="仿宋_GB2312" w:hAnsi="仿宋_GB2312" w:cs="仿宋_GB2312" w:eastAsia="仿宋_GB2312"/>
                <w:sz w:val="21"/>
              </w:rPr>
              <w:t>100000.00</w:t>
            </w:r>
            <w:r>
              <w:rPr>
                <w:rFonts w:ascii="仿宋_GB2312" w:hAnsi="仿宋_GB2312" w:cs="仿宋_GB2312" w:eastAsia="仿宋_GB2312"/>
                <w:sz w:val="21"/>
              </w:rPr>
              <w:t>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一、施工要求：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、成交人在施工期间应严格遵守国家、省、市有关防火、爆破和施工安全以及文明施工、深夜施工、环卫和城管等规定，建立规章制度和防护措施</w:t>
            </w:r>
            <w:r>
              <w:rPr>
                <w:rFonts w:ascii="仿宋_GB2312" w:hAnsi="仿宋_GB2312" w:cs="仿宋_GB2312" w:eastAsia="仿宋_GB2312"/>
                <w:sz w:val="21"/>
              </w:rPr>
              <w:t xml:space="preserve">, </w:t>
            </w:r>
            <w:r>
              <w:rPr>
                <w:rFonts w:ascii="仿宋_GB2312" w:hAnsi="仿宋_GB2312" w:cs="仿宋_GB2312" w:eastAsia="仿宋_GB2312"/>
                <w:sz w:val="21"/>
              </w:rPr>
              <w:t>应按安全施工的要求，采取严格科学的安全措施，确保施工安全和第三者的安全，确保工程质量和生产安全。否则，由此造成的经济和法律责任均由成交人负责。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、成交人应配合项目建设进度</w:t>
            </w:r>
            <w:r>
              <w:rPr>
                <w:rFonts w:ascii="仿宋_GB2312" w:hAnsi="仿宋_GB2312" w:cs="仿宋_GB2312" w:eastAsia="仿宋_GB2312"/>
                <w:sz w:val="21"/>
              </w:rPr>
              <w:t>,</w:t>
            </w:r>
            <w:r>
              <w:rPr>
                <w:rFonts w:ascii="仿宋_GB2312" w:hAnsi="仿宋_GB2312" w:cs="仿宋_GB2312" w:eastAsia="仿宋_GB2312"/>
                <w:sz w:val="21"/>
              </w:rPr>
              <w:t>向采购人提供施工组织计划、进度计划和施工作业计划，并签订施工安全责任书。</w:t>
            </w:r>
          </w:p>
          <w:p>
            <w:pPr>
              <w:pStyle w:val="null3"/>
              <w:jc w:val="both"/>
            </w:pPr>
            <w:r>
              <w:rPr>
                <w:rFonts w:ascii="仿宋_GB2312" w:hAnsi="仿宋_GB2312" w:cs="仿宋_GB2312" w:eastAsia="仿宋_GB2312"/>
                <w:sz w:val="21"/>
              </w:rPr>
              <w:t xml:space="preserve"> 3</w:t>
            </w:r>
            <w:r>
              <w:rPr>
                <w:rFonts w:ascii="仿宋_GB2312" w:hAnsi="仿宋_GB2312" w:cs="仿宋_GB2312" w:eastAsia="仿宋_GB2312"/>
                <w:sz w:val="21"/>
              </w:rPr>
              <w:t>、在施工期间，原有生态环境尽量不破坏，确需破坏的，要严格制定措施，尽量少破坏，严格按照施工图纸执行。</w:t>
            </w:r>
          </w:p>
          <w:p>
            <w:pPr>
              <w:pStyle w:val="null3"/>
              <w:jc w:val="both"/>
            </w:pPr>
            <w:r>
              <w:rPr>
                <w:rFonts w:ascii="仿宋_GB2312" w:hAnsi="仿宋_GB2312" w:cs="仿宋_GB2312" w:eastAsia="仿宋_GB2312"/>
                <w:sz w:val="21"/>
              </w:rPr>
              <w:t>二、其它要求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本工程的施工过程和成果必须符合国家有关工程建设标准强制性条文和国家或有关部门关于工程施工方面现行的标准、规范、规程、定额、办法、示例，以及陕西省关于工程施工方面的文件、规定。</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供应商在施工过程中使用或参考上述标准、规范以外的技术标准、规范时，应征得采购人的同意。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在施工过程中，如果国家或有关部门颁布了新的技术标准或规范，则承包人应采用新的标准或规范进行施工。</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供应商应先充分了解工地位置、地质情况、进出场道路、拆迁干扰、储存空间、运输能力、装卸限制、行车干扰及任何其它足以影响承包价格的情况，了解设计施工规范、标准以及施工现场实际等情况，并应考虑现有人、材、机市场水平和供应、投标风险、不利的施工因素等，任何因忽视或误解工地情况而导致的索赔或工期延长申请将不获批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供应商所提供的材料如需向第三方外购时，供应商应对质量负责，并提供相应的出厂和验收证明及相关技术文件。同时，还应满足本磋商文件、工程量清单、施工图纸中的相关技术要求。</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质量必须达到国家及行业现行技术规范标准，符合国家及行业施工验收规范合格标准，以及竞争性磋商文件规定的强制性质量和安全标准要求。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应商成交后，磋商响应文件中拟派项目负责人必须与施工时实际委派项目负责人一致，采购人将在签署施工合同前查验项目负责人相关资质、身份材料以及成交供应商为项目负责人缴纳社保的缴费凭据。项目负责人必须履职尽责，全程参与施工、例会、解决施工中的问题。</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本项目如涉及与政府部门（包含且不限于）环保、城管、规划等沟通协调或办理手续，费用及手续办理均由承包人负责，如因沟通协调及办理手续原因造成工期延误或费用增加等由承包人负责。</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施工过程中，供应商应制定详细可行的防污降噪处理措施，减少对周围环境的影响，每天施工结束后对施工现场进行清扫。</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承包人不得将其承包的工程转包给他人，也不得将其承包的工程以分包的名义转包给他人。</w:t>
            </w:r>
          </w:p>
          <w:p>
            <w:pPr>
              <w:pStyle w:val="null3"/>
              <w:jc w:val="both"/>
            </w:pPr>
            <w:r>
              <w:rPr>
                <w:rFonts w:ascii="仿宋_GB2312" w:hAnsi="仿宋_GB2312" w:cs="仿宋_GB2312" w:eastAsia="仿宋_GB2312"/>
                <w:sz w:val="21"/>
              </w:rPr>
              <w:t>三、本工程合同形式为固定综合单价合同。</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本工程计价采用固定综合单价，各供应商依据企业自身情况自主报价、风险自负。所有投标报价中的单价和合价均以人民币表示。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各供应商对分部分项工程费、措施项目费、其他项目费等进行自主报价、风险自负。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招标工程量清单的工程项目仅表达了主要工程做法，报价时各供应商应依据图纸、相关图集，结合图纸、磋商文件、合同条款、技术规范及现场情况进行科学合理组价。投标报价应包括该工程项目的人工费、材料费、机械费、措施费、管理费、利润、风险费及规费、税金等政策性文件规定的所有费用，所投标的综合单价采购人视为是相应清单项在招标范围内的全部内容价格。</w:t>
            </w:r>
          </w:p>
          <w:p>
            <w:pPr>
              <w:pStyle w:val="null3"/>
              <w:jc w:val="both"/>
            </w:pPr>
            <w:r>
              <w:rPr>
                <w:rFonts w:ascii="仿宋_GB2312" w:hAnsi="仿宋_GB2312" w:cs="仿宋_GB2312" w:eastAsia="仿宋_GB2312"/>
                <w:sz w:val="21"/>
              </w:rPr>
              <w:t xml:space="preserve"> 4.</w:t>
            </w:r>
            <w:r>
              <w:rPr>
                <w:rFonts w:ascii="仿宋_GB2312" w:hAnsi="仿宋_GB2312" w:cs="仿宋_GB2312" w:eastAsia="仿宋_GB2312"/>
                <w:sz w:val="21"/>
              </w:rPr>
              <w:t>供应商在投标截止前修改投标函中的投标总报价，应同时修改“已标价工程量清单”中的相应报价。</w:t>
            </w:r>
          </w:p>
          <w:p>
            <w:pPr>
              <w:pStyle w:val="null3"/>
              <w:jc w:val="both"/>
            </w:pPr>
            <w:r>
              <w:rPr>
                <w:rFonts w:ascii="仿宋_GB2312" w:hAnsi="仿宋_GB2312" w:cs="仿宋_GB2312" w:eastAsia="仿宋_GB2312"/>
                <w:sz w:val="21"/>
              </w:rPr>
              <w:t>四、本项目付款方式（由于系统设置原因，本项目付款方式以此为准）</w:t>
            </w:r>
          </w:p>
          <w:p>
            <w:pPr>
              <w:pStyle w:val="null3"/>
              <w:jc w:val="both"/>
            </w:pPr>
            <w:r>
              <w:rPr>
                <w:rFonts w:ascii="仿宋_GB2312" w:hAnsi="仿宋_GB2312" w:cs="仿宋_GB2312" w:eastAsia="仿宋_GB2312"/>
                <w:sz w:val="21"/>
              </w:rPr>
              <w:t>预付款：合同签订后，预付总价款的</w:t>
            </w:r>
            <w:r>
              <w:rPr>
                <w:rFonts w:ascii="仿宋_GB2312" w:hAnsi="仿宋_GB2312" w:cs="仿宋_GB2312" w:eastAsia="仿宋_GB2312"/>
                <w:sz w:val="21"/>
              </w:rPr>
              <w:t>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进度款：本工程按月支付工程进度款。承包人每月</w:t>
            </w:r>
            <w:r>
              <w:rPr>
                <w:rFonts w:ascii="仿宋_GB2312" w:hAnsi="仿宋_GB2312" w:cs="仿宋_GB2312" w:eastAsia="仿宋_GB2312"/>
                <w:sz w:val="21"/>
              </w:rPr>
              <w:t>25</w:t>
            </w:r>
            <w:r>
              <w:rPr>
                <w:rFonts w:ascii="仿宋_GB2312" w:hAnsi="仿宋_GB2312" w:cs="仿宋_GB2312" w:eastAsia="仿宋_GB2312"/>
                <w:sz w:val="21"/>
              </w:rPr>
              <w:t>日前向监理人及发包人提交已完工程量报告，监理人在</w:t>
            </w:r>
            <w:r>
              <w:rPr>
                <w:rFonts w:ascii="仿宋_GB2312" w:hAnsi="仿宋_GB2312" w:cs="仿宋_GB2312" w:eastAsia="仿宋_GB2312"/>
                <w:sz w:val="21"/>
              </w:rPr>
              <w:t>7</w:t>
            </w:r>
            <w:r>
              <w:rPr>
                <w:rFonts w:ascii="仿宋_GB2312" w:hAnsi="仿宋_GB2312" w:cs="仿宋_GB2312" w:eastAsia="仿宋_GB2312"/>
                <w:sz w:val="21"/>
              </w:rPr>
              <w:t>天内完成审核，发包人在</w:t>
            </w:r>
            <w:r>
              <w:rPr>
                <w:rFonts w:ascii="仿宋_GB2312" w:hAnsi="仿宋_GB2312" w:cs="仿宋_GB2312" w:eastAsia="仿宋_GB2312"/>
                <w:sz w:val="21"/>
              </w:rPr>
              <w:t>7</w:t>
            </w:r>
            <w:r>
              <w:rPr>
                <w:rFonts w:ascii="仿宋_GB2312" w:hAnsi="仿宋_GB2312" w:cs="仿宋_GB2312" w:eastAsia="仿宋_GB2312"/>
                <w:sz w:val="21"/>
              </w:rPr>
              <w:t>天内完成审批，审批通过后</w:t>
            </w:r>
            <w:r>
              <w:rPr>
                <w:rFonts w:ascii="仿宋_GB2312" w:hAnsi="仿宋_GB2312" w:cs="仿宋_GB2312" w:eastAsia="仿宋_GB2312"/>
                <w:sz w:val="21"/>
              </w:rPr>
              <w:t>14</w:t>
            </w:r>
            <w:r>
              <w:rPr>
                <w:rFonts w:ascii="仿宋_GB2312" w:hAnsi="仿宋_GB2312" w:cs="仿宋_GB2312" w:eastAsia="仿宋_GB2312"/>
                <w:sz w:val="21"/>
              </w:rPr>
              <w:t>天内支付至已完合格工程量价款的</w:t>
            </w:r>
            <w:r>
              <w:rPr>
                <w:rFonts w:ascii="仿宋_GB2312" w:hAnsi="仿宋_GB2312" w:cs="仿宋_GB2312" w:eastAsia="仿宋_GB2312"/>
                <w:sz w:val="21"/>
              </w:rPr>
              <w:t>80%</w:t>
            </w:r>
            <w:r>
              <w:rPr>
                <w:rFonts w:ascii="仿宋_GB2312" w:hAnsi="仿宋_GB2312" w:cs="仿宋_GB2312" w:eastAsia="仿宋_GB2312"/>
                <w:sz w:val="21"/>
              </w:rPr>
              <w:t>，总金额最多付至合同价的</w:t>
            </w:r>
            <w:r>
              <w:rPr>
                <w:rFonts w:ascii="仿宋_GB2312" w:hAnsi="仿宋_GB2312" w:cs="仿宋_GB2312" w:eastAsia="仿宋_GB2312"/>
                <w:sz w:val="21"/>
              </w:rPr>
              <w:t>80%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工程竣工验收合格且竣工结算审核完成后</w:t>
            </w:r>
            <w:r>
              <w:rPr>
                <w:rFonts w:ascii="仿宋_GB2312" w:hAnsi="仿宋_GB2312" w:cs="仿宋_GB2312" w:eastAsia="仿宋_GB2312"/>
                <w:sz w:val="21"/>
              </w:rPr>
              <w:t>14</w:t>
            </w:r>
            <w:r>
              <w:rPr>
                <w:rFonts w:ascii="仿宋_GB2312" w:hAnsi="仿宋_GB2312" w:cs="仿宋_GB2312" w:eastAsia="仿宋_GB2312"/>
                <w:sz w:val="21"/>
              </w:rPr>
              <w:t>天内，发包人支付至工程结算总价款的</w:t>
            </w:r>
            <w:r>
              <w:rPr>
                <w:rFonts w:ascii="仿宋_GB2312" w:hAnsi="仿宋_GB2312" w:cs="仿宋_GB2312" w:eastAsia="仿宋_GB2312"/>
                <w:sz w:val="21"/>
              </w:rPr>
              <w:t>97%</w:t>
            </w:r>
            <w:r>
              <w:rPr>
                <w:rFonts w:ascii="仿宋_GB2312" w:hAnsi="仿宋_GB2312" w:cs="仿宋_GB2312" w:eastAsia="仿宋_GB2312"/>
                <w:sz w:val="21"/>
              </w:rPr>
              <w:t>。剩余</w:t>
            </w:r>
            <w:r>
              <w:rPr>
                <w:rFonts w:ascii="仿宋_GB2312" w:hAnsi="仿宋_GB2312" w:cs="仿宋_GB2312" w:eastAsia="仿宋_GB2312"/>
                <w:sz w:val="21"/>
              </w:rPr>
              <w:t>3%</w:t>
            </w:r>
            <w:r>
              <w:rPr>
                <w:rFonts w:ascii="仿宋_GB2312" w:hAnsi="仿宋_GB2312" w:cs="仿宋_GB2312" w:eastAsia="仿宋_GB2312"/>
                <w:sz w:val="21"/>
              </w:rPr>
              <w:t>缺陷责任期满，且无质量责任争议后</w:t>
            </w:r>
            <w:r>
              <w:rPr>
                <w:rFonts w:ascii="仿宋_GB2312" w:hAnsi="仿宋_GB2312" w:cs="仿宋_GB2312" w:eastAsia="仿宋_GB2312"/>
                <w:sz w:val="21"/>
              </w:rPr>
              <w:t>14</w:t>
            </w:r>
            <w:r>
              <w:rPr>
                <w:rFonts w:ascii="仿宋_GB2312" w:hAnsi="仿宋_GB2312" w:cs="仿宋_GB2312" w:eastAsia="仿宋_GB2312"/>
                <w:sz w:val="21"/>
              </w:rPr>
              <w:t>天内，发包人将剩余款项无息返还承包人。</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符合国家施⼯验收规范合格标准及采购⼈要求；（⼆）验收⽅法：（1）在竣⼯后，成交供应商应向采购⼈提交⼯程竣⼯报告，申请⼯程竣⼯验收，并将施⼯过程中相关资料提交采购⼈。（2）采购⼈收到⼯程竣⼯报告后，对符合竣⼯验收要求的⼯程，组织相关单位组成验收组共同验收，签署⼯程竣⼯验收意⻅。（3）验收合格后，采购⼈出具《⼯程竣⼯验收报告》，并在相关主管部⻔备案。（4）验收不合格的中标单位，必须在接到通知后7个⽇历⽇内确保⼯程通过验收。如接到通知后7个⽇历⽇内验收仍不合格，采购⼈可提出索赔或取消其施⼯合同。（三）验收依据：（1）合同⽂本及合同补充⽂件条款（2）磋商⽂件。（3）响应⽂件。（4）⼯程量清单。（5）施⼯质量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质量保修期：⾃⼯程竣⼯验收合格之⽇起1年。若供应商承诺质保期限超过磋商⽂件要求，按其承诺执⾏。保修范围：承包⼈在质量保修期内，按照有关法律规定和合同约定，承担⼯程质量保修责任。（二）商务要求：1.工期：⾃合同签定之⽇起90⽇历天；2.地址：铜川市新区；3.质量标准：符合国家现行验收规范“合格”标准；4.付款方式：①预付款：合同签订后，预付总价款的30%。②进度款：本⼯程按⽉⽀付⼯程进度款。承包⼈每⽉25⽇前向监理⼈及发包⼈提交已完⼯程量报告，监理⼈在7天内完成审核，发包⼈在7天内完成审批，审批通过后14天内⽀付⾄已完合格⼯程量价款的80%，总⾦额最多付⾄合同价的80%。③⼯程竣⼯验收合格且竣⼯结算审核完成后14天内，发包⼈⽀付⾄⼯程结算总价款的97%。④剩余3%缺陷责任期满，且⽆质量责任争议后14天内，发包⼈将剩余款项⽆息返还承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投标供应商应为满足要求的中型、小型或微型企业或监狱企业或残疾人福利性单位。中小微企业参加政府采购活动，应当出具《政府采购促进中小企业发展管理办法》（财库【2020】46号）规定的《中小企业声明函》，否则不得享受相关中小企业扶持政策。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未提供或出具证明文件的单位不符合要求的，不视为小型、微型企业。不享受相关中小企业扶持政策。《财政部、民政部、中国残疾人联合会关于促进残疾人就业政府采购政策的通知》（财库〔2017〕141号）规定，在政府采购活动中，残疾人福利性单位视同小型、微型企业，享受预留份额、评审中价格扣除等促进中小企业发展的政府采购政策。残疾人福利性单位属于小型、微型企业的，不重复享受政策。符合条件的残疾人福利性单位在参加政府采购活动时，应当提供《财政部 民政部中国残疾人联合会关于促进残疾人就业政府采购政策的通知》规定的《残疾人福利性单位声明函》，并对声明的真实性负责，未提供的不视为残疾人福利性单位，不视为小微企业，不享受相关中小企业扶持政策。各供应商应按实际情况慎重正确填写，对相关声明函的真实性负责，如有虚假需承担相关法律责任。 2.其他落实的政府采购政策:（1）《政府采购促进中小企业发展管理办法》（财库〔2020〕46号）；（2）财政部 司法部关于政府采购支持监狱企业发展有关问题的通知--财库〔2014〕68 号；（3）《国务院办公厅关于建立政府强制采购节能产品制度的通知》--国办发〔2007〕51号；(4)《节能产品政府采购实 施意见》--（财库[2004]185号）；(5)《环境标志产品政府采购实施的意见》--财库[2006]90号；(6)《财政部民政部中国残疾人联合会关于促进残疾人就业政府采购政策的通知》--财库[2017]141号；(7)《关于调整优化节能产品、环境标志产品政府采购执行机制的通知》（财库[2019]9号）；(8)《财政部农业农村部国家乡村振兴局关于运用政府采购政策支持乡村产业振兴的通知》（财库〔2021〕19号）；（9）陕西省财政厅关于印发《陕西省中小企业政府采购信用融资办法》（陕财办采〔2018〕23号）；（10）《陕西省财政厅关于加快推进我省中小企业政府采购信用融资工作的通知》（陕财办采〔2020〕15号）；（11）《关于进一步加大政府采购支持中小企业力度的通知》（财库〔2022〕19号）；（12）陕西省财政厅等三部门转发财政部、住房城乡建设部、工业和信息化部关于扩大政府采购绿色建材促进建筑品质提升政策实施范围的通知（陕财办采〔2022〕10号）；(13)其他需要落实的政府采购政策。 (如有最新颁布的政府采购政策，按最新的文件执行。如享受相关政策，需提供相关证明材料）。 3.企业规模划分标准按《工业和信息化部、国家统计局、国家发展和改革委员会、财政部关于印发&lt;中小企业划型标准规定&gt;的通知》（工信部联企业【2011】300 号）文件规定标准确认）。本项目所属行业为建筑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4.纸质响应⽂件要求：（1）成交供应商应在成交结果公告发布后5个⼯作⽇内提供纸质响应⽂件三份（正本壹份、副本贰份，分别胶装，制作书脊，书脊处写明项目名称），应通过专⽤制作软件直接打印，确保与电⼦响应⽂件保持⼀致，不允许修改和补充。纸质响应⽂件递交地址：铜川市王益区红旗街正⼤国际新城C座502室。（3）成交供应商应保持响应⽂件纸质版内容与交易系统上传电⼦版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审计报告应当经过注册会计师行业统一监管平台备案赋码，成立时间至提交响应文件截止时间不足一年的可提供成立后任意时段的资产负债表），或其开标前三个月内基本开户银行出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法定代表人⾝份证明或法定代表人授权委托书</w:t>
            </w:r>
          </w:p>
        </w:tc>
        <w:tc>
          <w:tcPr>
            <w:tcW w:type="dxa" w:w="3322"/>
          </w:tcPr>
          <w:p>
            <w:pPr>
              <w:pStyle w:val="null3"/>
            </w:pPr>
            <w:r>
              <w:rPr>
                <w:rFonts w:ascii="仿宋_GB2312" w:hAnsi="仿宋_GB2312" w:cs="仿宋_GB2312" w:eastAsia="仿宋_GB2312"/>
              </w:rPr>
              <w:t>法定代表人授权书（附法定代表人及被授权人身份证复印件）（如法定代表人直接投标只须提交法定代表人身份证明并附身份证复印件）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拟派项⽬负责⼈具备园林绿化相关专业中级及以上工程师资格,且为本单位⼈员，未担任其他在建⼯程项⽬的项⽬负责⼈；（提供职称证书、社保缴纳证明、⽆在建承诺书。）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审计报告应当经过注册会计师行业统一监管平台备案赋码，成立时间至提交响应文件截止时间不足一年的可提供成立后任意时段的资产负债表），或其开标前三个月内基本开户银行出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提供2025年09⽉01⽇⾄今任意⼀个⽉的缴纳税收的证明材料(依法免税的单位应提供相关证明材料)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提供2025年09⽉01⽇⾄今任意⼀个⽉的依法缴纳社会保障资⾦的证明材料（依法不需要缴纳社会保障资⾦的单位应提供相关证明材料）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供应商不得为“信⽤中国”⽹站（www.creditchina.gov.cn）中列⼊失信被执⾏⼈或重⼤ 税收违法案件当事⼈名单的供应商，不得为中国政府采购⽹（www.ccgp.gov.cn）政府采购严 重违法失信⾏为记录名单中被财政部⻔禁⽌参加政府采购活动的供应商；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提供非联合体承诺；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3.供应商通过项目电子化交易系统在磋商小组要求的合理时间内提交说明，否则无效。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响应性评审</w:t>
            </w:r>
          </w:p>
        </w:tc>
        <w:tc>
          <w:tcPr>
            <w:tcW w:type="dxa" w:w="3322"/>
          </w:tcPr>
          <w:p>
            <w:pPr>
              <w:pStyle w:val="null3"/>
            </w:pPr>
            <w:r>
              <w:rPr>
                <w:rFonts w:ascii="仿宋_GB2312" w:hAnsi="仿宋_GB2312" w:cs="仿宋_GB2312" w:eastAsia="仿宋_GB2312"/>
              </w:rPr>
              <w:t>（1） 响应文件的签署及格式：磋商文件要求必须响应的 内容齐全，有格式要求的应符合格式要求；要求签字或盖章的，按文件规定签字或盖章齐全；（2）报价唯一：只能有一个有效报价，不得提交选择性报价，且报价不超过采购 预算和最高限价。（3） 磋商文件响应的响应程度：要求全面响应，不能有任何采购人不能接受的附加条件；（4）拟提供技术和服务：应满足磋商文件提出的技术和服务要求。（5）磋商有效期：应满足磋商文件中的规定；（6）工期和工程质量：应满足磋商文件中的规定；（7）法律法规规定的其他投标无效的情形。</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拒绝商业贿赂承诺书.docx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项⽬实施⽅案</w:t>
            </w:r>
          </w:p>
        </w:tc>
        <w:tc>
          <w:tcPr>
            <w:tcW w:type="dxa" w:w="2492"/>
          </w:tcPr>
          <w:p>
            <w:pPr>
              <w:pStyle w:val="null3"/>
            </w:pPr>
            <w:r>
              <w:rPr>
                <w:rFonts w:ascii="仿宋_GB2312" w:hAnsi="仿宋_GB2312" w:cs="仿宋_GB2312" w:eastAsia="仿宋_GB2312"/>
              </w:rPr>
              <w:t>⼀、评审内容：供应商针对本项⽬实际需求提供实施⽅案，内容包含①⽴地条件分析；②苗⽊选型与整地⽅案；③种苗运输及现场保管措施；④⽔肥配套实施⽅案。⼆、评审标准：以上内容详细全⾯，对本项⽬了解透彻，切合本项⽬实际情况，⽅案全⾯、清晰、合理，⽅案能够紧扣项⽬实际情况，内容科学合理得满分12分。评审内容每缺⼀项扣3分。每项内容存在⼀个缺陷扣0.3分，扣完为⽌。（缺陷是指：内容粗略不够全⾯、不够合理、可⾏性不⾜或缺少关键点；⾮专⻔针对本项⽬或不适⽤本项⽬ 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供应商针对本项⽬实际需求提供⼯程质量保障措施，内容包含①种苗质量保证措施；②施⼯过程质量保证措施；③苗⽊成活率保障措施；④后期补植保障措施。⼆、评审标准：以上内容详细全⾯，对本项⽬了解透彻，切合本项⽬实际情况，⽅案全⾯、清晰、合理，⽅案能够紧扣项⽬实际情况，内容科学合理得满分12分。评审内容每缺⼀项扣3分。每项内容存在⼀个缺陷扣0.3分，扣完为⽌。（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评审内容：供应商针对本项⽬实际需求提供确保⼯期的技术组织措施，内容包含①⼯期计划；②关键节点⼯期分析；③延误⼯期补救措施。⼆、评审标准：以上内容详细全⾯，对本项⽬了解透彻，切合本项⽬实际情况，⽅案全⾯、清晰、合理，⽅案能够紧扣项⽬实际情况，内容科学合理得满分9分。评审内容每缺⼀项扣3分。每项内容存在⼀个缺陷扣0.3分，扣完为⽌。（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供应商针对本项⽬实际需求提供安全保障措施，内容包含①安全⽣产管理体系及岗位职责；②施⼯现场安全防护措施；⼆、评审标准：以上内容详细全⾯，对本项⽬了解透彻，切合本项⽬实际情况，⽅案全⾯、清晰、合理，⽅案能够紧扣项⽬实际情况，内容科学合理得满分4分。评审内容每缺⼀项扣2分。每项内容存在⼀个缺陷扣0.2分，扣完为⽌。（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后期管护措施</w:t>
            </w:r>
          </w:p>
        </w:tc>
        <w:tc>
          <w:tcPr>
            <w:tcW w:type="dxa" w:w="2492"/>
          </w:tcPr>
          <w:p>
            <w:pPr>
              <w:pStyle w:val="null3"/>
            </w:pPr>
            <w:r>
              <w:rPr>
                <w:rFonts w:ascii="仿宋_GB2312" w:hAnsi="仿宋_GB2312" w:cs="仿宋_GB2312" w:eastAsia="仿宋_GB2312"/>
              </w:rPr>
              <w:t>⼀、评审内容：供应商针对本项⽬实际需求提供后期管护措施，内容包含①对落实后期管护责任做出承诺②对后期管护内容、频次做出承诺③管护保障措施。⼆、评审标准：以上内容详细全⾯，对本项⽬了解透彻，切合本项⽬实际情况，⽅案全⾯、清晰、合理，⽅案能够紧扣项⽬实际情况，内容科学合理得满分6分。评审内容每缺⼀项扣2分。每项内容存在⼀个缺陷扣0.2分，扣完为⽌。（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应急处置⽅案</w:t>
            </w:r>
          </w:p>
        </w:tc>
        <w:tc>
          <w:tcPr>
            <w:tcW w:type="dxa" w:w="2492"/>
          </w:tcPr>
          <w:p>
            <w:pPr>
              <w:pStyle w:val="null3"/>
            </w:pPr>
            <w:r>
              <w:rPr>
                <w:rFonts w:ascii="仿宋_GB2312" w:hAnsi="仿宋_GB2312" w:cs="仿宋_GB2312" w:eastAsia="仿宋_GB2312"/>
              </w:rPr>
              <w:t>⼀、评审内容：供应商针对本项⽬实际需求提供应急处置方案，内容包含①应急保障体系②各类突发情况应对措施③备⽤资源配置及应急响应流程。⼆、评审标准：以上内容详细全⾯，对本项⽬了解透彻，切合本项⽬实际情况，⽅案全⾯、清晰、合理，⽅案能够紧扣项⽬实际情况，内容科学合理得满分6分。评审内容每缺⼀项扣2分。每项内容存在⼀个缺陷扣0.2分，扣完为⽌。（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养护期</w:t>
            </w:r>
          </w:p>
        </w:tc>
        <w:tc>
          <w:tcPr>
            <w:tcW w:type="dxa" w:w="2492"/>
          </w:tcPr>
          <w:p>
            <w:pPr>
              <w:pStyle w:val="null3"/>
            </w:pPr>
            <w:r>
              <w:rPr>
                <w:rFonts w:ascii="仿宋_GB2312" w:hAnsi="仿宋_GB2312" w:cs="仿宋_GB2312" w:eastAsia="仿宋_GB2312"/>
              </w:rPr>
              <w:t>在满⾜磋商⽂件的基础上，每增加1年养护期得2分，最⾼得4分。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项⽬团队配置</w:t>
            </w:r>
          </w:p>
        </w:tc>
        <w:tc>
          <w:tcPr>
            <w:tcW w:type="dxa" w:w="2492"/>
          </w:tcPr>
          <w:p>
            <w:pPr>
              <w:pStyle w:val="null3"/>
            </w:pPr>
            <w:r>
              <w:rPr>
                <w:rFonts w:ascii="仿宋_GB2312" w:hAnsi="仿宋_GB2312" w:cs="仿宋_GB2312" w:eastAsia="仿宋_GB2312"/>
              </w:rPr>
              <w:t>1）技术负责人具有园林或市政相关专业中级职称得1分；具备园林或市政相关专业高级职称得3分； 2）配套专职管理人员（5分） 配齐安全员C证、施工员、质量员、资料员、材料员持证上岗得5分；缺失任一岗位扣1分，扣完为止；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类似项⽬业绩</w:t>
            </w:r>
          </w:p>
        </w:tc>
        <w:tc>
          <w:tcPr>
            <w:tcW w:type="dxa" w:w="2492"/>
          </w:tcPr>
          <w:p>
            <w:pPr>
              <w:pStyle w:val="null3"/>
            </w:pPr>
            <w:r>
              <w:rPr>
                <w:rFonts w:ascii="仿宋_GB2312" w:hAnsi="仿宋_GB2312" w:cs="仿宋_GB2312" w:eastAsia="仿宋_GB2312"/>
              </w:rPr>
              <w:t>提供2023年9⽉1⽇⾄今已完成的类似项⽬业绩，每提供⼀项有效业绩得3分，满分9分。注:业绩需提供中标通知书或施⼯合同的复印件或扫描件加盖供应商公章，时间以中标通知书或合同签订时间为准。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即实质性满⾜磋商⽂件要求且最终磋商报价最低的为磋商基准价，其价格分为满分30分。其他供应商的价格分按照下列公式计算：磋商报价得分=(磋商基准价/磋商报价)×30。计算分数时四舍五⼊取⼩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详见附件：绿化提升改造工程施工合同(2).docx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