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D20973">
      <w:pPr>
        <w:jc w:val="center"/>
        <w:rPr>
          <w:rFonts w:hint="eastAsia" w:eastAsiaTheme="minorEastAsia"/>
          <w:b w:val="0"/>
          <w:bCs w:val="0"/>
          <w:sz w:val="32"/>
          <w:szCs w:val="40"/>
          <w:lang w:val="en-US" w:eastAsia="zh-CN"/>
        </w:rPr>
      </w:pPr>
      <w:r>
        <w:rPr>
          <w:rFonts w:hint="eastAsia"/>
          <w:b w:val="0"/>
          <w:bCs w:val="0"/>
          <w:sz w:val="32"/>
          <w:szCs w:val="40"/>
          <w:lang w:val="en-US" w:eastAsia="zh-CN"/>
        </w:rPr>
        <w:t>采购需求</w:t>
      </w:r>
    </w:p>
    <w:tbl>
      <w:tblPr>
        <w:tblStyle w:val="2"/>
        <w:tblW w:w="9430" w:type="dxa"/>
        <w:tblInd w:w="229" w:type="dxa"/>
        <w:tblLayout w:type="autofit"/>
        <w:tblCellMar>
          <w:top w:w="0" w:type="dxa"/>
          <w:left w:w="108" w:type="dxa"/>
          <w:bottom w:w="0" w:type="dxa"/>
          <w:right w:w="108" w:type="dxa"/>
        </w:tblCellMar>
      </w:tblPr>
      <w:tblGrid>
        <w:gridCol w:w="606"/>
        <w:gridCol w:w="898"/>
        <w:gridCol w:w="6712"/>
        <w:gridCol w:w="607"/>
        <w:gridCol w:w="607"/>
      </w:tblGrid>
      <w:tr w14:paraId="7F36AAA7">
        <w:tblPrEx>
          <w:tblCellMar>
            <w:top w:w="0" w:type="dxa"/>
            <w:left w:w="108" w:type="dxa"/>
            <w:bottom w:w="0" w:type="dxa"/>
            <w:right w:w="108" w:type="dxa"/>
          </w:tblCellMar>
        </w:tblPrEx>
        <w:trPr>
          <w:trHeight w:val="528" w:hRule="atLeast"/>
        </w:trPr>
        <w:tc>
          <w:tcPr>
            <w:tcW w:w="220" w:type="pct"/>
            <w:tcBorders>
              <w:top w:val="single" w:color="auto" w:sz="4" w:space="0"/>
              <w:left w:val="single" w:color="auto" w:sz="4" w:space="0"/>
              <w:bottom w:val="single" w:color="auto" w:sz="4" w:space="0"/>
              <w:right w:val="single" w:color="auto" w:sz="4" w:space="0"/>
            </w:tcBorders>
            <w:vAlign w:val="center"/>
          </w:tcPr>
          <w:p w14:paraId="50D01DF4">
            <w:pPr>
              <w:pStyle w:val="4"/>
              <w:rPr>
                <w:rFonts w:ascii="仿宋_GB2312" w:hAnsi="仿宋_GB2312" w:eastAsia="仿宋_GB2312" w:cs="仿宋_GB2312"/>
                <w:b w:val="0"/>
                <w:bCs w:val="0"/>
                <w:color w:val="auto"/>
                <w:kern w:val="0"/>
                <w:sz w:val="20"/>
                <w:szCs w:val="20"/>
                <w:highlight w:val="none"/>
                <w:lang w:eastAsia="zh-CN"/>
              </w:rPr>
            </w:pPr>
            <w:r>
              <w:rPr>
                <w:rFonts w:hint="eastAsia" w:ascii="仿宋_GB2312" w:hAnsi="仿宋_GB2312" w:eastAsia="仿宋_GB2312" w:cs="仿宋_GB2312"/>
                <w:b w:val="0"/>
                <w:bCs w:val="0"/>
                <w:color w:val="auto"/>
                <w:kern w:val="0"/>
                <w:sz w:val="20"/>
                <w:szCs w:val="20"/>
                <w:highlight w:val="none"/>
                <w:lang w:eastAsia="zh-CN"/>
              </w:rPr>
              <w:t>序号</w:t>
            </w:r>
          </w:p>
        </w:tc>
        <w:tc>
          <w:tcPr>
            <w:tcW w:w="326" w:type="pct"/>
            <w:tcBorders>
              <w:top w:val="single" w:color="auto" w:sz="4" w:space="0"/>
              <w:left w:val="nil"/>
              <w:bottom w:val="single" w:color="auto" w:sz="4" w:space="0"/>
              <w:right w:val="single" w:color="auto" w:sz="4" w:space="0"/>
            </w:tcBorders>
            <w:vAlign w:val="center"/>
          </w:tcPr>
          <w:p w14:paraId="52761C10">
            <w:pPr>
              <w:pStyle w:val="4"/>
              <w:rPr>
                <w:rFonts w:ascii="仿宋_GB2312" w:hAnsi="仿宋_GB2312" w:eastAsia="仿宋_GB2312" w:cs="仿宋_GB2312"/>
                <w:b w:val="0"/>
                <w:bCs w:val="0"/>
                <w:color w:val="auto"/>
                <w:kern w:val="0"/>
                <w:sz w:val="20"/>
                <w:szCs w:val="20"/>
                <w:highlight w:val="none"/>
                <w:lang w:eastAsia="zh-CN"/>
              </w:rPr>
            </w:pPr>
            <w:r>
              <w:rPr>
                <w:rFonts w:hint="eastAsia" w:ascii="仿宋_GB2312" w:hAnsi="仿宋_GB2312" w:eastAsia="仿宋_GB2312" w:cs="仿宋_GB2312"/>
                <w:b w:val="0"/>
                <w:bCs w:val="0"/>
                <w:color w:val="auto"/>
                <w:kern w:val="0"/>
                <w:sz w:val="20"/>
                <w:szCs w:val="20"/>
                <w:highlight w:val="none"/>
                <w:lang w:eastAsia="zh-CN"/>
              </w:rPr>
              <w:t>采购品目</w:t>
            </w:r>
          </w:p>
        </w:tc>
        <w:tc>
          <w:tcPr>
            <w:tcW w:w="2434" w:type="pct"/>
            <w:tcBorders>
              <w:top w:val="single" w:color="auto" w:sz="4" w:space="0"/>
              <w:left w:val="nil"/>
              <w:bottom w:val="single" w:color="auto" w:sz="4" w:space="0"/>
              <w:right w:val="single" w:color="auto" w:sz="4" w:space="0"/>
            </w:tcBorders>
            <w:vAlign w:val="center"/>
          </w:tcPr>
          <w:p w14:paraId="6CA89C4C">
            <w:pPr>
              <w:pStyle w:val="4"/>
              <w:rPr>
                <w:rFonts w:ascii="仿宋_GB2312" w:hAnsi="仿宋_GB2312" w:eastAsia="仿宋_GB2312" w:cs="仿宋_GB2312"/>
                <w:b w:val="0"/>
                <w:bCs w:val="0"/>
                <w:color w:val="auto"/>
                <w:kern w:val="0"/>
                <w:sz w:val="20"/>
                <w:szCs w:val="20"/>
                <w:highlight w:val="none"/>
                <w:lang w:eastAsia="zh-CN"/>
              </w:rPr>
            </w:pPr>
            <w:r>
              <w:rPr>
                <w:rFonts w:hint="eastAsia" w:ascii="仿宋_GB2312" w:hAnsi="仿宋_GB2312" w:eastAsia="仿宋_GB2312" w:cs="仿宋_GB2312"/>
                <w:b w:val="0"/>
                <w:bCs w:val="0"/>
                <w:color w:val="auto"/>
                <w:kern w:val="0"/>
                <w:sz w:val="20"/>
                <w:szCs w:val="20"/>
                <w:highlight w:val="none"/>
                <w:lang w:eastAsia="zh-CN"/>
              </w:rPr>
              <w:t>产品规格</w:t>
            </w:r>
          </w:p>
        </w:tc>
        <w:tc>
          <w:tcPr>
            <w:tcW w:w="220" w:type="pct"/>
            <w:tcBorders>
              <w:top w:val="single" w:color="auto" w:sz="4" w:space="0"/>
              <w:left w:val="nil"/>
              <w:bottom w:val="single" w:color="auto" w:sz="4" w:space="0"/>
              <w:right w:val="single" w:color="auto" w:sz="4" w:space="0"/>
            </w:tcBorders>
            <w:vAlign w:val="center"/>
          </w:tcPr>
          <w:p w14:paraId="22278F79">
            <w:pPr>
              <w:pStyle w:val="4"/>
              <w:rPr>
                <w:rFonts w:ascii="仿宋_GB2312" w:hAnsi="仿宋_GB2312" w:eastAsia="仿宋_GB2312" w:cs="仿宋_GB2312"/>
                <w:b w:val="0"/>
                <w:bCs w:val="0"/>
                <w:color w:val="auto"/>
                <w:kern w:val="0"/>
                <w:sz w:val="20"/>
                <w:szCs w:val="20"/>
                <w:highlight w:val="none"/>
                <w:lang w:eastAsia="zh-CN"/>
              </w:rPr>
            </w:pPr>
            <w:r>
              <w:rPr>
                <w:rFonts w:hint="eastAsia" w:ascii="仿宋_GB2312" w:hAnsi="仿宋_GB2312" w:eastAsia="仿宋_GB2312" w:cs="仿宋_GB2312"/>
                <w:b w:val="0"/>
                <w:bCs w:val="0"/>
                <w:color w:val="auto"/>
                <w:kern w:val="0"/>
                <w:sz w:val="20"/>
                <w:szCs w:val="20"/>
                <w:highlight w:val="none"/>
                <w:lang w:eastAsia="zh-CN"/>
              </w:rPr>
              <w:t>数量</w:t>
            </w:r>
          </w:p>
        </w:tc>
        <w:tc>
          <w:tcPr>
            <w:tcW w:w="220" w:type="pct"/>
            <w:tcBorders>
              <w:top w:val="single" w:color="auto" w:sz="4" w:space="0"/>
              <w:left w:val="nil"/>
              <w:bottom w:val="single" w:color="auto" w:sz="4" w:space="0"/>
              <w:right w:val="single" w:color="auto" w:sz="4" w:space="0"/>
            </w:tcBorders>
            <w:vAlign w:val="center"/>
          </w:tcPr>
          <w:p w14:paraId="0F54A5C9">
            <w:pPr>
              <w:pStyle w:val="4"/>
              <w:rPr>
                <w:rFonts w:ascii="仿宋_GB2312" w:hAnsi="仿宋_GB2312" w:eastAsia="仿宋_GB2312" w:cs="仿宋_GB2312"/>
                <w:b w:val="0"/>
                <w:bCs w:val="0"/>
                <w:color w:val="auto"/>
                <w:kern w:val="0"/>
                <w:sz w:val="20"/>
                <w:szCs w:val="20"/>
                <w:highlight w:val="none"/>
                <w:lang w:eastAsia="zh-CN"/>
              </w:rPr>
            </w:pPr>
            <w:r>
              <w:rPr>
                <w:rFonts w:hint="eastAsia" w:ascii="仿宋_GB2312" w:hAnsi="仿宋_GB2312" w:eastAsia="仿宋_GB2312" w:cs="仿宋_GB2312"/>
                <w:b w:val="0"/>
                <w:bCs w:val="0"/>
                <w:color w:val="auto"/>
                <w:kern w:val="0"/>
                <w:sz w:val="20"/>
                <w:szCs w:val="20"/>
                <w:highlight w:val="none"/>
                <w:lang w:eastAsia="zh-CN"/>
              </w:rPr>
              <w:t>单位</w:t>
            </w:r>
          </w:p>
        </w:tc>
      </w:tr>
      <w:tr w14:paraId="2E513819">
        <w:tblPrEx>
          <w:tblCellMar>
            <w:top w:w="0" w:type="dxa"/>
            <w:left w:w="108" w:type="dxa"/>
            <w:bottom w:w="0" w:type="dxa"/>
            <w:right w:w="108" w:type="dxa"/>
          </w:tblCellMar>
        </w:tblPrEx>
        <w:trPr>
          <w:trHeight w:val="986" w:hRule="atLeast"/>
        </w:trPr>
        <w:tc>
          <w:tcPr>
            <w:tcW w:w="220" w:type="pct"/>
            <w:tcBorders>
              <w:top w:val="nil"/>
              <w:left w:val="single" w:color="auto" w:sz="4" w:space="0"/>
              <w:bottom w:val="single" w:color="auto" w:sz="4" w:space="0"/>
              <w:right w:val="single" w:color="auto" w:sz="4" w:space="0"/>
            </w:tcBorders>
            <w:vAlign w:val="center"/>
          </w:tcPr>
          <w:p w14:paraId="42890451">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1</w:t>
            </w:r>
          </w:p>
        </w:tc>
        <w:tc>
          <w:tcPr>
            <w:tcW w:w="326" w:type="pct"/>
            <w:tcBorders>
              <w:top w:val="nil"/>
              <w:left w:val="nil"/>
              <w:bottom w:val="single" w:color="auto" w:sz="4" w:space="0"/>
              <w:right w:val="single" w:color="auto" w:sz="4" w:space="0"/>
            </w:tcBorders>
            <w:vAlign w:val="center"/>
          </w:tcPr>
          <w:p w14:paraId="5CEAB7AE">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下一代网络出口防火墙（</w:t>
            </w:r>
            <w:r>
              <w:rPr>
                <w:rFonts w:hint="eastAsia" w:ascii="仿宋_GB2312" w:hAnsi="仿宋_GB2312" w:eastAsia="仿宋_GB2312" w:cs="仿宋_GB2312"/>
                <w:color w:val="auto"/>
                <w:kern w:val="0"/>
                <w:sz w:val="20"/>
                <w:szCs w:val="20"/>
                <w:highlight w:val="none"/>
                <w:lang w:val="en-US" w:eastAsia="zh-CN"/>
              </w:rPr>
              <w:t>核心产品</w:t>
            </w:r>
            <w:r>
              <w:rPr>
                <w:rFonts w:hint="eastAsia" w:ascii="仿宋_GB2312" w:hAnsi="仿宋_GB2312" w:eastAsia="仿宋_GB2312" w:cs="仿宋_GB2312"/>
                <w:color w:val="auto"/>
                <w:kern w:val="0"/>
                <w:sz w:val="20"/>
                <w:szCs w:val="20"/>
                <w:highlight w:val="none"/>
                <w:lang w:eastAsia="zh-CN"/>
              </w:rPr>
              <w:t>）</w:t>
            </w:r>
          </w:p>
        </w:tc>
        <w:tc>
          <w:tcPr>
            <w:tcW w:w="2434" w:type="pct"/>
            <w:tcBorders>
              <w:top w:val="nil"/>
              <w:left w:val="nil"/>
              <w:bottom w:val="single" w:color="auto" w:sz="4" w:space="0"/>
              <w:right w:val="single" w:color="auto" w:sz="4" w:space="0"/>
            </w:tcBorders>
            <w:vAlign w:val="center"/>
          </w:tcPr>
          <w:p w14:paraId="1707C1EC">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替换老旧失保设备，重建安全、可靠的互联网出口第一道防线。</w:t>
            </w:r>
          </w:p>
          <w:p w14:paraId="68AB0B3E">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性能参数要求：高性能、高可靠性，集成入侵防御(IPS)、防病毒(AV)、威胁情报等下一代防火墙(NGFW)功能，支持与后续系统联动。</w:t>
            </w:r>
          </w:p>
          <w:p w14:paraId="4328FD66">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w:t>
            </w:r>
            <w:r>
              <w:rPr>
                <w:rFonts w:hint="eastAsia" w:ascii="仿宋_GB2312" w:hAnsi="仿宋_GB2312" w:eastAsia="仿宋_GB2312" w:cs="仿宋_GB2312"/>
                <w:b w:val="0"/>
                <w:bCs w:val="0"/>
                <w:color w:val="auto"/>
                <w:kern w:val="0"/>
                <w:sz w:val="20"/>
                <w:szCs w:val="20"/>
                <w:highlight w:val="none"/>
                <w:lang w:eastAsia="zh-CN"/>
              </w:rPr>
              <w:t>性能参数：</w:t>
            </w:r>
            <w:r>
              <w:rPr>
                <w:rFonts w:hint="eastAsia" w:ascii="仿宋_GB2312" w:hAnsi="仿宋_GB2312" w:eastAsia="仿宋_GB2312" w:cs="仿宋_GB2312"/>
                <w:color w:val="auto"/>
                <w:kern w:val="0"/>
                <w:sz w:val="20"/>
                <w:szCs w:val="20"/>
                <w:highlight w:val="none"/>
                <w:lang w:eastAsia="zh-CN"/>
              </w:rPr>
              <w:t>网络层吞吐量≥160G，应用层吞吐量≥100G，全威胁吞吐量≥13G，并发连接数≥5000万，HTTP新建连接数≥150万。</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w:t>
            </w:r>
            <w:r>
              <w:rPr>
                <w:rFonts w:hint="eastAsia" w:ascii="仿宋_GB2312" w:hAnsi="仿宋_GB2312" w:eastAsia="仿宋_GB2312" w:cs="仿宋_GB2312"/>
                <w:b w:val="0"/>
                <w:bCs w:val="0"/>
                <w:color w:val="auto"/>
                <w:kern w:val="0"/>
                <w:sz w:val="20"/>
                <w:szCs w:val="20"/>
                <w:highlight w:val="none"/>
                <w:lang w:eastAsia="zh-CN"/>
              </w:rPr>
              <w:t>硬件参数：</w:t>
            </w:r>
            <w:r>
              <w:rPr>
                <w:rFonts w:hint="eastAsia" w:ascii="仿宋_GB2312" w:hAnsi="仿宋_GB2312" w:eastAsia="仿宋_GB2312" w:cs="仿宋_GB2312"/>
                <w:color w:val="auto"/>
                <w:kern w:val="0"/>
                <w:sz w:val="20"/>
                <w:szCs w:val="20"/>
                <w:highlight w:val="none"/>
                <w:lang w:eastAsia="zh-CN"/>
              </w:rPr>
              <w:t>国产化CPU，2U设备，内存大小≥64G，系统盘≥480G SSD，数据盘≥480G SSD，冗余电源，接口≥4千兆电口，≥4千兆光口，≥16万兆光口。</w:t>
            </w:r>
          </w:p>
          <w:p w14:paraId="4117B48E">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★不少于5年特征库升级及硬件维保。</w:t>
            </w:r>
          </w:p>
          <w:p w14:paraId="330CC172">
            <w:pPr>
              <w:pStyle w:val="4"/>
              <w:rPr>
                <w:rFonts w:ascii="仿宋_GB2312" w:hAnsi="仿宋_GB2312" w:eastAsia="仿宋_GB2312" w:cs="仿宋_GB2312"/>
                <w:b w:val="0"/>
                <w:bCs w:val="0"/>
                <w:color w:val="auto"/>
                <w:kern w:val="0"/>
                <w:sz w:val="20"/>
                <w:szCs w:val="20"/>
                <w:highlight w:val="none"/>
                <w:lang w:eastAsia="zh-CN"/>
              </w:rPr>
            </w:pPr>
            <w:r>
              <w:rPr>
                <w:rFonts w:hint="eastAsia" w:ascii="仿宋_GB2312" w:hAnsi="仿宋_GB2312" w:eastAsia="仿宋_GB2312" w:cs="仿宋_GB2312"/>
                <w:b w:val="0"/>
                <w:bCs w:val="0"/>
                <w:color w:val="auto"/>
                <w:kern w:val="0"/>
                <w:sz w:val="20"/>
                <w:szCs w:val="20"/>
                <w:highlight w:val="none"/>
                <w:lang w:eastAsia="zh-CN"/>
              </w:rPr>
              <w:t>功能参数：</w:t>
            </w:r>
          </w:p>
          <w:p w14:paraId="2E5C8963">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1.包含ACL控制、防病毒、入侵防御、抗DDOS、应用识别、威胁情报等模块。</w:t>
            </w:r>
          </w:p>
          <w:p w14:paraId="767768BF">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2.提供应用识别和控制功能，可以对应用进行检测与控制。</w:t>
            </w:r>
          </w:p>
          <w:p w14:paraId="559AB4E3">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★3.支持僵尸主机检测功能，内置僵尸网络特征库超过160万种。</w:t>
            </w:r>
          </w:p>
          <w:p w14:paraId="2EF2B35F">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4.内置不低于16000种漏洞规则，支持用户自定义IPS规则。</w:t>
            </w:r>
          </w:p>
          <w:p w14:paraId="56AB7651">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5.支持不少于15级压缩文件进行解压病毒查杀。</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★6.具备独立的勒索病毒防护模块，可以对勒索病毒实现检测与防御，进行勒索风险自动化评估并自动生成防护策略。</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7.支持服务器漏洞防扫描功能，并对扫描源IP进行日志记录和联动封锁。</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★8.提供威胁情报功能，威胁情报实时同步到设备，对威胁流量就近进行实时检测&amp;拦截。</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9.支持针对未知威胁的主动探测技术，实现分钟级未知威胁情报下发到设备侧。</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10.支持策略生命周期管理功能，对安全策略修改的时间、原因、变更类型进行统一管理。</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★11.支持与现网主机软件联动管理，在防火墙产品完成端点安全策略设置和端点安全软件的统一管理。</w:t>
            </w:r>
          </w:p>
        </w:tc>
        <w:tc>
          <w:tcPr>
            <w:tcW w:w="220" w:type="pct"/>
            <w:tcBorders>
              <w:top w:val="nil"/>
              <w:left w:val="nil"/>
              <w:bottom w:val="single" w:color="auto" w:sz="4" w:space="0"/>
              <w:right w:val="single" w:color="auto" w:sz="4" w:space="0"/>
            </w:tcBorders>
            <w:vAlign w:val="center"/>
          </w:tcPr>
          <w:p w14:paraId="35A96307">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1</w:t>
            </w:r>
          </w:p>
        </w:tc>
        <w:tc>
          <w:tcPr>
            <w:tcW w:w="220" w:type="pct"/>
            <w:tcBorders>
              <w:top w:val="nil"/>
              <w:left w:val="nil"/>
              <w:bottom w:val="single" w:color="auto" w:sz="4" w:space="0"/>
              <w:right w:val="single" w:color="auto" w:sz="4" w:space="0"/>
            </w:tcBorders>
            <w:vAlign w:val="center"/>
          </w:tcPr>
          <w:p w14:paraId="21AC95CE">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台</w:t>
            </w:r>
          </w:p>
        </w:tc>
      </w:tr>
      <w:tr w14:paraId="4D036424">
        <w:tblPrEx>
          <w:tblCellMar>
            <w:top w:w="0" w:type="dxa"/>
            <w:left w:w="108" w:type="dxa"/>
            <w:bottom w:w="0" w:type="dxa"/>
            <w:right w:w="108" w:type="dxa"/>
          </w:tblCellMar>
        </w:tblPrEx>
        <w:trPr>
          <w:trHeight w:val="4420" w:hRule="atLeast"/>
        </w:trPr>
        <w:tc>
          <w:tcPr>
            <w:tcW w:w="220" w:type="pct"/>
            <w:tcBorders>
              <w:top w:val="single" w:color="auto" w:sz="4" w:space="0"/>
              <w:left w:val="single" w:color="auto" w:sz="4" w:space="0"/>
              <w:bottom w:val="single" w:color="auto" w:sz="4" w:space="0"/>
              <w:right w:val="single" w:color="auto" w:sz="4" w:space="0"/>
            </w:tcBorders>
            <w:vAlign w:val="center"/>
          </w:tcPr>
          <w:p w14:paraId="1ED454F6">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2</w:t>
            </w:r>
          </w:p>
        </w:tc>
        <w:tc>
          <w:tcPr>
            <w:tcW w:w="326" w:type="pct"/>
            <w:tcBorders>
              <w:top w:val="single" w:color="auto" w:sz="4" w:space="0"/>
              <w:left w:val="nil"/>
              <w:bottom w:val="single" w:color="auto" w:sz="4" w:space="0"/>
              <w:right w:val="single" w:color="auto" w:sz="4" w:space="0"/>
            </w:tcBorders>
            <w:vAlign w:val="center"/>
          </w:tcPr>
          <w:p w14:paraId="0817B911">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网站应用防火墙</w:t>
            </w:r>
          </w:p>
        </w:tc>
        <w:tc>
          <w:tcPr>
            <w:tcW w:w="2434" w:type="pct"/>
            <w:tcBorders>
              <w:top w:val="single" w:color="auto" w:sz="4" w:space="0"/>
              <w:left w:val="nil"/>
              <w:bottom w:val="single" w:color="auto" w:sz="4" w:space="0"/>
              <w:right w:val="single" w:color="auto" w:sz="4" w:space="0"/>
            </w:tcBorders>
            <w:vAlign w:val="center"/>
          </w:tcPr>
          <w:p w14:paraId="7C492262">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具备足够的应用层处理性能（吞吐≥当前Web流量峰值2倍以上），可对HTTP/HTTPS流量进行深度检测与实时防护，有效防御Web攻击。</w:t>
            </w:r>
          </w:p>
          <w:p w14:paraId="0D41563D">
            <w:pPr>
              <w:pStyle w:val="4"/>
              <w:rPr>
                <w:rFonts w:hint="eastAsia"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b w:val="0"/>
                <w:bCs w:val="0"/>
                <w:color w:val="auto"/>
                <w:kern w:val="0"/>
                <w:sz w:val="20"/>
                <w:szCs w:val="20"/>
                <w:highlight w:val="none"/>
                <w:lang w:eastAsia="zh-CN"/>
              </w:rPr>
              <w:t>性能参数</w:t>
            </w:r>
            <w:r>
              <w:rPr>
                <w:rFonts w:hint="eastAsia" w:ascii="仿宋_GB2312" w:hAnsi="仿宋_GB2312" w:eastAsia="仿宋_GB2312" w:cs="仿宋_GB2312"/>
                <w:color w:val="auto"/>
                <w:kern w:val="0"/>
                <w:sz w:val="20"/>
                <w:szCs w:val="20"/>
                <w:highlight w:val="none"/>
                <w:lang w:eastAsia="zh-CN"/>
              </w:rPr>
              <w:t>：网络层吞吐≥60G，HTTP吞吐量≥10Gbps，HTTP并发连接数≥300万、HTTP每秒新建连接数≥15万，保护网站站点数量无限制；</w:t>
            </w:r>
          </w:p>
          <w:p w14:paraId="41EA17D6">
            <w:pPr>
              <w:pStyle w:val="4"/>
              <w:rPr>
                <w:rFonts w:hint="eastAsia"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b w:val="0"/>
                <w:bCs w:val="0"/>
                <w:color w:val="auto"/>
                <w:kern w:val="0"/>
                <w:sz w:val="20"/>
                <w:szCs w:val="20"/>
                <w:highlight w:val="none"/>
                <w:lang w:val="en-US" w:eastAsia="zh-CN"/>
              </w:rPr>
              <w:t>硬件参数：</w:t>
            </w:r>
            <w:r>
              <w:rPr>
                <w:rFonts w:hint="eastAsia" w:ascii="仿宋_GB2312" w:hAnsi="仿宋_GB2312" w:eastAsia="仿宋_GB2312" w:cs="仿宋_GB2312"/>
                <w:color w:val="auto"/>
                <w:kern w:val="0"/>
                <w:sz w:val="20"/>
                <w:szCs w:val="20"/>
                <w:highlight w:val="none"/>
                <w:lang w:eastAsia="zh-CN"/>
              </w:rPr>
              <w:t>采用国产主流芯片及操作系统，2U高机架式硬件架构，双电源，≥32G内存，≥4T硬盘，≥8个以太网千兆电口（含3组bypass口），≥4个千兆光口，≥4个万兆光口，支持≥4个接口扩展槽位，≥3个硬盘扩展槽位；</w:t>
            </w:r>
          </w:p>
          <w:p w14:paraId="6B0208B6">
            <w:pPr>
              <w:pStyle w:val="4"/>
              <w:rPr>
                <w:rFonts w:hint="eastAsia"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不少于5年特征库升级及硬件维保。</w:t>
            </w:r>
          </w:p>
          <w:p w14:paraId="41F086FF">
            <w:pPr>
              <w:pStyle w:val="4"/>
              <w:rPr>
                <w:rFonts w:ascii="仿宋_GB2312" w:hAnsi="仿宋_GB2312" w:eastAsia="仿宋_GB2312" w:cs="仿宋_GB2312"/>
                <w:b w:val="0"/>
                <w:bCs w:val="0"/>
                <w:color w:val="auto"/>
                <w:kern w:val="0"/>
                <w:sz w:val="20"/>
                <w:szCs w:val="20"/>
                <w:highlight w:val="none"/>
                <w:lang w:eastAsia="zh-CN"/>
              </w:rPr>
            </w:pPr>
            <w:r>
              <w:rPr>
                <w:rFonts w:hint="eastAsia" w:ascii="仿宋_GB2312" w:hAnsi="仿宋_GB2312" w:eastAsia="仿宋_GB2312" w:cs="仿宋_GB2312"/>
                <w:b w:val="0"/>
                <w:bCs w:val="0"/>
                <w:color w:val="auto"/>
                <w:kern w:val="0"/>
                <w:sz w:val="20"/>
                <w:szCs w:val="20"/>
                <w:highlight w:val="none"/>
                <w:lang w:eastAsia="zh-CN"/>
              </w:rPr>
              <w:t>功能参数：</w:t>
            </w:r>
          </w:p>
          <w:p w14:paraId="1F31BBDF">
            <w:pPr>
              <w:pStyle w:val="4"/>
              <w:rPr>
                <w:rFonts w:hint="eastAsia"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1. 支持Web攻击防护功能，包括命令注入攻击，组件漏洞防护、Web扫描防护、XPATH注入防护、XML注入防护、SSI注入防护、JOSN注入防护、LDAP注入防护、webshell防护；</w:t>
            </w:r>
          </w:p>
          <w:p w14:paraId="59D67CF0">
            <w:pPr>
              <w:pStyle w:val="4"/>
              <w:rPr>
                <w:rFonts w:hint="eastAsia"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2. 支持敏感信息检测防护，检测类型包括：中间件信息保护，数据库信息保护，敏感文件保护，代码错误信息保护，隐私信息保护；</w:t>
            </w:r>
          </w:p>
          <w:p w14:paraId="0A05A82C">
            <w:pPr>
              <w:pStyle w:val="4"/>
              <w:rPr>
                <w:rFonts w:hint="eastAsia"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3. 支持SQL注入、XSS跨站攻击的语义分析检测，同时支持语义分析算法和特征检测算法的切换(提供产品web界面配置截图)；</w:t>
            </w:r>
          </w:p>
          <w:p w14:paraId="7709DE76">
            <w:pPr>
              <w:pStyle w:val="4"/>
              <w:rPr>
                <w:rFonts w:hint="eastAsia"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4. 支持虚拟补丁功能，支持同时导入同品牌和第三方漏扫系统的扫描结果生成WAF的规则，对此类网站漏洞直接防护(提供产品web界面配置截图)；</w:t>
            </w:r>
          </w:p>
          <w:p w14:paraId="7F08E981">
            <w:pPr>
              <w:pStyle w:val="4"/>
              <w:rPr>
                <w:rFonts w:hint="eastAsia"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5. 支持机器自学习功能，通过流量学习对进行业务建模，并对学习到的URL、host等信息以网站结构树形图进行展示，并支持对URL的访问量和响应健康度进行图形化统计(提供产品web界面配置截图)；</w:t>
            </w:r>
          </w:p>
          <w:p w14:paraId="24B66E57">
            <w:pPr>
              <w:pStyle w:val="4"/>
              <w:rPr>
                <w:rFonts w:hint="eastAsia"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6. 支持非法URL外联检测功能，针对特定外联URL进行监控或阻断，并且支持自定义URL地址(提供产品web界面配置截图)；</w:t>
            </w:r>
          </w:p>
        </w:tc>
        <w:tc>
          <w:tcPr>
            <w:tcW w:w="220" w:type="pct"/>
            <w:tcBorders>
              <w:top w:val="single" w:color="auto" w:sz="4" w:space="0"/>
              <w:left w:val="nil"/>
              <w:bottom w:val="single" w:color="auto" w:sz="4" w:space="0"/>
              <w:right w:val="single" w:color="auto" w:sz="4" w:space="0"/>
            </w:tcBorders>
            <w:vAlign w:val="center"/>
          </w:tcPr>
          <w:p w14:paraId="446FA36C">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1</w:t>
            </w:r>
          </w:p>
        </w:tc>
        <w:tc>
          <w:tcPr>
            <w:tcW w:w="220" w:type="pct"/>
            <w:tcBorders>
              <w:top w:val="single" w:color="auto" w:sz="4" w:space="0"/>
              <w:left w:val="nil"/>
              <w:bottom w:val="single" w:color="auto" w:sz="4" w:space="0"/>
              <w:right w:val="single" w:color="auto" w:sz="4" w:space="0"/>
            </w:tcBorders>
            <w:vAlign w:val="center"/>
          </w:tcPr>
          <w:p w14:paraId="1851BC91">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台</w:t>
            </w:r>
          </w:p>
        </w:tc>
      </w:tr>
      <w:tr w14:paraId="729F0069">
        <w:tblPrEx>
          <w:tblCellMar>
            <w:top w:w="0" w:type="dxa"/>
            <w:left w:w="108" w:type="dxa"/>
            <w:bottom w:w="0" w:type="dxa"/>
            <w:right w:w="108" w:type="dxa"/>
          </w:tblCellMar>
        </w:tblPrEx>
        <w:trPr>
          <w:trHeight w:val="1702" w:hRule="atLeast"/>
        </w:trPr>
        <w:tc>
          <w:tcPr>
            <w:tcW w:w="220" w:type="pct"/>
            <w:tcBorders>
              <w:top w:val="single" w:color="auto" w:sz="4" w:space="0"/>
              <w:left w:val="single" w:color="auto" w:sz="4" w:space="0"/>
              <w:bottom w:val="single" w:color="auto" w:sz="4" w:space="0"/>
              <w:right w:val="single" w:color="auto" w:sz="4" w:space="0"/>
            </w:tcBorders>
            <w:vAlign w:val="center"/>
          </w:tcPr>
          <w:p w14:paraId="5319BF4E">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3</w:t>
            </w:r>
          </w:p>
        </w:tc>
        <w:tc>
          <w:tcPr>
            <w:tcW w:w="326" w:type="pct"/>
            <w:tcBorders>
              <w:top w:val="single" w:color="auto" w:sz="4" w:space="0"/>
              <w:left w:val="nil"/>
              <w:bottom w:val="single" w:color="auto" w:sz="4" w:space="0"/>
              <w:right w:val="single" w:color="auto" w:sz="4" w:space="0"/>
            </w:tcBorders>
            <w:vAlign w:val="center"/>
          </w:tcPr>
          <w:p w14:paraId="5DEDBE87">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全流量威胁采集系统</w:t>
            </w:r>
          </w:p>
        </w:tc>
        <w:tc>
          <w:tcPr>
            <w:tcW w:w="2434" w:type="pct"/>
            <w:tcBorders>
              <w:top w:val="single" w:color="auto" w:sz="4" w:space="0"/>
              <w:left w:val="nil"/>
              <w:bottom w:val="single" w:color="auto" w:sz="4" w:space="0"/>
              <w:right w:val="single" w:color="auto" w:sz="4" w:space="0"/>
            </w:tcBorders>
            <w:vAlign w:val="center"/>
          </w:tcPr>
          <w:p w14:paraId="3B2ACAB4">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b w:val="0"/>
                <w:bCs w:val="0"/>
                <w:color w:val="auto"/>
                <w:kern w:val="0"/>
                <w:sz w:val="20"/>
                <w:szCs w:val="20"/>
                <w:highlight w:val="none"/>
                <w:lang w:eastAsia="zh-CN"/>
              </w:rPr>
              <w:t>性能参数：</w:t>
            </w:r>
            <w:r>
              <w:rPr>
                <w:rFonts w:hint="eastAsia" w:ascii="仿宋_GB2312" w:hAnsi="仿宋_GB2312" w:eastAsia="仿宋_GB2312" w:cs="仿宋_GB2312"/>
                <w:color w:val="auto"/>
                <w:kern w:val="0"/>
                <w:sz w:val="20"/>
                <w:szCs w:val="20"/>
                <w:highlight w:val="none"/>
                <w:lang w:eastAsia="zh-CN"/>
              </w:rPr>
              <w:t>网络层吞吐量≥10Gbps，应用层吞吐量≥3.4Gbps。</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b w:val="0"/>
                <w:bCs w:val="0"/>
                <w:color w:val="auto"/>
                <w:kern w:val="0"/>
                <w:sz w:val="20"/>
                <w:szCs w:val="20"/>
                <w:highlight w:val="none"/>
                <w:lang w:eastAsia="zh-CN"/>
              </w:rPr>
              <w:t>硬件参数：</w:t>
            </w:r>
            <w:r>
              <w:rPr>
                <w:rFonts w:hint="eastAsia" w:ascii="仿宋_GB2312" w:hAnsi="仿宋_GB2312" w:eastAsia="仿宋_GB2312" w:cs="仿宋_GB2312"/>
                <w:color w:val="auto"/>
                <w:kern w:val="0"/>
                <w:sz w:val="20"/>
                <w:szCs w:val="20"/>
                <w:highlight w:val="none"/>
                <w:lang w:eastAsia="zh-CN"/>
              </w:rPr>
              <w:t>国产化CPU，2U设备，内存大小≥32G，硬盘容量≥960G SSD，冗余电源，接口≥4千兆电口，≥4千兆光口，≥8万兆光口。</w:t>
            </w:r>
          </w:p>
          <w:p w14:paraId="68E66BED">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不少于5年特征库升级及硬件维保。</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b w:val="0"/>
                <w:bCs w:val="0"/>
                <w:color w:val="auto"/>
                <w:kern w:val="0"/>
                <w:sz w:val="20"/>
                <w:szCs w:val="20"/>
                <w:highlight w:val="none"/>
                <w:lang w:eastAsia="zh-CN"/>
              </w:rPr>
              <w:t>功能参数：</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1.支持旁路部署在核心交换机或汇聚交换机，每个探针能够接入不同的镜像口且每个镜像口之间不会受到影响。</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2.支持多种形式的攻击检测能力，包括：SQL注入、XSS检测、webshell、JAVA代码的检测、PHP的代码检测等，能够管理员可以自行配置启动检测，选择高效检出低误报模式。</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3.具有多种弱口令的策略模式，例如通过密码长度、用户名长度等进行检测，通过口令爆破检测、通过设置FTP进行检测等。</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4.支持标准的非标准协协议检测以及非标准的标准协议检测能力，检测的端口包括：110、22、8080、3389、69、25等。</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5.产品进行访问阻断的方法包括以及IP和域名进行策略限制，可以在镜像流量中发现恶意的IP并可以及时阻断，通过自定义时间实现威胁的阻断，比如：24小时、7天等。</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6.支持威胁流量与协议异常检测 ，如零日攻击、网络蠕虫、木马、后门、僵尸、间谍软件、网络漏洞、网页威胁（网页漏洞、跨网站攻击）、钓鱼邮件、暴力攻击、数据库注入攻击等。</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★7.内置多种特征库以满足威胁攻击分析等，特征库包括：自定义的黑白名单库、僵尸网络库、漏洞识别科、应用识别库、URL库等。</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8.支持 P2P 流量侦测，支持常见实时通讯软件和流媒体软件流量。</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9.支持对端口异常、上行和下行流量、DNS、ICMP、HTTP、HFS等协议和检测到登录异常的流量进行检测。</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10.支持三权分立能力：系统管理员、审计管理员、安全管理员、普通管理员四个角色相互独立。</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★11.支持与采购人现有主机安全管理端、安全感知管理平台对接，投标人须在投标文件中提供详细的对接方案及对接承诺函，承诺中标后 7 日内完成对接调试。</w:t>
            </w:r>
          </w:p>
        </w:tc>
        <w:tc>
          <w:tcPr>
            <w:tcW w:w="220" w:type="pct"/>
            <w:tcBorders>
              <w:top w:val="single" w:color="auto" w:sz="4" w:space="0"/>
              <w:left w:val="nil"/>
              <w:bottom w:val="single" w:color="auto" w:sz="4" w:space="0"/>
              <w:right w:val="single" w:color="auto" w:sz="4" w:space="0"/>
            </w:tcBorders>
            <w:vAlign w:val="center"/>
          </w:tcPr>
          <w:p w14:paraId="0219A141">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1</w:t>
            </w:r>
          </w:p>
        </w:tc>
        <w:tc>
          <w:tcPr>
            <w:tcW w:w="220" w:type="pct"/>
            <w:tcBorders>
              <w:top w:val="single" w:color="auto" w:sz="4" w:space="0"/>
              <w:left w:val="nil"/>
              <w:bottom w:val="single" w:color="auto" w:sz="4" w:space="0"/>
              <w:right w:val="single" w:color="auto" w:sz="4" w:space="0"/>
            </w:tcBorders>
            <w:vAlign w:val="center"/>
          </w:tcPr>
          <w:p w14:paraId="12B17080">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台</w:t>
            </w:r>
          </w:p>
        </w:tc>
      </w:tr>
      <w:tr w14:paraId="68F1BCAA">
        <w:tblPrEx>
          <w:tblCellMar>
            <w:top w:w="0" w:type="dxa"/>
            <w:left w:w="108" w:type="dxa"/>
            <w:bottom w:w="0" w:type="dxa"/>
            <w:right w:w="108" w:type="dxa"/>
          </w:tblCellMar>
        </w:tblPrEx>
        <w:trPr>
          <w:trHeight w:val="1408" w:hRule="atLeast"/>
        </w:trPr>
        <w:tc>
          <w:tcPr>
            <w:tcW w:w="220" w:type="pct"/>
            <w:tcBorders>
              <w:top w:val="nil"/>
              <w:left w:val="single" w:color="auto" w:sz="4" w:space="0"/>
              <w:bottom w:val="single" w:color="auto" w:sz="4" w:space="0"/>
              <w:right w:val="single" w:color="auto" w:sz="4" w:space="0"/>
            </w:tcBorders>
            <w:vAlign w:val="center"/>
          </w:tcPr>
          <w:p w14:paraId="3201D828">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4</w:t>
            </w:r>
          </w:p>
        </w:tc>
        <w:tc>
          <w:tcPr>
            <w:tcW w:w="326" w:type="pct"/>
            <w:tcBorders>
              <w:top w:val="nil"/>
              <w:left w:val="nil"/>
              <w:bottom w:val="single" w:color="auto" w:sz="4" w:space="0"/>
              <w:right w:val="single" w:color="auto" w:sz="4" w:space="0"/>
            </w:tcBorders>
            <w:vAlign w:val="center"/>
          </w:tcPr>
          <w:p w14:paraId="6152DBEE">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服务器终端安全软件</w:t>
            </w:r>
          </w:p>
        </w:tc>
        <w:tc>
          <w:tcPr>
            <w:tcW w:w="2434" w:type="pct"/>
            <w:tcBorders>
              <w:top w:val="nil"/>
              <w:left w:val="nil"/>
              <w:bottom w:val="single" w:color="auto" w:sz="4" w:space="0"/>
              <w:right w:val="single" w:color="auto" w:sz="4" w:space="0"/>
            </w:tcBorders>
            <w:vAlign w:val="center"/>
          </w:tcPr>
          <w:p w14:paraId="6ADD1E48">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支持对现有服务器及办公终端进行统一病毒查杀、漏洞修复、基线合规检查、外设管控、行为监控与威胁响应。</w:t>
            </w:r>
          </w:p>
          <w:p w14:paraId="585FCFEF">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不少于5年软件升级及特征库升级。</w:t>
            </w:r>
          </w:p>
          <w:p w14:paraId="10FFE922">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★1.不少于250点服务器主机安全防护授权，接入与现网主机安全管理端统一管理，实现统一威胁处置，统一漏洞修复，威胁响应处置，日志记录与查询等功能。</w:t>
            </w:r>
          </w:p>
          <w:p w14:paraId="051F43D4">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2.支持全网终端资产清点，包括操作系统、应用软件、监听端口和主机账户等。</w:t>
            </w:r>
          </w:p>
          <w:p w14:paraId="0F394309">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★3</w:t>
            </w:r>
            <w:r>
              <w:rPr>
                <w:rFonts w:ascii="仿宋_GB2312" w:hAnsi="仿宋_GB2312" w:eastAsia="仿宋_GB2312" w:cs="仿宋_GB2312"/>
                <w:color w:val="auto"/>
                <w:kern w:val="0"/>
                <w:sz w:val="20"/>
                <w:szCs w:val="20"/>
                <w:highlight w:val="none"/>
                <w:lang w:eastAsia="zh-CN"/>
              </w:rPr>
              <w:t>.</w:t>
            </w:r>
            <w:r>
              <w:rPr>
                <w:rFonts w:hint="eastAsia" w:ascii="仿宋_GB2312" w:hAnsi="仿宋_GB2312" w:eastAsia="仿宋_GB2312" w:cs="仿宋_GB2312"/>
                <w:color w:val="auto"/>
                <w:kern w:val="0"/>
                <w:sz w:val="20"/>
                <w:szCs w:val="20"/>
                <w:highlight w:val="none"/>
                <w:lang w:eastAsia="zh-CN"/>
              </w:rPr>
              <w:t>具备勒索病毒攻击立体防护模块，对勒索病毒及变种实现有效防御，支持展示勒索病毒处置情况。</w:t>
            </w:r>
          </w:p>
          <w:p w14:paraId="2ABC3AFF">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4.支持对勒索入侵的主流方式RDP暴破做全方位保护，包括RDP登录校验、RDP文件加白二次校验等功能。</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5.支持基于威胁情报的病毒特征值和域名全网终端搜索，可定位出全网终端该病毒的感染情况。</w:t>
            </w:r>
          </w:p>
          <w:p w14:paraId="48D33A9F">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★6.支持与采购人现有主机安全管理端、安全感知管理平台对接，投标人须在投标文件中提供详细的对接方案及对接承诺函，承诺中标后 7 日内完成对接调试。</w:t>
            </w:r>
          </w:p>
        </w:tc>
        <w:tc>
          <w:tcPr>
            <w:tcW w:w="220" w:type="pct"/>
            <w:tcBorders>
              <w:top w:val="nil"/>
              <w:left w:val="nil"/>
              <w:bottom w:val="single" w:color="auto" w:sz="4" w:space="0"/>
              <w:right w:val="single" w:color="auto" w:sz="4" w:space="0"/>
            </w:tcBorders>
            <w:vAlign w:val="center"/>
          </w:tcPr>
          <w:p w14:paraId="5FD87037">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1</w:t>
            </w:r>
          </w:p>
        </w:tc>
        <w:tc>
          <w:tcPr>
            <w:tcW w:w="220" w:type="pct"/>
            <w:tcBorders>
              <w:top w:val="nil"/>
              <w:left w:val="nil"/>
              <w:bottom w:val="single" w:color="auto" w:sz="4" w:space="0"/>
              <w:right w:val="single" w:color="auto" w:sz="4" w:space="0"/>
            </w:tcBorders>
            <w:vAlign w:val="center"/>
          </w:tcPr>
          <w:p w14:paraId="589725D3">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套</w:t>
            </w:r>
          </w:p>
        </w:tc>
      </w:tr>
      <w:tr w14:paraId="170A209D">
        <w:tblPrEx>
          <w:tblCellMar>
            <w:top w:w="0" w:type="dxa"/>
            <w:left w:w="108" w:type="dxa"/>
            <w:bottom w:w="0" w:type="dxa"/>
            <w:right w:w="108" w:type="dxa"/>
          </w:tblCellMar>
        </w:tblPrEx>
        <w:trPr>
          <w:trHeight w:val="90" w:hRule="atLeast"/>
        </w:trPr>
        <w:tc>
          <w:tcPr>
            <w:tcW w:w="220" w:type="pct"/>
            <w:tcBorders>
              <w:top w:val="nil"/>
              <w:left w:val="single" w:color="auto" w:sz="4" w:space="0"/>
              <w:bottom w:val="single" w:color="auto" w:sz="4" w:space="0"/>
              <w:right w:val="single" w:color="auto" w:sz="4" w:space="0"/>
            </w:tcBorders>
            <w:vAlign w:val="center"/>
          </w:tcPr>
          <w:p w14:paraId="7D3FC8D4">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5</w:t>
            </w:r>
          </w:p>
        </w:tc>
        <w:tc>
          <w:tcPr>
            <w:tcW w:w="326" w:type="pct"/>
            <w:tcBorders>
              <w:top w:val="nil"/>
              <w:left w:val="nil"/>
              <w:bottom w:val="single" w:color="auto" w:sz="4" w:space="0"/>
              <w:right w:val="single" w:color="auto" w:sz="4" w:space="0"/>
            </w:tcBorders>
            <w:vAlign w:val="center"/>
          </w:tcPr>
          <w:p w14:paraId="41C71C1D">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网络日志审计系统</w:t>
            </w:r>
          </w:p>
        </w:tc>
        <w:tc>
          <w:tcPr>
            <w:tcW w:w="2434" w:type="pct"/>
            <w:tcBorders>
              <w:top w:val="nil"/>
              <w:left w:val="nil"/>
              <w:bottom w:val="single" w:color="auto" w:sz="4" w:space="0"/>
              <w:right w:val="single" w:color="auto" w:sz="4" w:space="0"/>
            </w:tcBorders>
            <w:vAlign w:val="center"/>
          </w:tcPr>
          <w:p w14:paraId="265715FF">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能够集中采集防火墙、WAF、交换机、路由器等主流设备的日志。</w:t>
            </w:r>
          </w:p>
          <w:p w14:paraId="40085302">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w:t>
            </w:r>
            <w:r>
              <w:rPr>
                <w:rFonts w:hint="eastAsia" w:ascii="仿宋_GB2312" w:hAnsi="仿宋_GB2312" w:eastAsia="仿宋_GB2312" w:cs="仿宋_GB2312"/>
                <w:b w:val="0"/>
                <w:bCs w:val="0"/>
                <w:color w:val="auto"/>
                <w:kern w:val="0"/>
                <w:sz w:val="20"/>
                <w:szCs w:val="20"/>
                <w:highlight w:val="none"/>
                <w:lang w:eastAsia="zh-CN"/>
              </w:rPr>
              <w:t>性能参数：</w:t>
            </w:r>
            <w:r>
              <w:rPr>
                <w:rFonts w:hint="eastAsia" w:ascii="仿宋_GB2312" w:hAnsi="仿宋_GB2312" w:eastAsia="仿宋_GB2312" w:cs="仿宋_GB2312"/>
                <w:color w:val="auto"/>
                <w:kern w:val="0"/>
                <w:sz w:val="20"/>
                <w:szCs w:val="20"/>
                <w:highlight w:val="none"/>
                <w:lang w:eastAsia="zh-CN"/>
              </w:rPr>
              <w:t>默认授权≥100，最大可扩展授权≥500。</w:t>
            </w:r>
          </w:p>
          <w:p w14:paraId="6EDF46BB">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w:t>
            </w:r>
            <w:r>
              <w:rPr>
                <w:rFonts w:hint="eastAsia" w:ascii="仿宋_GB2312" w:hAnsi="仿宋_GB2312" w:eastAsia="仿宋_GB2312" w:cs="仿宋_GB2312"/>
                <w:b w:val="0"/>
                <w:bCs w:val="0"/>
                <w:color w:val="auto"/>
                <w:kern w:val="0"/>
                <w:sz w:val="20"/>
                <w:szCs w:val="20"/>
                <w:highlight w:val="none"/>
                <w:lang w:eastAsia="zh-CN"/>
              </w:rPr>
              <w:t>硬件参数：</w:t>
            </w:r>
            <w:r>
              <w:rPr>
                <w:rFonts w:hint="eastAsia" w:ascii="仿宋_GB2312" w:hAnsi="仿宋_GB2312" w:eastAsia="仿宋_GB2312" w:cs="仿宋_GB2312"/>
                <w:color w:val="auto"/>
                <w:kern w:val="0"/>
                <w:sz w:val="20"/>
                <w:szCs w:val="20"/>
                <w:highlight w:val="none"/>
                <w:lang w:eastAsia="zh-CN"/>
              </w:rPr>
              <w:t>国产化CPU，标准机架式设备，内存大小≥16G，系统盘≥128G SSD，数据盘≥</w:t>
            </w:r>
            <w:r>
              <w:rPr>
                <w:rFonts w:hint="eastAsia" w:ascii="仿宋_GB2312" w:hAnsi="仿宋_GB2312" w:eastAsia="仿宋_GB2312" w:cs="仿宋_GB2312"/>
                <w:color w:val="auto"/>
                <w:kern w:val="0"/>
                <w:sz w:val="20"/>
                <w:szCs w:val="20"/>
                <w:highlight w:val="none"/>
                <w:lang w:val="en-US" w:eastAsia="zh-CN"/>
              </w:rPr>
              <w:t>8</w:t>
            </w:r>
            <w:r>
              <w:rPr>
                <w:rFonts w:hint="eastAsia" w:ascii="仿宋_GB2312" w:hAnsi="仿宋_GB2312" w:eastAsia="仿宋_GB2312" w:cs="仿宋_GB2312"/>
                <w:color w:val="auto"/>
                <w:kern w:val="0"/>
                <w:sz w:val="20"/>
                <w:szCs w:val="20"/>
                <w:highlight w:val="none"/>
                <w:lang w:eastAsia="zh-CN"/>
              </w:rPr>
              <w:t>T，冗余电源，接口≥6千兆电口，≥2万兆光口。</w:t>
            </w:r>
          </w:p>
          <w:p w14:paraId="50C1077A">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不少于5年软件升级及硬件维保。</w:t>
            </w:r>
          </w:p>
          <w:p w14:paraId="61AE14A9">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b w:val="0"/>
                <w:bCs w:val="0"/>
                <w:color w:val="auto"/>
                <w:kern w:val="0"/>
                <w:sz w:val="20"/>
                <w:szCs w:val="20"/>
                <w:highlight w:val="none"/>
                <w:lang w:eastAsia="zh-CN"/>
              </w:rPr>
              <w:t>功能参数：</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★1. 支持通过正则、分隔符、json、xml的方式进行自定义规则解析。</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2.支持对单个/多个日志源批量转发，并可通过syslog和kafka方式转发到第三方平台。</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3.支持通配符、范围搜索、字段等多种输入方式、搜索框模糊搜索、指定语段进行语法搜索。</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4.支持HTTP网页标题、BBS、威胁情报、DGA、搜索关键词的网络会话分类展现。</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★5. 支持SM3国密算法，保障日志完整性，可以有效防止日志篡改等攻击行为。</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6.支持等保合规检测，可自查设备是否满足等保要求。</w:t>
            </w:r>
          </w:p>
        </w:tc>
        <w:tc>
          <w:tcPr>
            <w:tcW w:w="220" w:type="pct"/>
            <w:tcBorders>
              <w:top w:val="nil"/>
              <w:left w:val="nil"/>
              <w:bottom w:val="single" w:color="auto" w:sz="4" w:space="0"/>
              <w:right w:val="single" w:color="auto" w:sz="4" w:space="0"/>
            </w:tcBorders>
            <w:vAlign w:val="center"/>
          </w:tcPr>
          <w:p w14:paraId="27ABF5E5">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1</w:t>
            </w:r>
          </w:p>
        </w:tc>
        <w:tc>
          <w:tcPr>
            <w:tcW w:w="220" w:type="pct"/>
            <w:tcBorders>
              <w:top w:val="nil"/>
              <w:left w:val="nil"/>
              <w:bottom w:val="single" w:color="auto" w:sz="4" w:space="0"/>
              <w:right w:val="single" w:color="auto" w:sz="4" w:space="0"/>
            </w:tcBorders>
            <w:vAlign w:val="center"/>
          </w:tcPr>
          <w:p w14:paraId="1087D195">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台</w:t>
            </w:r>
          </w:p>
        </w:tc>
      </w:tr>
      <w:tr w14:paraId="0740FCAB">
        <w:tblPrEx>
          <w:tblCellMar>
            <w:top w:w="0" w:type="dxa"/>
            <w:left w:w="108" w:type="dxa"/>
            <w:bottom w:w="0" w:type="dxa"/>
            <w:right w:w="108" w:type="dxa"/>
          </w:tblCellMar>
        </w:tblPrEx>
        <w:trPr>
          <w:trHeight w:val="2897" w:hRule="atLeast"/>
        </w:trPr>
        <w:tc>
          <w:tcPr>
            <w:tcW w:w="220" w:type="pct"/>
            <w:tcBorders>
              <w:top w:val="nil"/>
              <w:left w:val="single" w:color="auto" w:sz="4" w:space="0"/>
              <w:bottom w:val="single" w:color="auto" w:sz="4" w:space="0"/>
              <w:right w:val="single" w:color="auto" w:sz="4" w:space="0"/>
            </w:tcBorders>
            <w:vAlign w:val="center"/>
          </w:tcPr>
          <w:p w14:paraId="75F8F31F">
            <w:pPr>
              <w:pStyle w:val="4"/>
              <w:rPr>
                <w:rFonts w:ascii="仿宋_GB2312" w:hAnsi="仿宋_GB2312" w:eastAsia="仿宋_GB2312" w:cs="仿宋_GB2312"/>
                <w:color w:val="auto"/>
                <w:kern w:val="0"/>
                <w:sz w:val="20"/>
                <w:szCs w:val="20"/>
                <w:highlight w:val="none"/>
                <w:lang w:eastAsia="zh-CN"/>
              </w:rPr>
            </w:pPr>
            <w:r>
              <w:rPr>
                <w:rFonts w:ascii="仿宋_GB2312" w:hAnsi="仿宋_GB2312" w:eastAsia="仿宋_GB2312" w:cs="仿宋_GB2312"/>
                <w:color w:val="auto"/>
                <w:kern w:val="0"/>
                <w:sz w:val="20"/>
                <w:szCs w:val="20"/>
                <w:highlight w:val="none"/>
                <w:lang w:eastAsia="zh-CN"/>
              </w:rPr>
              <w:t>6</w:t>
            </w:r>
          </w:p>
        </w:tc>
        <w:tc>
          <w:tcPr>
            <w:tcW w:w="326" w:type="pct"/>
            <w:tcBorders>
              <w:top w:val="nil"/>
              <w:left w:val="nil"/>
              <w:bottom w:val="single" w:color="auto" w:sz="4" w:space="0"/>
              <w:right w:val="single" w:color="auto" w:sz="4" w:space="0"/>
            </w:tcBorders>
            <w:vAlign w:val="center"/>
          </w:tcPr>
          <w:p w14:paraId="4EDC1A2B">
            <w:pPr>
              <w:pStyle w:val="4"/>
              <w:rPr>
                <w:rFonts w:hint="eastAsia"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val="en-US" w:eastAsia="zh-CN"/>
              </w:rPr>
              <w:t>运维审计</w:t>
            </w:r>
            <w:r>
              <w:rPr>
                <w:rFonts w:hint="eastAsia" w:ascii="仿宋_GB2312" w:hAnsi="仿宋_GB2312" w:eastAsia="仿宋_GB2312" w:cs="仿宋_GB2312"/>
                <w:color w:val="auto"/>
                <w:kern w:val="0"/>
                <w:sz w:val="20"/>
                <w:szCs w:val="20"/>
                <w:highlight w:val="none"/>
                <w:lang w:eastAsia="zh-CN"/>
              </w:rPr>
              <w:t>堡垒机</w:t>
            </w:r>
          </w:p>
        </w:tc>
        <w:tc>
          <w:tcPr>
            <w:tcW w:w="2434" w:type="pct"/>
            <w:tcBorders>
              <w:top w:val="nil"/>
              <w:left w:val="nil"/>
              <w:bottom w:val="single" w:color="auto" w:sz="4" w:space="0"/>
              <w:right w:val="single" w:color="auto" w:sz="4" w:space="0"/>
            </w:tcBorders>
            <w:vAlign w:val="center"/>
          </w:tcPr>
          <w:p w14:paraId="7AB1D095">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b w:val="0"/>
                <w:bCs w:val="0"/>
                <w:color w:val="auto"/>
                <w:kern w:val="0"/>
                <w:sz w:val="20"/>
                <w:szCs w:val="20"/>
                <w:highlight w:val="none"/>
                <w:lang w:eastAsia="zh-CN"/>
              </w:rPr>
              <w:t>性能参数：</w:t>
            </w:r>
            <w:r>
              <w:rPr>
                <w:rFonts w:hint="eastAsia" w:ascii="仿宋_GB2312" w:hAnsi="仿宋_GB2312" w:eastAsia="仿宋_GB2312" w:cs="仿宋_GB2312"/>
                <w:color w:val="auto"/>
                <w:kern w:val="0"/>
                <w:sz w:val="20"/>
                <w:szCs w:val="20"/>
                <w:highlight w:val="none"/>
                <w:lang w:eastAsia="zh-CN"/>
              </w:rPr>
              <w:t>默认包含运维授权数≥50，最大可扩展资产数≥150，图形运维最大并发数≥100，字符运维最大并发数≥200。</w:t>
            </w:r>
          </w:p>
          <w:p w14:paraId="5D507540">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b w:val="0"/>
                <w:bCs w:val="0"/>
                <w:color w:val="auto"/>
                <w:kern w:val="0"/>
                <w:sz w:val="20"/>
                <w:szCs w:val="20"/>
                <w:highlight w:val="none"/>
                <w:lang w:eastAsia="zh-CN"/>
              </w:rPr>
              <w:t>硬件参数</w:t>
            </w:r>
            <w:r>
              <w:rPr>
                <w:rFonts w:hint="eastAsia" w:ascii="仿宋_GB2312" w:hAnsi="仿宋_GB2312" w:eastAsia="仿宋_GB2312" w:cs="仿宋_GB2312"/>
                <w:color w:val="auto"/>
                <w:kern w:val="0"/>
                <w:sz w:val="20"/>
                <w:szCs w:val="20"/>
                <w:highlight w:val="none"/>
                <w:lang w:eastAsia="zh-CN"/>
              </w:rPr>
              <w:t>：国产化CPU，内存大小≥8G，硬盘容量≥1.92T SSD，接口≥6千兆电口，≥4千兆光口。</w:t>
            </w:r>
          </w:p>
          <w:p w14:paraId="773E368D">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不少于5年软件升级及硬件维保。</w:t>
            </w:r>
          </w:p>
          <w:p w14:paraId="4B1E02F5">
            <w:pPr>
              <w:pStyle w:val="4"/>
              <w:rPr>
                <w:rFonts w:ascii="仿宋_GB2312" w:hAnsi="仿宋_GB2312" w:eastAsia="仿宋_GB2312" w:cs="仿宋_GB2312"/>
                <w:b w:val="0"/>
                <w:bCs w:val="0"/>
                <w:color w:val="auto"/>
                <w:kern w:val="0"/>
                <w:sz w:val="20"/>
                <w:szCs w:val="20"/>
                <w:highlight w:val="none"/>
                <w:lang w:eastAsia="zh-CN"/>
              </w:rPr>
            </w:pPr>
            <w:r>
              <w:rPr>
                <w:rFonts w:hint="eastAsia" w:ascii="仿宋_GB2312" w:hAnsi="仿宋_GB2312" w:eastAsia="仿宋_GB2312" w:cs="仿宋_GB2312"/>
                <w:b w:val="0"/>
                <w:bCs w:val="0"/>
                <w:color w:val="auto"/>
                <w:kern w:val="0"/>
                <w:sz w:val="20"/>
                <w:szCs w:val="20"/>
                <w:highlight w:val="none"/>
                <w:lang w:eastAsia="zh-CN"/>
              </w:rPr>
              <w:t>功能参数：</w:t>
            </w:r>
          </w:p>
          <w:p w14:paraId="6D548485">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1.支持通过应用发布实现数据库操作的命令级审计和图形审计的双重审计效果。</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2.用户登陆认证方式支持静态口令认证、手机动态口令认证、Usbkey（数字证书）认证、AD域认证、Radius认证等认证方式。</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3.内置三种管理角色，根据实际管理特性或管理组织架构划分对应的管理范畴。</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4.支持通过动作流配置实现单点登陆和审计接入。</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5.支持运维水印、录像水印、监控水印开启。</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6.支持命令审批规则，用户执行高危命令时需要管理员审批后才允许执行。</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7.支持web页面直接发起运维，无需安装任何控件。</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8.支持PC端（Windows、linux、Mac OS、国产麒麟系统）及手机端（Android、IOS）等客户端操作系统下的H5页面一体化运维。</w:t>
            </w:r>
          </w:p>
        </w:tc>
        <w:tc>
          <w:tcPr>
            <w:tcW w:w="220" w:type="pct"/>
            <w:tcBorders>
              <w:top w:val="nil"/>
              <w:left w:val="nil"/>
              <w:bottom w:val="single" w:color="auto" w:sz="4" w:space="0"/>
              <w:right w:val="single" w:color="auto" w:sz="4" w:space="0"/>
            </w:tcBorders>
            <w:vAlign w:val="center"/>
          </w:tcPr>
          <w:p w14:paraId="3DF09BDF">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1</w:t>
            </w:r>
          </w:p>
        </w:tc>
        <w:tc>
          <w:tcPr>
            <w:tcW w:w="220" w:type="pct"/>
            <w:tcBorders>
              <w:top w:val="nil"/>
              <w:left w:val="nil"/>
              <w:bottom w:val="single" w:color="auto" w:sz="4" w:space="0"/>
              <w:right w:val="single" w:color="auto" w:sz="4" w:space="0"/>
            </w:tcBorders>
            <w:vAlign w:val="center"/>
          </w:tcPr>
          <w:p w14:paraId="193ED52F">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台</w:t>
            </w:r>
          </w:p>
        </w:tc>
      </w:tr>
      <w:tr w14:paraId="34F92C43">
        <w:tblPrEx>
          <w:tblCellMar>
            <w:top w:w="0" w:type="dxa"/>
            <w:left w:w="108" w:type="dxa"/>
            <w:bottom w:w="0" w:type="dxa"/>
            <w:right w:w="108" w:type="dxa"/>
          </w:tblCellMar>
        </w:tblPrEx>
        <w:trPr>
          <w:trHeight w:val="6888" w:hRule="atLeast"/>
        </w:trPr>
        <w:tc>
          <w:tcPr>
            <w:tcW w:w="220" w:type="pct"/>
            <w:tcBorders>
              <w:top w:val="nil"/>
              <w:left w:val="single" w:color="auto" w:sz="4" w:space="0"/>
              <w:bottom w:val="single" w:color="auto" w:sz="4" w:space="0"/>
              <w:right w:val="single" w:color="auto" w:sz="4" w:space="0"/>
            </w:tcBorders>
            <w:vAlign w:val="center"/>
          </w:tcPr>
          <w:p w14:paraId="4A7977A0">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7</w:t>
            </w:r>
          </w:p>
        </w:tc>
        <w:tc>
          <w:tcPr>
            <w:tcW w:w="326" w:type="pct"/>
            <w:tcBorders>
              <w:top w:val="nil"/>
              <w:left w:val="nil"/>
              <w:bottom w:val="single" w:color="auto" w:sz="4" w:space="0"/>
              <w:right w:val="single" w:color="auto" w:sz="4" w:space="0"/>
            </w:tcBorders>
            <w:vAlign w:val="center"/>
          </w:tcPr>
          <w:p w14:paraId="3339E55F">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安全保障服务</w:t>
            </w:r>
          </w:p>
        </w:tc>
        <w:tc>
          <w:tcPr>
            <w:tcW w:w="2434" w:type="pct"/>
            <w:tcBorders>
              <w:top w:val="nil"/>
              <w:left w:val="nil"/>
              <w:bottom w:val="single" w:color="auto" w:sz="4" w:space="0"/>
              <w:right w:val="single" w:color="auto" w:sz="4" w:space="0"/>
            </w:tcBorders>
            <w:vAlign w:val="center"/>
          </w:tcPr>
          <w:p w14:paraId="282FEFF2">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1.为采购人不少于60个核心资产（数据中心资产IP数量）提供一年连续性的安全保障服务。不论是白天、黑夜、节假日供应商都应该能做到7*24H在线服务，配置一名经验丰富的安全专家作为专属服务经理，并组建专属服务群，实时响应采购人咨询的网络安全相关问题。</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2.供应商提供不低于以下服务效果的SLA承诺：（1）一般事件：从安全日志产生到通告&lt;1Hour、遏制影响时间&lt;4H、经供应商确认后，准确率达99%、事件闭环率100%；（2）一般威胁：从安全日志产生到通告&lt;2Hour、遏制影响时间&lt;4H、经供应商确认后，准确率达99%、威胁闭环率100%；（3）重大事件：从安全日志产生到通告(MTTD)&lt;30min、遏制影响时间&lt;1H、经供应商确认后，准确率达99%、事件闭环率100%；（4）重大威胁：从安全日志产生到通告(MTTD )&lt;1Hour、响应处置时间(MTTR)&lt;1H、经供应商确认后，准确率达99%、威胁闭环率100%；（5）应急响应：供应商应当满足重大事故应启动应急响应机制，工作时间15分钟之内云端专家进行响应，非工作时间30分钟之内云端专家进行响应，2小时上门处置。</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3.安全现状评估：系统与Web漏洞扫描：对操作系统、数据库、常见应用/协议、Web通用漏洞与常规漏洞进行漏洞扫描。弱口令扫描：实现信息化资产不同应用弱口令猜解检测，如：SMB、Mssql、Mysql、Oracle、smtp、VNC、ftp、telnet、ssh、mysql、tomcat等。</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4.脆弱性管理：针对服务资产的系统漏洞和Web漏洞进行全量扫描，并针对发现的Web漏洞进行验证，验证漏洞的真实性及分析发生后可造成的危害；对漏洞进行分析并输出可落地的修复方案，通过工单系统跟踪修复情况。要求供应商可以对服务范围内发现的每一个高危可利用漏洞提供防护规则，并且承诺防护率达到99%。</w:t>
            </w:r>
          </w:p>
          <w:p w14:paraId="237C0F3B">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5.7*24H威胁鉴定：供应商依托于安全托管服务云端平台的大数据分析和威胁检测能力实时监测用户网络安全状态，对平台监测到的安全威胁进行分析鉴定，识别到真正的安全事件。</w:t>
            </w:r>
          </w:p>
          <w:p w14:paraId="6989B748">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6.精准威胁情报推送：实时抓取互联网最新威胁情报与详细资产信息进行匹配，对最新威胁情报进行通告与排查。</w:t>
            </w:r>
          </w:p>
          <w:p w14:paraId="4592B124">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7.供应商可针对内/外网或特定业务系统及特定漏洞，基于采购人业务定制检测逻辑，尽可能快地发现漏洞或攻击痕迹，发现潜在的安全隐患和已失陷的主机/被钓鱼成功的员工/账密信息泄露等，最大限度地降低攻击者造成的危害，评估造成的损失等内容，最终帮助采购人验证风险并推动发现的问题和隐患进行闭环处理。</w:t>
            </w:r>
          </w:p>
          <w:p w14:paraId="103B3B06">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8.策略检查：供应商对安全组件上的安全策略进行统一检查，确保安全组件上的安全策略始终处于最优水平，针对威胁能起到最好的防护效果。</w:t>
            </w:r>
          </w:p>
          <w:p w14:paraId="7C1705CB">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9.策略调优：供应商根据安全威胁/事件分析的结果以及处置方式，按需对安全组件上的安全策略进行调整工作。</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10.安全问题处置：提供7*24小时威胁分析和鉴定服务，安全告警上传至服务云端平台依托于平台的大数据分析和威胁检测能力实时监测用户网络安全状态，对平台监测到的安全威胁进行分析鉴定，自动生成服务工单，识别到真正的安全威胁。</w:t>
            </w:r>
          </w:p>
          <w:p w14:paraId="1C5FCE44">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11.提供7*24小时的供应商响应机制，供应商供应商应对采购人咨询或上报的安全问题进行及时响应并给出建议，如主机加固建议咨询、安全事件处置建议咨询等。</w:t>
            </w:r>
          </w:p>
          <w:p w14:paraId="2FFD83E0">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12.7*24小时威胁鉴定：分析研判包括但不限于对脆弱性、异常流量、攻击日志、病毒日志等数据进行采集和实时分析研判，支持将同一资产的多个告警进行聚合分析发现各类安全事件并生成工单，并在告警详情中展示告警的基本信息，涉及的业务信息、攻击趋势、威胁详情、攻击原理、处置建议等内容，并支持根据采购人情况提供备注。</w:t>
            </w:r>
          </w:p>
          <w:p w14:paraId="4B3DFB7D">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★13.防通报服务：具备7*24小时云端威胁监测、异常外联监控、弱口令与暴力破解检测、Web攻击及漏洞利用防护能力，可实现安全事件实时告警、快速溯源与一键封堵，满足通报事件快速处置与闭环整改要求。</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14.服务要求：提供的服务成果展示门户；具备服务质量可视化展示，供应商能通过可视化的数据，清晰的了解供应商的服务水平，至少包括脆弱性闭环率、脆弱性平均响应时长、脆弱性平均闭环时长、威胁闭环率、威胁平均响应时长、威胁平均闭环时长、事件闭环率、事件平均闭环时长，以验证供应商所承诺的服务指标（或称为服务SLA）。</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15.安全设备对接与数据采集：供应商安全托管服务云端平台应当支持对接采购人网络中已部署的主要安全设备，包括安全态势感知、主机安全软件等，同时支持对接本次采购防火墙设备，支持实时接收安全设备检测到的安全事件信息、安全日志数据提供7*24小时的安全托管服务。</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★16.安全合规性要求：供应商云端平台应当做好严格的安全防护，并严格按照《信息安全技术—网络安全等级保护基本要求》完成等级保护测评工作，服务云端平台至少通过等级保护三级测评。</w:t>
            </w:r>
            <w:r>
              <w:rPr>
                <w:rFonts w:hint="eastAsia" w:ascii="仿宋_GB2312" w:hAnsi="仿宋_GB2312" w:eastAsia="仿宋_GB2312" w:cs="仿宋_GB2312"/>
                <w:color w:val="auto"/>
                <w:kern w:val="0"/>
                <w:sz w:val="20"/>
                <w:szCs w:val="20"/>
                <w:highlight w:val="none"/>
                <w:lang w:eastAsia="zh-CN"/>
              </w:rPr>
              <w:br w:type="textWrapping"/>
            </w:r>
            <w:r>
              <w:rPr>
                <w:rFonts w:hint="eastAsia" w:ascii="仿宋_GB2312" w:hAnsi="仿宋_GB2312" w:eastAsia="仿宋_GB2312" w:cs="仿宋_GB2312"/>
                <w:color w:val="auto"/>
                <w:kern w:val="0"/>
                <w:sz w:val="20"/>
                <w:szCs w:val="20"/>
                <w:highlight w:val="none"/>
                <w:lang w:eastAsia="zh-CN"/>
              </w:rPr>
              <w:t>17.服务交付物：服务期间内，提供包括但不限于以下汇报材料和内容：《项目启动会PPT》、《首次分析与处置报告》、《漏洞管理举证报告》、《漏洞清单》、《服务资产表》、《安全服务运营报告》、《应急响应报告》、《事件分析与处置报告》、《安全运营报告》、《安全通告》、《综合分析报告》、《季度汇报PPT》、《年度汇报PPT》。</w:t>
            </w:r>
          </w:p>
          <w:p w14:paraId="7A617BEF">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18.对服务范围内的资产提供网络安全事件损失理赔承诺，即在正常服务过程中因供应商的服务缺陷导致采购人服务范围内的资产发生网络安全事件时，采购人有权要求供应商赔偿该事件给采购人直接造成的网络营业中断损失、数据恢复费用、第三者责任、应急响应损失、网络勒索损失，累计赔付金额不得低于20万人民币。</w:t>
            </w:r>
          </w:p>
          <w:p w14:paraId="013A98E0">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19.全年提供不少于2次网络安全培训服务，包括但不限于针对各部门网络安全联络员、责任领导等提供网络安全意识培训服务，针对各部门网络安全联络员提供弱密码管理、威胁管理、应急处置培训服务，针对安全运维团队提供网络安全行业前沿技术培训服务。</w:t>
            </w:r>
          </w:p>
        </w:tc>
        <w:tc>
          <w:tcPr>
            <w:tcW w:w="220" w:type="pct"/>
            <w:tcBorders>
              <w:top w:val="nil"/>
              <w:left w:val="nil"/>
              <w:bottom w:val="single" w:color="auto" w:sz="4" w:space="0"/>
              <w:right w:val="single" w:color="auto" w:sz="4" w:space="0"/>
            </w:tcBorders>
            <w:vAlign w:val="center"/>
          </w:tcPr>
          <w:p w14:paraId="6657B283">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1</w:t>
            </w:r>
          </w:p>
        </w:tc>
        <w:tc>
          <w:tcPr>
            <w:tcW w:w="220" w:type="pct"/>
            <w:tcBorders>
              <w:top w:val="nil"/>
              <w:left w:val="nil"/>
              <w:bottom w:val="single" w:color="auto" w:sz="4" w:space="0"/>
              <w:right w:val="single" w:color="auto" w:sz="4" w:space="0"/>
            </w:tcBorders>
            <w:vAlign w:val="center"/>
          </w:tcPr>
          <w:p w14:paraId="7AF36480">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套</w:t>
            </w:r>
          </w:p>
        </w:tc>
      </w:tr>
      <w:tr w14:paraId="69F1EFEC">
        <w:tblPrEx>
          <w:tblCellMar>
            <w:top w:w="0" w:type="dxa"/>
            <w:left w:w="108" w:type="dxa"/>
            <w:bottom w:w="0" w:type="dxa"/>
            <w:right w:w="108" w:type="dxa"/>
          </w:tblCellMar>
        </w:tblPrEx>
        <w:trPr>
          <w:trHeight w:val="7164" w:hRule="atLeast"/>
        </w:trPr>
        <w:tc>
          <w:tcPr>
            <w:tcW w:w="220" w:type="pct"/>
            <w:tcBorders>
              <w:top w:val="single" w:color="auto" w:sz="4" w:space="0"/>
              <w:left w:val="single" w:color="auto" w:sz="4" w:space="0"/>
              <w:bottom w:val="single" w:color="auto" w:sz="4" w:space="0"/>
              <w:right w:val="single" w:color="auto" w:sz="4" w:space="0"/>
            </w:tcBorders>
            <w:vAlign w:val="center"/>
          </w:tcPr>
          <w:p w14:paraId="1E9AA1FD">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8</w:t>
            </w:r>
          </w:p>
        </w:tc>
        <w:tc>
          <w:tcPr>
            <w:tcW w:w="326" w:type="pct"/>
            <w:tcBorders>
              <w:top w:val="single" w:color="auto" w:sz="4" w:space="0"/>
              <w:left w:val="nil"/>
              <w:bottom w:val="single" w:color="auto" w:sz="4" w:space="0"/>
              <w:right w:val="single" w:color="auto" w:sz="4" w:space="0"/>
            </w:tcBorders>
            <w:vAlign w:val="center"/>
          </w:tcPr>
          <w:p w14:paraId="24B8FE3B">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安全态势感知平台规则库升级与软件维保服务</w:t>
            </w:r>
          </w:p>
        </w:tc>
        <w:tc>
          <w:tcPr>
            <w:tcW w:w="2434" w:type="pct"/>
            <w:tcBorders>
              <w:top w:val="single" w:color="auto" w:sz="4" w:space="0"/>
              <w:left w:val="nil"/>
              <w:bottom w:val="single" w:color="auto" w:sz="4" w:space="0"/>
              <w:right w:val="single" w:color="auto" w:sz="4" w:space="0"/>
            </w:tcBorders>
            <w:vAlign w:val="center"/>
          </w:tcPr>
          <w:p w14:paraId="73DD4348">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1.提供产品所依赖的规则库更新及系统软件升级服务，服务期3年。</w:t>
            </w:r>
          </w:p>
          <w:p w14:paraId="44480024">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2.安全规则库：支持WEB应用防护识别库、IPS漏洞利用检测识别库、实时漏洞分析识别库、黑客工具检测识别库，且具备自定义的web防护识别库、漏洞利用检测引擎。</w:t>
            </w:r>
          </w:p>
          <w:p w14:paraId="3013E300">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3.具备安全检测特征识别库、安全知识库、IOC威胁情报库、热点事件库、文件智能分析模型库检测能力。</w:t>
            </w:r>
          </w:p>
          <w:p w14:paraId="61DC8F65">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4.支持规则库定期自动升级、联动云端获取和离线手动升级。</w:t>
            </w:r>
          </w:p>
          <w:p w14:paraId="54B2DDC1">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5.定期开展设备巡检、风险排查和系统运行健康检查，出具维护报告。</w:t>
            </w:r>
          </w:p>
          <w:p w14:paraId="2E15B017">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6.软件维保，含技术支持、授权服务及系统优化建议。</w:t>
            </w:r>
          </w:p>
          <w:p w14:paraId="158F8F97">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7.故障发生时提供电话响应与现场技术支持服务，恢复系统正常运行。</w:t>
            </w:r>
          </w:p>
          <w:p w14:paraId="0A4810D7">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8.提供故障事件处理记录、季度服务报告、年度运行状况总结等文档资料。</w:t>
            </w:r>
          </w:p>
          <w:p w14:paraId="5DDAFD4A">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9.整理设备相关的配置文档与管理制度，构建运维资料库，支持持续优化。</w:t>
            </w:r>
          </w:p>
          <w:p w14:paraId="032F62F7">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10.提供必要的产品使用培训、技术交流服务，提升用户操作能力和安全意识。</w:t>
            </w:r>
          </w:p>
        </w:tc>
        <w:tc>
          <w:tcPr>
            <w:tcW w:w="220" w:type="pct"/>
            <w:tcBorders>
              <w:top w:val="single" w:color="auto" w:sz="4" w:space="0"/>
              <w:left w:val="nil"/>
              <w:bottom w:val="single" w:color="auto" w:sz="4" w:space="0"/>
              <w:right w:val="single" w:color="auto" w:sz="4" w:space="0"/>
            </w:tcBorders>
            <w:vAlign w:val="center"/>
          </w:tcPr>
          <w:p w14:paraId="3F1A8F62">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1</w:t>
            </w:r>
          </w:p>
        </w:tc>
        <w:tc>
          <w:tcPr>
            <w:tcW w:w="220" w:type="pct"/>
            <w:tcBorders>
              <w:top w:val="single" w:color="auto" w:sz="4" w:space="0"/>
              <w:left w:val="nil"/>
              <w:bottom w:val="single" w:color="auto" w:sz="4" w:space="0"/>
              <w:right w:val="single" w:color="auto" w:sz="4" w:space="0"/>
            </w:tcBorders>
            <w:vAlign w:val="center"/>
          </w:tcPr>
          <w:p w14:paraId="0E991619">
            <w:pPr>
              <w:pStyle w:val="4"/>
              <w:rPr>
                <w:rFonts w:ascii="仿宋_GB2312" w:hAnsi="仿宋_GB2312" w:eastAsia="仿宋_GB2312" w:cs="仿宋_GB2312"/>
                <w:color w:val="auto"/>
                <w:kern w:val="0"/>
                <w:sz w:val="20"/>
                <w:szCs w:val="20"/>
                <w:highlight w:val="none"/>
                <w:lang w:eastAsia="zh-CN"/>
              </w:rPr>
            </w:pPr>
            <w:r>
              <w:rPr>
                <w:rFonts w:hint="eastAsia" w:ascii="仿宋_GB2312" w:hAnsi="仿宋_GB2312" w:eastAsia="仿宋_GB2312" w:cs="仿宋_GB2312"/>
                <w:color w:val="auto"/>
                <w:kern w:val="0"/>
                <w:sz w:val="20"/>
                <w:szCs w:val="20"/>
                <w:highlight w:val="none"/>
                <w:lang w:eastAsia="zh-CN"/>
              </w:rPr>
              <w:t>项</w:t>
            </w:r>
          </w:p>
        </w:tc>
      </w:tr>
    </w:tbl>
    <w:p w14:paraId="7FC75833">
      <w:pPr>
        <w:pStyle w:val="4"/>
        <w:rPr>
          <w:rFonts w:ascii="仿宋" w:hAnsi="仿宋" w:eastAsia="仿宋" w:cs="仿宋"/>
          <w:color w:val="auto"/>
          <w:sz w:val="20"/>
          <w:szCs w:val="20"/>
          <w:highlight w:val="none"/>
          <w:lang w:eastAsia="zh-CN"/>
        </w:rPr>
      </w:pPr>
      <w:r>
        <w:rPr>
          <w:rFonts w:hint="eastAsia" w:ascii="仿宋" w:hAnsi="仿宋" w:eastAsia="仿宋" w:cs="仿宋"/>
          <w:b/>
          <w:bCs/>
          <w:color w:val="auto"/>
          <w:sz w:val="20"/>
          <w:szCs w:val="20"/>
          <w:highlight w:val="none"/>
          <w:lang w:val="en-US" w:eastAsia="zh-CN"/>
        </w:rPr>
        <w:t>一</w:t>
      </w:r>
      <w:r>
        <w:rPr>
          <w:rFonts w:hint="eastAsia" w:ascii="仿宋" w:hAnsi="仿宋" w:eastAsia="仿宋" w:cs="仿宋"/>
          <w:b/>
          <w:bCs/>
          <w:color w:val="auto"/>
          <w:sz w:val="20"/>
          <w:szCs w:val="20"/>
          <w:highlight w:val="none"/>
          <w:lang w:eastAsia="zh-CN"/>
        </w:rPr>
        <w:t>、技术要求（</w:t>
      </w:r>
      <w:r>
        <w:rPr>
          <w:rFonts w:hint="eastAsia" w:ascii="仿宋" w:hAnsi="仿宋" w:eastAsia="仿宋" w:cs="仿宋"/>
          <w:color w:val="auto"/>
          <w:sz w:val="20"/>
          <w:szCs w:val="20"/>
          <w:highlight w:val="none"/>
          <w:lang w:eastAsia="zh-CN"/>
        </w:rPr>
        <w:t>包括对产品的认证、检验报告等）</w:t>
      </w:r>
    </w:p>
    <w:p w14:paraId="7C3B0A4B">
      <w:pPr>
        <w:pStyle w:val="4"/>
        <w:ind w:firstLine="0" w:firstLineChars="0"/>
        <w:jc w:val="both"/>
        <w:rPr>
          <w:rFonts w:hint="eastAsia" w:ascii="仿宋" w:hAnsi="仿宋" w:eastAsia="仿宋" w:cs="仿宋"/>
          <w:color w:val="auto"/>
          <w:sz w:val="20"/>
          <w:szCs w:val="20"/>
          <w:highlight w:val="none"/>
          <w:u w:val="none"/>
          <w:lang w:eastAsia="zh-CN"/>
        </w:rPr>
      </w:pPr>
      <w:r>
        <w:rPr>
          <w:rFonts w:hint="eastAsia" w:ascii="仿宋" w:hAnsi="仿宋" w:eastAsia="仿宋" w:cs="仿宋"/>
          <w:color w:val="auto"/>
          <w:sz w:val="20"/>
          <w:szCs w:val="20"/>
          <w:highlight w:val="none"/>
          <w:u w:val="none"/>
          <w:lang w:val="en-US" w:eastAsia="zh-CN"/>
        </w:rPr>
        <w:t>1.投标方案中涉及品牌网络安全设备（如防火墙、Web应用防火墙、日志审计等），投标人必须提供针对本项目的有效售后服务承诺函，明确服务标准、响应时间和质保期限，并承诺所投产品为原厂正品、来源合法，承担产品质量及售后服务全部责任</w:t>
      </w:r>
      <w:r>
        <w:rPr>
          <w:rFonts w:hint="eastAsia" w:ascii="仿宋" w:hAnsi="仿宋" w:eastAsia="仿宋" w:cs="仿宋"/>
          <w:color w:val="auto"/>
          <w:sz w:val="20"/>
          <w:szCs w:val="20"/>
          <w:highlight w:val="none"/>
          <w:u w:val="none"/>
          <w:lang w:eastAsia="zh-CN"/>
        </w:rPr>
        <w:t>。</w:t>
      </w:r>
    </w:p>
    <w:p w14:paraId="46BB2E91">
      <w:pPr>
        <w:pStyle w:val="4"/>
        <w:ind w:firstLine="0" w:firstLineChars="0"/>
        <w:jc w:val="both"/>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u w:val="none"/>
          <w:lang w:val="en-US" w:eastAsia="zh-CN"/>
        </w:rPr>
        <w:t>2.产品须列入国家网信办等部门统一发布的《网络关键设备和网络安全专用产品安全认证和安全检测结果名录》，提供有效的安全认证证书或安全检测报告（由具备资格的机构出具），证书 / 报告版本在有效期内且产品型号、版本与投标产品一致</w:t>
      </w:r>
      <w:r>
        <w:rPr>
          <w:rFonts w:hint="eastAsia" w:ascii="仿宋" w:hAnsi="仿宋" w:eastAsia="仿宋" w:cs="仿宋"/>
          <w:color w:val="auto"/>
          <w:sz w:val="20"/>
          <w:szCs w:val="20"/>
          <w:highlight w:val="none"/>
          <w:lang w:eastAsia="zh-CN"/>
        </w:rPr>
        <w:t>。</w:t>
      </w:r>
    </w:p>
    <w:p w14:paraId="05EC00B0">
      <w:pPr>
        <w:pStyle w:val="4"/>
        <w:ind w:firstLine="0" w:firstLineChars="0"/>
        <w:jc w:val="both"/>
        <w:rPr>
          <w:rFonts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eastAsia="zh-CN"/>
        </w:rPr>
        <w:t>3.</w:t>
      </w:r>
      <w:r>
        <w:rPr>
          <w:rFonts w:ascii="仿宋" w:hAnsi="仿宋" w:eastAsia="仿宋" w:cs="仿宋"/>
          <w:color w:val="auto"/>
          <w:sz w:val="20"/>
          <w:szCs w:val="20"/>
          <w:highlight w:val="none"/>
        </w:rPr>
        <w:t>带“★”的参数需求为实质性要求，供应商必须响应并满足的参数需求，并提供不限于产品说明书、公开发行的宣传页、官网产品参数截图、第三方的检测报告等，说明书、宣传页可以采用扫描件或复印件，均需加盖公章为有效）。若未响应，将判定为不满足实质要求。</w:t>
      </w:r>
    </w:p>
    <w:p w14:paraId="3B28F789">
      <w:pPr>
        <w:pStyle w:val="4"/>
        <w:ind w:firstLine="0" w:firstLineChars="0"/>
        <w:jc w:val="both"/>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val="en-US" w:eastAsia="zh-CN"/>
        </w:rPr>
        <w:t>二</w:t>
      </w:r>
      <w:r>
        <w:rPr>
          <w:rFonts w:hint="eastAsia" w:ascii="仿宋" w:hAnsi="仿宋" w:eastAsia="仿宋" w:cs="仿宋"/>
          <w:color w:val="auto"/>
          <w:sz w:val="20"/>
          <w:szCs w:val="20"/>
          <w:highlight w:val="none"/>
          <w:lang w:eastAsia="zh-CN"/>
        </w:rPr>
        <w:t>、服务要求</w:t>
      </w:r>
    </w:p>
    <w:p w14:paraId="27E16131">
      <w:pPr>
        <w:pStyle w:val="4"/>
        <w:jc w:val="both"/>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1.中标人负责整体方案设计、设备上架、布线、配置调试、策略优化、联调测试。</w:t>
      </w:r>
    </w:p>
    <w:p w14:paraId="42038C31">
      <w:pPr>
        <w:pStyle w:val="4"/>
        <w:jc w:val="both"/>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2.提供策略迁移服务，确保现有业务不中断、平滑割接。</w:t>
      </w:r>
    </w:p>
    <w:p w14:paraId="74892739">
      <w:pPr>
        <w:pStyle w:val="4"/>
        <w:jc w:val="both"/>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3.原厂正品，提供原厂供货证明、服务承诺函。</w:t>
      </w:r>
    </w:p>
    <w:p w14:paraId="740CD029">
      <w:pPr>
        <w:pStyle w:val="4"/>
        <w:jc w:val="both"/>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4.</w:t>
      </w:r>
      <w:r>
        <w:rPr>
          <w:rFonts w:hint="eastAsia" w:ascii="仿宋" w:hAnsi="仿宋" w:eastAsia="仿宋" w:cs="仿宋"/>
          <w:color w:val="auto"/>
          <w:sz w:val="20"/>
          <w:szCs w:val="20"/>
          <w:highlight w:val="none"/>
          <w:lang w:val="en-US" w:eastAsia="zh-CN"/>
        </w:rPr>
        <w:t>按照产品技术参数质保要求提供</w:t>
      </w:r>
      <w:r>
        <w:rPr>
          <w:rFonts w:hint="eastAsia" w:ascii="仿宋" w:hAnsi="仿宋" w:eastAsia="仿宋" w:cs="仿宋"/>
          <w:color w:val="auto"/>
          <w:sz w:val="20"/>
          <w:szCs w:val="20"/>
          <w:highlight w:val="none"/>
          <w:lang w:eastAsia="zh-CN"/>
        </w:rPr>
        <w:t>硬件保修、特征库升级、版本免费升级。</w:t>
      </w:r>
    </w:p>
    <w:p w14:paraId="55F6FDF2">
      <w:pPr>
        <w:pStyle w:val="4"/>
        <w:jc w:val="both"/>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5.提供网络拓扑图、安全策略文档、详细技术文档、维护手册、配置手册、技术验收测试报告。</w:t>
      </w:r>
    </w:p>
    <w:p w14:paraId="30A8F2C7">
      <w:pPr>
        <w:pStyle w:val="4"/>
        <w:jc w:val="both"/>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6.提供7×24小时远程技术支持，重大故障4小时内到达现场，一般故障2小时响应，24小时解决。</w:t>
      </w:r>
    </w:p>
    <w:p w14:paraId="70BC7911">
      <w:pPr>
        <w:pStyle w:val="4"/>
        <w:jc w:val="both"/>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7.提供定期巡检服务，每季度/半年现场巡检，健康检查、策略优化。</w:t>
      </w:r>
    </w:p>
    <w:p w14:paraId="2D510309">
      <w:pPr>
        <w:pStyle w:val="4"/>
        <w:jc w:val="both"/>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8.提供现场培训：管理员操作培训、安全策略配置培训、应急处置培训。 </w:t>
      </w:r>
    </w:p>
    <w:p w14:paraId="7092DA96">
      <w:pPr>
        <w:pStyle w:val="4"/>
        <w:jc w:val="both"/>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9.服务期间遵守采购人机房管理、保密、安全、防火等规定。</w:t>
      </w:r>
    </w:p>
    <w:p w14:paraId="7685CB3D">
      <w:pPr>
        <w:pStyle w:val="4"/>
        <w:jc w:val="both"/>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val="en-US" w:eastAsia="zh-CN"/>
        </w:rPr>
        <w:t>三</w:t>
      </w:r>
      <w:r>
        <w:rPr>
          <w:rFonts w:hint="eastAsia" w:ascii="仿宋" w:hAnsi="仿宋" w:eastAsia="仿宋" w:cs="仿宋"/>
          <w:color w:val="auto"/>
          <w:sz w:val="20"/>
          <w:szCs w:val="20"/>
          <w:highlight w:val="none"/>
          <w:lang w:eastAsia="zh-CN"/>
        </w:rPr>
        <w:t>、商务要求</w:t>
      </w:r>
    </w:p>
    <w:p w14:paraId="772D29E3">
      <w:pPr>
        <w:pStyle w:val="4"/>
        <w:jc w:val="both"/>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1.所有安全设备、软件、模块必须为原厂全新正品，严禁翻新、返修、试用版。</w:t>
      </w:r>
    </w:p>
    <w:p w14:paraId="62BB9748">
      <w:pPr>
        <w:pStyle w:val="4"/>
        <w:jc w:val="both"/>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2.设备型号、配置、许可、授权须与技术参数完全一致，不得缺省功能、降级使用。</w:t>
      </w:r>
    </w:p>
    <w:p w14:paraId="52DAFFDA">
      <w:pPr>
        <w:pStyle w:val="4"/>
        <w:jc w:val="both"/>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3.供货时须提供：原厂供货证明、原厂质保承诺函、产品序列号、唯一标识码、产品合格证、装箱清单。</w:t>
      </w:r>
    </w:p>
    <w:p w14:paraId="534C52C1">
      <w:pPr>
        <w:pStyle w:val="4"/>
        <w:jc w:val="both"/>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4.交货期：合同签订后</w:t>
      </w:r>
      <w:r>
        <w:rPr>
          <w:rFonts w:hint="eastAsia" w:ascii="仿宋" w:hAnsi="仿宋" w:eastAsia="仿宋" w:cs="仿宋"/>
          <w:color w:val="auto"/>
          <w:sz w:val="20"/>
          <w:szCs w:val="20"/>
          <w:highlight w:val="none"/>
          <w:lang w:val="en-US" w:eastAsia="zh-CN"/>
        </w:rPr>
        <w:t>20</w:t>
      </w:r>
      <w:r>
        <w:rPr>
          <w:rFonts w:hint="eastAsia" w:ascii="仿宋" w:hAnsi="仿宋" w:eastAsia="仿宋" w:cs="仿宋"/>
          <w:color w:val="auto"/>
          <w:sz w:val="20"/>
          <w:szCs w:val="20"/>
          <w:highlight w:val="none"/>
          <w:lang w:eastAsia="zh-CN"/>
        </w:rPr>
        <w:t>日历天内到货并完成安装调试。</w:t>
      </w:r>
    </w:p>
    <w:p w14:paraId="718B0F04">
      <w:pPr>
        <w:pStyle w:val="4"/>
        <w:jc w:val="both"/>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5.知识产权与保密要求：投标人保证所提供产品、软件不侵犯任何第三方知识产权。实施过程数据、信息严格保密，保密期限不少于5年。严禁擅自留存复制外传采购人任何敏感信息。</w:t>
      </w:r>
    </w:p>
    <w:p w14:paraId="5B4E3A32">
      <w:pPr>
        <w:pStyle w:val="4"/>
        <w:jc w:val="both"/>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6.合同签订生效后支付</w:t>
      </w:r>
      <w:r>
        <w:rPr>
          <w:rFonts w:hint="eastAsia" w:ascii="仿宋" w:hAnsi="仿宋" w:eastAsia="仿宋" w:cs="仿宋"/>
          <w:color w:val="auto"/>
          <w:sz w:val="20"/>
          <w:szCs w:val="20"/>
          <w:highlight w:val="none"/>
          <w:lang w:val="en-US" w:eastAsia="zh-CN"/>
        </w:rPr>
        <w:t>4</w:t>
      </w:r>
      <w:r>
        <w:rPr>
          <w:rFonts w:hint="eastAsia" w:ascii="仿宋" w:hAnsi="仿宋" w:eastAsia="仿宋" w:cs="仿宋"/>
          <w:color w:val="auto"/>
          <w:sz w:val="20"/>
          <w:szCs w:val="20"/>
          <w:highlight w:val="none"/>
          <w:lang w:eastAsia="zh-CN"/>
        </w:rPr>
        <w:t>0%预付款，设备安装调试、验收合格后支付</w:t>
      </w:r>
      <w:r>
        <w:rPr>
          <w:rFonts w:hint="eastAsia" w:ascii="仿宋" w:hAnsi="仿宋" w:eastAsia="仿宋" w:cs="仿宋"/>
          <w:color w:val="auto"/>
          <w:sz w:val="20"/>
          <w:szCs w:val="20"/>
          <w:highlight w:val="none"/>
          <w:lang w:val="en-US" w:eastAsia="zh-CN"/>
        </w:rPr>
        <w:t>6</w:t>
      </w:r>
      <w:r>
        <w:rPr>
          <w:rFonts w:hint="eastAsia" w:ascii="仿宋" w:hAnsi="仿宋" w:eastAsia="仿宋" w:cs="仿宋"/>
          <w:color w:val="auto"/>
          <w:sz w:val="20"/>
          <w:szCs w:val="20"/>
          <w:highlight w:val="none"/>
          <w:lang w:eastAsia="zh-CN"/>
        </w:rPr>
        <w:t>0%。</w:t>
      </w:r>
    </w:p>
    <w:p w14:paraId="29E1CFD0">
      <w:pPr>
        <w:pStyle w:val="4"/>
        <w:jc w:val="both"/>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val="en-US" w:eastAsia="zh-CN"/>
        </w:rPr>
        <w:t>四</w:t>
      </w:r>
      <w:r>
        <w:rPr>
          <w:rFonts w:hint="eastAsia" w:ascii="仿宋" w:hAnsi="仿宋" w:eastAsia="仿宋" w:cs="仿宋"/>
          <w:color w:val="auto"/>
          <w:sz w:val="20"/>
          <w:szCs w:val="20"/>
          <w:highlight w:val="none"/>
          <w:lang w:eastAsia="zh-CN"/>
        </w:rPr>
        <w:t>、其他</w:t>
      </w:r>
    </w:p>
    <w:p w14:paraId="49E549B7">
      <w:pPr>
        <w:pStyle w:val="4"/>
        <w:jc w:val="both"/>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w:t>
      </w:r>
      <w:r>
        <w:rPr>
          <w:rFonts w:hint="eastAsia" w:ascii="仿宋" w:hAnsi="仿宋" w:eastAsia="仿宋" w:cs="仿宋"/>
          <w:color w:val="auto"/>
          <w:sz w:val="20"/>
          <w:szCs w:val="20"/>
          <w:highlight w:val="none"/>
          <w:lang w:val="en-US" w:eastAsia="zh-CN"/>
        </w:rPr>
        <w:t>一</w:t>
      </w:r>
      <w:r>
        <w:rPr>
          <w:rFonts w:hint="eastAsia" w:ascii="仿宋" w:hAnsi="仿宋" w:eastAsia="仿宋" w:cs="仿宋"/>
          <w:color w:val="auto"/>
          <w:sz w:val="20"/>
          <w:szCs w:val="20"/>
          <w:highlight w:val="none"/>
          <w:lang w:eastAsia="zh-CN"/>
        </w:rPr>
        <w:t>）质量验收标准或规范</w:t>
      </w:r>
    </w:p>
    <w:p w14:paraId="4D0975B5">
      <w:pPr>
        <w:pStyle w:val="4"/>
        <w:jc w:val="both"/>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1.验收依据：GB/T51434-2021、GB/T28448-2019、GB/T22239-2019及国家相关法规。</w:t>
      </w:r>
    </w:p>
    <w:p w14:paraId="0B05386E">
      <w:pPr>
        <w:pStyle w:val="4"/>
        <w:jc w:val="both"/>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2.验收流程：到货验收→安装验收→功能性能验收→安全合规验收→试运行→终验。</w:t>
      </w:r>
    </w:p>
    <w:p w14:paraId="7E689E60">
      <w:pPr>
        <w:pStyle w:val="4"/>
        <w:jc w:val="both"/>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3.核心指标：功能100%实现、性能≥招标值、等保测评合格、日志留存≥6个月、国密合规。</w:t>
      </w:r>
    </w:p>
    <w:p w14:paraId="460F6EE7">
      <w:pPr>
        <w:pStyle w:val="4"/>
        <w:jc w:val="both"/>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4.缺陷判定：无A/B类缺陷，C类缺陷≤3项且整改完成，方为验收合格。</w:t>
      </w:r>
    </w:p>
    <w:p w14:paraId="6AFDCAD2">
      <w:pPr>
        <w:pStyle w:val="4"/>
        <w:jc w:val="both"/>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5.交付物：完整竣工资料、测试报告、认证证书、验收报告。</w:t>
      </w:r>
    </w:p>
    <w:p w14:paraId="3D597003">
      <w:pPr>
        <w:pStyle w:val="4"/>
        <w:jc w:val="both"/>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6.否决项：存在假货、核心功能失效、等保不合格、安全事件，直接判定验收不合格。</w:t>
      </w:r>
    </w:p>
    <w:p w14:paraId="2A048AA3">
      <w:pPr>
        <w:pStyle w:val="4"/>
        <w:jc w:val="both"/>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7.若产品质量有问题，由乙方负责解决并承担费用。</w:t>
      </w:r>
    </w:p>
    <w:p w14:paraId="14C743ED">
      <w:pPr>
        <w:pStyle w:val="4"/>
        <w:jc w:val="both"/>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w:t>
      </w:r>
      <w:r>
        <w:rPr>
          <w:rFonts w:hint="eastAsia" w:ascii="仿宋" w:hAnsi="仿宋" w:eastAsia="仿宋" w:cs="仿宋"/>
          <w:color w:val="auto"/>
          <w:sz w:val="20"/>
          <w:szCs w:val="20"/>
          <w:highlight w:val="none"/>
          <w:lang w:val="en-US" w:eastAsia="zh-CN"/>
        </w:rPr>
        <w:t>二</w:t>
      </w:r>
      <w:r>
        <w:rPr>
          <w:rFonts w:hint="eastAsia" w:ascii="仿宋" w:hAnsi="仿宋" w:eastAsia="仿宋" w:cs="仿宋"/>
          <w:color w:val="auto"/>
          <w:sz w:val="20"/>
          <w:szCs w:val="20"/>
          <w:highlight w:val="none"/>
          <w:lang w:eastAsia="zh-CN"/>
        </w:rPr>
        <w:t>）产品质保期</w:t>
      </w:r>
    </w:p>
    <w:p w14:paraId="570826BD">
      <w:pPr>
        <w:pStyle w:val="4"/>
        <w:jc w:val="both"/>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val="en-US" w:eastAsia="zh-CN"/>
        </w:rPr>
        <w:t>按照产品技术参数要求年限完成硬件维保和</w:t>
      </w:r>
      <w:r>
        <w:rPr>
          <w:rFonts w:hint="eastAsia" w:ascii="仿宋" w:hAnsi="仿宋" w:eastAsia="仿宋" w:cs="仿宋"/>
          <w:color w:val="auto"/>
          <w:sz w:val="20"/>
          <w:szCs w:val="20"/>
          <w:highlight w:val="none"/>
          <w:lang w:eastAsia="zh-CN"/>
        </w:rPr>
        <w:t>软件、特征库升级。</w:t>
      </w:r>
    </w:p>
    <w:p w14:paraId="2757F3E7">
      <w:pPr>
        <w:pStyle w:val="4"/>
        <w:jc w:val="both"/>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w:t>
      </w:r>
      <w:r>
        <w:rPr>
          <w:rFonts w:hint="eastAsia" w:ascii="仿宋" w:hAnsi="仿宋" w:eastAsia="仿宋" w:cs="仿宋"/>
          <w:color w:val="auto"/>
          <w:sz w:val="20"/>
          <w:szCs w:val="20"/>
          <w:highlight w:val="none"/>
          <w:lang w:val="en-US" w:eastAsia="zh-CN"/>
        </w:rPr>
        <w:t>三</w:t>
      </w:r>
      <w:r>
        <w:rPr>
          <w:rFonts w:hint="eastAsia" w:ascii="仿宋" w:hAnsi="仿宋" w:eastAsia="仿宋" w:cs="仿宋"/>
          <w:color w:val="auto"/>
          <w:sz w:val="20"/>
          <w:szCs w:val="20"/>
          <w:highlight w:val="none"/>
          <w:lang w:eastAsia="zh-CN"/>
        </w:rPr>
        <w:t>）违约责任</w:t>
      </w:r>
    </w:p>
    <w:p w14:paraId="52E69FC5">
      <w:pPr>
        <w:pStyle w:val="4"/>
        <w:jc w:val="both"/>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1.提供假货、串货、伪劣产品，采购人有权终止合同、全额退款并追究赔偿。</w:t>
      </w:r>
    </w:p>
    <w:p w14:paraId="02F4566B">
      <w:pPr>
        <w:tabs>
          <w:tab w:val="left" w:pos="1233"/>
          <w:tab w:val="center" w:pos="4213"/>
        </w:tabs>
        <w:jc w:val="left"/>
        <w:rPr>
          <w:rFonts w:hint="eastAsia" w:eastAsiaTheme="minorEastAsia"/>
          <w:b w:val="0"/>
          <w:bCs w:val="0"/>
          <w:sz w:val="32"/>
          <w:szCs w:val="40"/>
          <w:lang w:val="en-US" w:eastAsia="zh-CN"/>
        </w:rPr>
      </w:pPr>
      <w:r>
        <w:rPr>
          <w:rFonts w:hint="eastAsia" w:ascii="仿宋" w:hAnsi="仿宋" w:eastAsia="仿宋" w:cs="仿宋"/>
          <w:color w:val="auto"/>
          <w:sz w:val="20"/>
          <w:szCs w:val="20"/>
          <w:highlight w:val="none"/>
          <w:lang w:eastAsia="zh-CN"/>
        </w:rPr>
        <w:t>2.服务不达标、故障响应不及时，采购</w:t>
      </w:r>
      <w:bookmarkStart w:id="0" w:name="_GoBack"/>
      <w:bookmarkEnd w:id="0"/>
      <w:r>
        <w:rPr>
          <w:rFonts w:hint="eastAsia" w:ascii="仿宋" w:hAnsi="仿宋" w:eastAsia="仿宋" w:cs="仿宋"/>
          <w:color w:val="auto"/>
          <w:sz w:val="20"/>
          <w:szCs w:val="20"/>
          <w:highlight w:val="none"/>
          <w:lang w:eastAsia="zh-CN"/>
        </w:rPr>
        <w:t>人有权扣除相应维保费用。</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F76307"/>
    <w:rsid w:val="28F763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2026-06-09T08:21:00Z</dcterms:created>
  <dc:creator>功长张</dc:creator>
  <cp:lastModifiedBy>功长张</cp:lastModifiedBy>
  <dcterms:modified xsi:type="dcterms:W3CDTF">2026-06-09T08:22:32Z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7BEEB3B08ED84115A78FC5A59B2EC030_11</vt:lpwstr>
  </property>
  <property fmtid="{D5CDD505-2E9C-101B-9397-08002B2CF9AE}" pid="4" name="KSOTemplateDocerSaveRecord">
    <vt:lpwstr>eyJoZGlkIjoiMzg5MTM5NTA1NmFjZjVlOGM0M2E1NDFiYzgwZjQ0N2MiLCJ1c2VySWQiOiIzNTk4Njk5MTIifQ==</vt:lpwstr>
  </property>
</Properties>
</file>