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版本号：GCZB2026-03-019-W20260525002</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动态信号采集与分析系统</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GCZB2026-03-019-W</w:t>
      </w:r>
      <w:r>
        <w:br/>
      </w:r>
      <w:r>
        <w:br/>
      </w:r>
      <w:r>
        <w:br/>
      </w:r>
    </w:p>
    <w:p>
      <w:pPr>
        <w:pStyle w:val="null3"/>
        <w:jc w:val="center"/>
        <w:outlineLvl w:val="2"/>
      </w:pPr>
      <w:r>
        <w:rPr>
          <w:rFonts w:ascii="仿宋_GB2312" w:hAnsi="仿宋_GB2312" w:cs="仿宋_GB2312" w:eastAsia="仿宋_GB2312"/>
          <w:sz w:val="28"/>
          <w:b/>
        </w:rPr>
        <w:t>西安工业大学</w:t>
      </w:r>
    </w:p>
    <w:p>
      <w:pPr>
        <w:pStyle w:val="null3"/>
        <w:jc w:val="center"/>
        <w:outlineLvl w:val="2"/>
      </w:pPr>
      <w:r>
        <w:rPr>
          <w:rFonts w:ascii="仿宋_GB2312" w:hAnsi="仿宋_GB2312" w:cs="仿宋_GB2312" w:eastAsia="仿宋_GB2312"/>
          <w:sz w:val="28"/>
          <w:b/>
        </w:rPr>
        <w:t>陕西国创招标有限公司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陕西国创招标有限公司</w:t>
      </w:r>
      <w:r>
        <w:rPr>
          <w:rFonts w:ascii="仿宋_GB2312" w:hAnsi="仿宋_GB2312" w:cs="仿宋_GB2312" w:eastAsia="仿宋_GB2312"/>
        </w:rPr>
        <w:t>（以下简称“代理机构”）受</w:t>
      </w:r>
      <w:r>
        <w:rPr>
          <w:rFonts w:ascii="仿宋_GB2312" w:hAnsi="仿宋_GB2312" w:cs="仿宋_GB2312" w:eastAsia="仿宋_GB2312"/>
        </w:rPr>
        <w:t>西安工业大学</w:t>
      </w:r>
      <w:r>
        <w:rPr>
          <w:rFonts w:ascii="仿宋_GB2312" w:hAnsi="仿宋_GB2312" w:cs="仿宋_GB2312" w:eastAsia="仿宋_GB2312"/>
        </w:rPr>
        <w:t>委托，拟对</w:t>
      </w:r>
      <w:r>
        <w:rPr>
          <w:rFonts w:ascii="仿宋_GB2312" w:hAnsi="仿宋_GB2312" w:cs="仿宋_GB2312" w:eastAsia="仿宋_GB2312"/>
        </w:rPr>
        <w:t>动态信号采集与分析系统</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GCZB2026-03-019-W</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动态信号采集与分析系统</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动态信号采集与分析系统，具体内容详见招标文件。</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采购包1（动态信号采集与分析系统）：属于专门面向中小企业采购。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2、财务状况报告：提供经审计的完整的2024年度或2025年度的财务报告或提交投标文件截止时间前六个月内其基本账户开户银行出具的资信证明；其他组织和自然人提供银行出具的资信证明或财务报表；</w:t>
      </w:r>
    </w:p>
    <w:p>
      <w:pPr>
        <w:pStyle w:val="null3"/>
      </w:pPr>
      <w:r>
        <w:rPr>
          <w:rFonts w:ascii="仿宋_GB2312" w:hAnsi="仿宋_GB2312" w:cs="仿宋_GB2312" w:eastAsia="仿宋_GB2312"/>
        </w:rPr>
        <w:t>3、税收缴纳证明：提供递交投标文件截止之日前一年内任意一个月的依法缴纳税收的相关凭据，凭据应有税务机关或代收机关的公章或业务专用章。依法免税或无须缴纳税收的供应商应提供相应证明文件；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4、社会保障资金缴纳证明：提供投标文件递交截止日前一年内已缴存的任意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书面声明：参加本次政府采购活动前三年内在经营活动中没有重大违纪，以及未被列入失信被执行人、重大税收违法案件当事人名单、政府采购严重违法失信行为记录名单的书面声明；本项目拒绝被列入失信被执行人、重大税收违法案件当事人名单、政府采购严重违法失信行为的投标人参与；</w:t>
      </w:r>
    </w:p>
    <w:p>
      <w:pPr>
        <w:pStyle w:val="null3"/>
      </w:pPr>
      <w:r>
        <w:rPr>
          <w:rFonts w:ascii="仿宋_GB2312" w:hAnsi="仿宋_GB2312" w:cs="仿宋_GB2312" w:eastAsia="仿宋_GB2312"/>
        </w:rPr>
        <w:t>6、具有履行合同所必需的设备和专业技术能力：具有履行合同所必需的设备和专业技术能力的承诺及说明；</w:t>
      </w:r>
    </w:p>
    <w:p>
      <w:pPr>
        <w:pStyle w:val="null3"/>
      </w:pPr>
      <w:r>
        <w:rPr>
          <w:rFonts w:ascii="仿宋_GB2312" w:hAnsi="仿宋_GB2312" w:cs="仿宋_GB2312" w:eastAsia="仿宋_GB2312"/>
        </w:rPr>
        <w:t>7、法定代表人授权书：投标人应授权合法的人员参加投标，其中法定代表人直接参加的，须出具法定代表人证明书；被授权代表参加的，须出具法定代表人授权书；</w:t>
      </w:r>
    </w:p>
    <w:p>
      <w:pPr>
        <w:pStyle w:val="null3"/>
      </w:pPr>
      <w:r>
        <w:rPr>
          <w:rFonts w:ascii="仿宋_GB2312" w:hAnsi="仿宋_GB2312" w:cs="仿宋_GB2312" w:eastAsia="仿宋_GB2312"/>
        </w:rPr>
        <w:t>8、直接控股、管理关系：单位负责人为同一人或存在直接控股、管理关系的不同单位，不得同时参加本项目投标活动；</w:t>
      </w:r>
    </w:p>
    <w:p>
      <w:pPr>
        <w:pStyle w:val="null3"/>
      </w:pPr>
      <w:r>
        <w:rPr>
          <w:rFonts w:ascii="仿宋_GB2312" w:hAnsi="仿宋_GB2312" w:cs="仿宋_GB2312" w:eastAsia="仿宋_GB2312"/>
        </w:rPr>
        <w:t>9、落实政府采购政策需满足的资格要求：本项目专门面向中小企业采购，投标产品的制造商应为中型企业或小型、微型企业或监狱企业或残疾人福利性单位。投标产品的制造商为中型、小型、微型企业的，供应商提供《中小企业声明函》；投标产品的制造商为监狱企业的，供应商应提供投标产品制造商为监狱企业的证明文件；投标产品的制造商为残疾人福利性单位的，供应商应提供投标产品制造商为残疾人福利性单位的《残疾人福利性单位声明函》。</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西安工业大学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西安市未央区学府中路2号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710021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孙老师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029-86173168</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陕西国创招标有限公司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西安市莲湖区高新一路5号正信大厦A座24楼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710077</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王璐 任亚明 魏存刚</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029-88899363</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采购包1：520,000.00元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采购包1保证金金额：10,400.00元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开户名称：陕西国创招标有限公司</w:t>
            </w:r>
          </w:p>
          <w:p>
            <w:pPr>
              <w:pStyle w:val="null3"/>
            </w:pPr>
            <w:r>
              <w:rPr>
                <w:rFonts w:ascii="仿宋_GB2312" w:hAnsi="仿宋_GB2312" w:cs="仿宋_GB2312" w:eastAsia="仿宋_GB2312"/>
              </w:rPr>
              <w:t>开户银行：招商银行股份有限公司西安高新技术开发区支行</w:t>
            </w:r>
          </w:p>
          <w:p>
            <w:pPr>
              <w:pStyle w:val="null3"/>
            </w:pPr>
            <w:r>
              <w:rPr>
                <w:rFonts w:ascii="仿宋_GB2312" w:hAnsi="仿宋_GB2312" w:cs="仿宋_GB2312" w:eastAsia="仿宋_GB2312"/>
              </w:rPr>
              <w:t>银行账号：129905629810401</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说明：1.中标（成交）供应商在签订合同前5个工作日内，向采购人缴纳合同总价5%的履约保证金； 2.中标（成交）供应商如期履约完成且不存在其他任何违约责任，采购人无息由原缴费账户退还履约保证金全款； 3.若中标（成交）供应商未能按照合同约定履行，则采购人有权全额扣除履约保证金，并保留追究中标（成交）供应商违约相关的法律责任。</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代理服务费收费标准：1、委托代理项目成交价小于50万元以内的委托代理项目，代理服务费定额3000元（人民币）； 2、委托代理项目成交价大于50万元（含）小于1000万元的项目，服务费参照国家发展和改革委员会《招标代理服务收费暂行办法》（计价格[2002]1980号）及发改办价格[2003]857号文件的规定标准的0.69%收取。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西安工业大学</w:t>
      </w:r>
      <w:r>
        <w:rPr>
          <w:rFonts w:ascii="仿宋_GB2312" w:hAnsi="仿宋_GB2312" w:cs="仿宋_GB2312" w:eastAsia="仿宋_GB2312"/>
        </w:rPr>
        <w:t>和</w:t>
      </w:r>
      <w:r>
        <w:rPr>
          <w:rFonts w:ascii="仿宋_GB2312" w:hAnsi="仿宋_GB2312" w:cs="仿宋_GB2312" w:eastAsia="仿宋_GB2312"/>
        </w:rPr>
        <w:t>陕西国创招标有限公司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西安工业大学</w:t>
      </w:r>
      <w:r>
        <w:rPr>
          <w:rFonts w:ascii="仿宋_GB2312" w:hAnsi="仿宋_GB2312" w:cs="仿宋_GB2312" w:eastAsia="仿宋_GB2312"/>
        </w:rPr>
        <w:t>负责解释。除上述招标文件内容，其他内容由</w:t>
      </w:r>
      <w:r>
        <w:rPr>
          <w:rFonts w:ascii="仿宋_GB2312" w:hAnsi="仿宋_GB2312" w:cs="仿宋_GB2312" w:eastAsia="仿宋_GB2312"/>
        </w:rPr>
        <w:t>陕西国创招标有限公司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西安工业大学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陕西国创招标有限公司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根据招标文件要求、投标文件及合同约定执行。</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陕西国创招标有限公司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陕西国创招标有限公司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陕西国创招标有限公司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联系人：任亚明</w:t>
      </w:r>
    </w:p>
    <w:p>
      <w:pPr>
        <w:pStyle w:val="null3"/>
      </w:pPr>
      <w:r>
        <w:rPr>
          <w:rFonts w:ascii="仿宋_GB2312" w:hAnsi="仿宋_GB2312" w:cs="仿宋_GB2312" w:eastAsia="仿宋_GB2312"/>
        </w:rPr>
        <w:t>联系电话：029-88899363（2290417378@qq.com）</w:t>
      </w:r>
    </w:p>
    <w:p>
      <w:pPr>
        <w:pStyle w:val="null3"/>
      </w:pPr>
      <w:r>
        <w:rPr>
          <w:rFonts w:ascii="仿宋_GB2312" w:hAnsi="仿宋_GB2312" w:cs="仿宋_GB2312" w:eastAsia="仿宋_GB2312"/>
        </w:rPr>
        <w:t>地址：西安市莲湖区高新一路正信大厦A座24楼</w:t>
      </w:r>
    </w:p>
    <w:p>
      <w:pPr>
        <w:pStyle w:val="null3"/>
      </w:pPr>
      <w:r>
        <w:rPr>
          <w:rFonts w:ascii="仿宋_GB2312" w:hAnsi="仿宋_GB2312" w:cs="仿宋_GB2312" w:eastAsia="仿宋_GB2312"/>
        </w:rPr>
        <w:t>邮编：710077</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动态信号采集与分析系统，具体内容详见技术参数要求。</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520,000.00</w:t>
      </w:r>
    </w:p>
    <w:p>
      <w:pPr>
        <w:pStyle w:val="null3"/>
      </w:pPr>
      <w:r>
        <w:rPr>
          <w:rFonts w:ascii="仿宋_GB2312" w:hAnsi="仿宋_GB2312" w:cs="仿宋_GB2312" w:eastAsia="仿宋_GB2312"/>
        </w:rPr>
        <w:t>采购包最高限价（元）: 520,000.00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动态信号采集与分析系统</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520,000.00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标的名称：动态信号采集与分析系统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Ind w:type="dxa" w:w="105"/>
              <w:tblBorders>
                <w:top w:val="none" w:color="000000" w:sz="4"/>
                <w:left w:val="none" w:color="000000" w:sz="4"/>
                <w:bottom w:val="none" w:color="000000" w:sz="4"/>
                <w:right w:val="none" w:color="000000" w:sz="4"/>
                <w:insideH w:val="none"/>
                <w:insideV w:val="none"/>
              </w:tblBorders>
            </w:tblPr>
            <w:tblGrid>
              <w:gridCol w:w="148"/>
              <w:gridCol w:w="208"/>
              <w:gridCol w:w="2185"/>
            </w:tblGrid>
            <w:tr>
              <w:tc>
                <w:tcPr>
                  <w:tcW w:type="dxa" w:w="14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95"/>
                  </w:pPr>
                  <w:r>
                    <w:rPr>
                      <w:rFonts w:ascii="仿宋_GB2312" w:hAnsi="仿宋_GB2312" w:cs="仿宋_GB2312" w:eastAsia="仿宋_GB2312"/>
                      <w:sz w:val="20"/>
                      <w:color w:val="000000"/>
                    </w:rPr>
                    <w:t>序号</w:t>
                  </w:r>
                </w:p>
              </w:tc>
              <w:tc>
                <w:tcPr>
                  <w:tcW w:type="dxa" w:w="20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95"/>
                  </w:pPr>
                  <w:r>
                    <w:rPr>
                      <w:rFonts w:ascii="仿宋_GB2312" w:hAnsi="仿宋_GB2312" w:cs="仿宋_GB2312" w:eastAsia="仿宋_GB2312"/>
                      <w:sz w:val="20"/>
                      <w:color w:val="000000"/>
                    </w:rPr>
                    <w:t>设备名称</w:t>
                  </w:r>
                </w:p>
              </w:tc>
              <w:tc>
                <w:tcPr>
                  <w:tcW w:type="dxa" w:w="218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95"/>
                    <w:ind w:left="1380"/>
                  </w:pPr>
                  <w:r>
                    <w:rPr>
                      <w:rFonts w:ascii="仿宋_GB2312" w:hAnsi="仿宋_GB2312" w:cs="仿宋_GB2312" w:eastAsia="仿宋_GB2312"/>
                      <w:sz w:val="20"/>
                      <w:color w:val="000000"/>
                    </w:rPr>
                    <w:t>技术指标要求</w:t>
                  </w:r>
                </w:p>
              </w:tc>
            </w:tr>
            <w:tr>
              <w:tc>
                <w:tcPr>
                  <w:tcW w:type="dxa" w:w="14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95"/>
                    <w:ind w:left="165"/>
                  </w:pPr>
                  <w:r>
                    <w:rPr>
                      <w:rFonts w:ascii="仿宋_GB2312" w:hAnsi="仿宋_GB2312" w:cs="仿宋_GB2312" w:eastAsia="仿宋_GB2312"/>
                      <w:sz w:val="20"/>
                      <w:color w:val="000000"/>
                    </w:rPr>
                    <w:t>1</w:t>
                  </w:r>
                </w:p>
              </w:tc>
              <w:tc>
                <w:tcPr>
                  <w:tcW w:type="dxa" w:w="20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95"/>
                  </w:pPr>
                  <w:r>
                    <w:rPr>
                      <w:rFonts w:ascii="仿宋_GB2312" w:hAnsi="仿宋_GB2312" w:cs="仿宋_GB2312" w:eastAsia="仿宋_GB2312"/>
                      <w:sz w:val="20"/>
                      <w:color w:val="000000"/>
                    </w:rPr>
                    <w:t>动态信号采集与分析系统</w:t>
                  </w:r>
                </w:p>
              </w:tc>
              <w:tc>
                <w:tcPr>
                  <w:tcW w:type="dxa" w:w="218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95"/>
                    <w:ind w:left="165"/>
                  </w:pPr>
                  <w:r>
                    <w:rPr>
                      <w:rFonts w:ascii="仿宋_GB2312" w:hAnsi="仿宋_GB2312" w:cs="仿宋_GB2312" w:eastAsia="仿宋_GB2312"/>
                      <w:sz w:val="20"/>
                      <w:color w:val="000000"/>
                    </w:rPr>
                    <w:t>1、大功率模态激振器(3路)：</w:t>
                  </w:r>
                </w:p>
                <w:p>
                  <w:pPr>
                    <w:pStyle w:val="null3"/>
                    <w:spacing w:before="195"/>
                    <w:ind w:left="165"/>
                  </w:pPr>
                  <w:r>
                    <w:rPr>
                      <w:rFonts w:ascii="仿宋_GB2312" w:hAnsi="仿宋_GB2312" w:cs="仿宋_GB2312" w:eastAsia="仿宋_GB2312"/>
                      <w:sz w:val="20"/>
                      <w:color w:val="000000"/>
                    </w:rPr>
                    <w:t>1.1 最大激振力</w:t>
                  </w:r>
                  <w:r>
                    <w:rPr>
                      <w:rFonts w:ascii="仿宋_GB2312" w:hAnsi="仿宋_GB2312" w:cs="仿宋_GB2312" w:eastAsia="仿宋_GB2312"/>
                      <w:sz w:val="20"/>
                      <w:color w:val="000000"/>
                    </w:rPr>
                    <w:t>≥700N</w:t>
                  </w:r>
                  <w:r>
                    <w:rPr>
                      <w:rFonts w:ascii="仿宋_GB2312" w:hAnsi="仿宋_GB2312" w:cs="仿宋_GB2312" w:eastAsia="仿宋_GB2312"/>
                      <w:sz w:val="20"/>
                      <w:color w:val="000000"/>
                    </w:rPr>
                    <w:t>；</w:t>
                  </w:r>
                </w:p>
                <w:p>
                  <w:pPr>
                    <w:pStyle w:val="null3"/>
                    <w:spacing w:before="195"/>
                    <w:ind w:left="165"/>
                  </w:pPr>
                  <w:r>
                    <w:rPr>
                      <w:rFonts w:ascii="仿宋_GB2312" w:hAnsi="仿宋_GB2312" w:cs="仿宋_GB2312" w:eastAsia="仿宋_GB2312"/>
                      <w:sz w:val="20"/>
                      <w:color w:val="000000"/>
                    </w:rPr>
                    <w:t xml:space="preserve">1.2 </w:t>
                  </w:r>
                  <w:r>
                    <w:rPr>
                      <w:rFonts w:ascii="仿宋_GB2312" w:hAnsi="仿宋_GB2312" w:cs="仿宋_GB2312" w:eastAsia="仿宋_GB2312"/>
                      <w:sz w:val="20"/>
                      <w:color w:val="000000"/>
                    </w:rPr>
                    <w:t>最大振幅</w:t>
                  </w:r>
                  <w:r>
                    <w:rPr>
                      <w:rFonts w:ascii="仿宋_GB2312" w:hAnsi="仿宋_GB2312" w:cs="仿宋_GB2312" w:eastAsia="仿宋_GB2312"/>
                      <w:sz w:val="20"/>
                      <w:color w:val="000000"/>
                    </w:rPr>
                    <w:t>±12.5mm</w:t>
                  </w:r>
                  <w:r>
                    <w:rPr>
                      <w:rFonts w:ascii="仿宋_GB2312" w:hAnsi="仿宋_GB2312" w:cs="仿宋_GB2312" w:eastAsia="仿宋_GB2312"/>
                      <w:sz w:val="20"/>
                      <w:color w:val="000000"/>
                    </w:rPr>
                    <w:t>；</w:t>
                  </w:r>
                </w:p>
                <w:p>
                  <w:pPr>
                    <w:pStyle w:val="null3"/>
                    <w:spacing w:before="195"/>
                    <w:ind w:left="165"/>
                  </w:pPr>
                  <w:r>
                    <w:rPr>
                      <w:rFonts w:ascii="仿宋_GB2312" w:hAnsi="仿宋_GB2312" w:cs="仿宋_GB2312" w:eastAsia="仿宋_GB2312"/>
                      <w:sz w:val="20"/>
                      <w:color w:val="000000"/>
                    </w:rPr>
                    <w:t>1.3 最大加速度≥45g；</w:t>
                  </w:r>
                </w:p>
                <w:p>
                  <w:pPr>
                    <w:pStyle w:val="null3"/>
                    <w:spacing w:before="195"/>
                    <w:ind w:left="165"/>
                  </w:pPr>
                  <w:r>
                    <w:rPr>
                      <w:rFonts w:ascii="仿宋_GB2312" w:hAnsi="仿宋_GB2312" w:cs="仿宋_GB2312" w:eastAsia="仿宋_GB2312"/>
                      <w:sz w:val="20"/>
                      <w:color w:val="000000"/>
                    </w:rPr>
                    <w:t>1.4 频率范围至少覆盖10Hz～2kHz；</w:t>
                  </w:r>
                </w:p>
                <w:p>
                  <w:pPr>
                    <w:pStyle w:val="null3"/>
                    <w:spacing w:before="195"/>
                    <w:ind w:left="165"/>
                  </w:pPr>
                  <w:r>
                    <w:rPr>
                      <w:rFonts w:ascii="仿宋_GB2312" w:hAnsi="仿宋_GB2312" w:cs="仿宋_GB2312" w:eastAsia="仿宋_GB2312"/>
                      <w:sz w:val="20"/>
                      <w:color w:val="000000"/>
                    </w:rPr>
                    <w:t>2、小功率模态激振器(3路)：</w:t>
                  </w:r>
                </w:p>
                <w:p>
                  <w:pPr>
                    <w:pStyle w:val="null3"/>
                    <w:spacing w:before="195"/>
                    <w:ind w:left="165"/>
                  </w:pPr>
                  <w:r>
                    <w:rPr>
                      <w:rFonts w:ascii="仿宋_GB2312" w:hAnsi="仿宋_GB2312" w:cs="仿宋_GB2312" w:eastAsia="仿宋_GB2312"/>
                      <w:sz w:val="20"/>
                      <w:color w:val="000000"/>
                    </w:rPr>
                    <w:t>2.1 最大激振力</w:t>
                  </w:r>
                  <w:r>
                    <w:rPr>
                      <w:rFonts w:ascii="仿宋_GB2312" w:hAnsi="仿宋_GB2312" w:cs="仿宋_GB2312" w:eastAsia="仿宋_GB2312"/>
                      <w:sz w:val="20"/>
                      <w:color w:val="000000"/>
                    </w:rPr>
                    <w:t>≥100N</w:t>
                  </w:r>
                  <w:r>
                    <w:rPr>
                      <w:rFonts w:ascii="仿宋_GB2312" w:hAnsi="仿宋_GB2312" w:cs="仿宋_GB2312" w:eastAsia="仿宋_GB2312"/>
                      <w:sz w:val="20"/>
                      <w:color w:val="000000"/>
                    </w:rPr>
                    <w:t>；</w:t>
                  </w:r>
                </w:p>
                <w:p>
                  <w:pPr>
                    <w:pStyle w:val="null3"/>
                    <w:spacing w:before="195"/>
                    <w:ind w:left="165"/>
                  </w:pPr>
                  <w:r>
                    <w:rPr>
                      <w:rFonts w:ascii="仿宋_GB2312" w:hAnsi="仿宋_GB2312" w:cs="仿宋_GB2312" w:eastAsia="仿宋_GB2312"/>
                      <w:sz w:val="20"/>
                      <w:color w:val="000000"/>
                    </w:rPr>
                    <w:t xml:space="preserve">2.2 </w:t>
                  </w:r>
                  <w:r>
                    <w:rPr>
                      <w:rFonts w:ascii="仿宋_GB2312" w:hAnsi="仿宋_GB2312" w:cs="仿宋_GB2312" w:eastAsia="仿宋_GB2312"/>
                      <w:sz w:val="20"/>
                      <w:color w:val="000000"/>
                    </w:rPr>
                    <w:t>最大振幅</w:t>
                  </w:r>
                  <w:r>
                    <w:rPr>
                      <w:rFonts w:ascii="仿宋_GB2312" w:hAnsi="仿宋_GB2312" w:cs="仿宋_GB2312" w:eastAsia="仿宋_GB2312"/>
                      <w:sz w:val="20"/>
                      <w:color w:val="000000"/>
                    </w:rPr>
                    <w:t>±10mm</w:t>
                  </w:r>
                  <w:r>
                    <w:rPr>
                      <w:rFonts w:ascii="仿宋_GB2312" w:hAnsi="仿宋_GB2312" w:cs="仿宋_GB2312" w:eastAsia="仿宋_GB2312"/>
                      <w:sz w:val="20"/>
                      <w:color w:val="000000"/>
                    </w:rPr>
                    <w:t>；</w:t>
                  </w:r>
                </w:p>
                <w:p>
                  <w:pPr>
                    <w:pStyle w:val="null3"/>
                    <w:spacing w:before="195"/>
                    <w:ind w:left="165"/>
                  </w:pPr>
                  <w:r>
                    <w:rPr>
                      <w:rFonts w:ascii="仿宋_GB2312" w:hAnsi="仿宋_GB2312" w:cs="仿宋_GB2312" w:eastAsia="仿宋_GB2312"/>
                      <w:sz w:val="20"/>
                      <w:color w:val="000000"/>
                    </w:rPr>
                    <w:t>2.3 最大加速度≥28g；</w:t>
                  </w:r>
                </w:p>
                <w:p>
                  <w:pPr>
                    <w:pStyle w:val="null3"/>
                    <w:spacing w:before="195"/>
                    <w:ind w:left="165"/>
                  </w:pPr>
                  <w:r>
                    <w:rPr>
                      <w:rFonts w:ascii="仿宋_GB2312" w:hAnsi="仿宋_GB2312" w:cs="仿宋_GB2312" w:eastAsia="仿宋_GB2312"/>
                      <w:sz w:val="20"/>
                      <w:color w:val="000000"/>
                    </w:rPr>
                    <w:t>2.4 频率范围至少覆盖10Hz～5kHz；</w:t>
                  </w:r>
                </w:p>
                <w:p>
                  <w:pPr>
                    <w:pStyle w:val="null3"/>
                    <w:spacing w:before="195"/>
                    <w:ind w:left="165"/>
                  </w:pPr>
                  <w:r>
                    <w:rPr>
                      <w:rFonts w:ascii="仿宋_GB2312" w:hAnsi="仿宋_GB2312" w:cs="仿宋_GB2312" w:eastAsia="仿宋_GB2312"/>
                      <w:sz w:val="20"/>
                      <w:color w:val="000000"/>
                    </w:rPr>
                    <w:t>3、线性大功率放大器(3路)：</w:t>
                  </w:r>
                </w:p>
                <w:p>
                  <w:pPr>
                    <w:pStyle w:val="null3"/>
                    <w:spacing w:before="195"/>
                    <w:ind w:left="165"/>
                  </w:pPr>
                  <w:r>
                    <w:rPr>
                      <w:rFonts w:ascii="仿宋_GB2312" w:hAnsi="仿宋_GB2312" w:cs="仿宋_GB2312" w:eastAsia="仿宋_GB2312"/>
                      <w:sz w:val="20"/>
                      <w:color w:val="000000"/>
                    </w:rPr>
                    <w:t>3.1 输出功率≥800W；</w:t>
                  </w:r>
                </w:p>
                <w:p>
                  <w:pPr>
                    <w:pStyle w:val="null3"/>
                    <w:spacing w:before="195"/>
                    <w:ind w:left="165"/>
                  </w:pPr>
                  <w:r>
                    <w:rPr>
                      <w:rFonts w:ascii="仿宋_GB2312" w:hAnsi="仿宋_GB2312" w:cs="仿宋_GB2312" w:eastAsia="仿宋_GB2312"/>
                      <w:sz w:val="20"/>
                      <w:color w:val="000000"/>
                    </w:rPr>
                    <w:t>3.2 输出电压：32V</w:t>
                  </w:r>
                </w:p>
                <w:p>
                  <w:pPr>
                    <w:pStyle w:val="null3"/>
                    <w:spacing w:before="195"/>
                    <w:ind w:left="165"/>
                  </w:pPr>
                  <w:r>
                    <w:rPr>
                      <w:rFonts w:ascii="仿宋_GB2312" w:hAnsi="仿宋_GB2312" w:cs="仿宋_GB2312" w:eastAsia="仿宋_GB2312"/>
                      <w:sz w:val="20"/>
                      <w:color w:val="000000"/>
                    </w:rPr>
                    <w:t>3.3 输出电流：25A</w:t>
                  </w:r>
                </w:p>
                <w:p>
                  <w:pPr>
                    <w:pStyle w:val="null3"/>
                    <w:spacing w:before="195"/>
                    <w:ind w:left="165"/>
                  </w:pPr>
                  <w:r>
                    <w:rPr>
                      <w:rFonts w:ascii="仿宋_GB2312" w:hAnsi="仿宋_GB2312" w:cs="仿宋_GB2312" w:eastAsia="仿宋_GB2312"/>
                      <w:sz w:val="20"/>
                      <w:color w:val="000000"/>
                    </w:rPr>
                    <w:t>3.4 非线性失真：≤1%</w:t>
                  </w:r>
                </w:p>
                <w:p>
                  <w:pPr>
                    <w:pStyle w:val="null3"/>
                    <w:spacing w:before="195"/>
                    <w:ind w:left="165"/>
                  </w:pPr>
                  <w:r>
                    <w:rPr>
                      <w:rFonts w:ascii="仿宋_GB2312" w:hAnsi="仿宋_GB2312" w:cs="仿宋_GB2312" w:eastAsia="仿宋_GB2312"/>
                      <w:sz w:val="20"/>
                      <w:color w:val="000000"/>
                    </w:rPr>
                    <w:t>3.5 信噪比≥80dB</w:t>
                  </w:r>
                </w:p>
                <w:p>
                  <w:pPr>
                    <w:pStyle w:val="null3"/>
                    <w:spacing w:before="195"/>
                    <w:ind w:left="165"/>
                  </w:pPr>
                  <w:r>
                    <w:rPr>
                      <w:rFonts w:ascii="仿宋_GB2312" w:hAnsi="仿宋_GB2312" w:cs="仿宋_GB2312" w:eastAsia="仿宋_GB2312"/>
                      <w:sz w:val="20"/>
                      <w:color w:val="000000"/>
                    </w:rPr>
                    <w:t>4、线性小功率放大器(3路)：</w:t>
                  </w:r>
                </w:p>
                <w:p>
                  <w:pPr>
                    <w:pStyle w:val="null3"/>
                    <w:spacing w:before="195"/>
                    <w:ind w:left="165"/>
                  </w:pPr>
                  <w:r>
                    <w:rPr>
                      <w:rFonts w:ascii="仿宋_GB2312" w:hAnsi="仿宋_GB2312" w:cs="仿宋_GB2312" w:eastAsia="仿宋_GB2312"/>
                      <w:sz w:val="20"/>
                      <w:color w:val="000000"/>
                    </w:rPr>
                    <w:t>4.1 输出功率≥100W；</w:t>
                  </w:r>
                </w:p>
                <w:p>
                  <w:pPr>
                    <w:pStyle w:val="null3"/>
                    <w:spacing w:before="195"/>
                    <w:ind w:left="165"/>
                  </w:pPr>
                  <w:r>
                    <w:rPr>
                      <w:rFonts w:ascii="仿宋_GB2312" w:hAnsi="仿宋_GB2312" w:cs="仿宋_GB2312" w:eastAsia="仿宋_GB2312"/>
                      <w:sz w:val="20"/>
                      <w:color w:val="000000"/>
                    </w:rPr>
                    <w:t>4.2 输出电压：17V</w:t>
                  </w:r>
                </w:p>
                <w:p>
                  <w:pPr>
                    <w:pStyle w:val="null3"/>
                    <w:spacing w:before="195"/>
                    <w:ind w:left="165"/>
                  </w:pPr>
                  <w:r>
                    <w:rPr>
                      <w:rFonts w:ascii="仿宋_GB2312" w:hAnsi="仿宋_GB2312" w:cs="仿宋_GB2312" w:eastAsia="仿宋_GB2312"/>
                      <w:sz w:val="20"/>
                      <w:color w:val="000000"/>
                    </w:rPr>
                    <w:t>4.3 输出电流：6A</w:t>
                  </w:r>
                </w:p>
                <w:p>
                  <w:pPr>
                    <w:pStyle w:val="null3"/>
                    <w:spacing w:before="195"/>
                    <w:ind w:left="165"/>
                  </w:pPr>
                  <w:r>
                    <w:rPr>
                      <w:rFonts w:ascii="仿宋_GB2312" w:hAnsi="仿宋_GB2312" w:cs="仿宋_GB2312" w:eastAsia="仿宋_GB2312"/>
                      <w:sz w:val="20"/>
                      <w:color w:val="000000"/>
                    </w:rPr>
                    <w:t>4.4 非线性失真：≤1%</w:t>
                  </w:r>
                </w:p>
                <w:p>
                  <w:pPr>
                    <w:pStyle w:val="null3"/>
                    <w:spacing w:before="195"/>
                    <w:ind w:left="165"/>
                  </w:pPr>
                  <w:r>
                    <w:rPr>
                      <w:rFonts w:ascii="仿宋_GB2312" w:hAnsi="仿宋_GB2312" w:cs="仿宋_GB2312" w:eastAsia="仿宋_GB2312"/>
                      <w:sz w:val="20"/>
                      <w:color w:val="000000"/>
                    </w:rPr>
                    <w:t>4.5 信噪比≥80dB</w:t>
                  </w:r>
                </w:p>
                <w:p>
                  <w:pPr>
                    <w:pStyle w:val="null3"/>
                    <w:spacing w:before="195"/>
                    <w:ind w:left="165"/>
                  </w:pPr>
                  <w:r>
                    <w:rPr>
                      <w:rFonts w:ascii="仿宋_GB2312" w:hAnsi="仿宋_GB2312" w:cs="仿宋_GB2312" w:eastAsia="仿宋_GB2312"/>
                      <w:sz w:val="20"/>
                      <w:color w:val="000000"/>
                    </w:rPr>
                    <w:t>5、冲击力锤(3路)：</w:t>
                  </w:r>
                </w:p>
                <w:p>
                  <w:pPr>
                    <w:pStyle w:val="null3"/>
                    <w:spacing w:before="195"/>
                    <w:ind w:left="165"/>
                  </w:pPr>
                  <w:r>
                    <w:rPr>
                      <w:rFonts w:ascii="仿宋_GB2312" w:hAnsi="仿宋_GB2312" w:cs="仿宋_GB2312" w:eastAsia="仿宋_GB2312"/>
                      <w:sz w:val="20"/>
                      <w:color w:val="000000"/>
                    </w:rPr>
                    <w:t>5.1 量程0～5kN；</w:t>
                  </w:r>
                </w:p>
                <w:p>
                  <w:pPr>
                    <w:pStyle w:val="null3"/>
                    <w:spacing w:before="195"/>
                    <w:ind w:left="165"/>
                  </w:pPr>
                  <w:r>
                    <w:rPr>
                      <w:rFonts w:ascii="仿宋_GB2312" w:hAnsi="仿宋_GB2312" w:cs="仿宋_GB2312" w:eastAsia="仿宋_GB2312"/>
                      <w:sz w:val="20"/>
                      <w:color w:val="000000"/>
                    </w:rPr>
                    <w:t>5.2 灵敏度≤1mV/N；</w:t>
                  </w:r>
                </w:p>
                <w:p>
                  <w:pPr>
                    <w:pStyle w:val="null3"/>
                    <w:spacing w:before="195"/>
                    <w:ind w:left="165"/>
                  </w:pPr>
                  <w:r>
                    <w:rPr>
                      <w:rFonts w:ascii="仿宋_GB2312" w:hAnsi="仿宋_GB2312" w:cs="仿宋_GB2312" w:eastAsia="仿宋_GB2312"/>
                      <w:sz w:val="20"/>
                      <w:color w:val="000000"/>
                    </w:rPr>
                    <w:t>6、拉压力传感器(3路)：</w:t>
                  </w:r>
                </w:p>
                <w:p>
                  <w:pPr>
                    <w:pStyle w:val="null3"/>
                    <w:spacing w:before="195"/>
                    <w:ind w:left="165"/>
                  </w:pPr>
                  <w:r>
                    <w:rPr>
                      <w:rFonts w:ascii="仿宋_GB2312" w:hAnsi="仿宋_GB2312" w:cs="仿宋_GB2312" w:eastAsia="仿宋_GB2312"/>
                      <w:sz w:val="20"/>
                      <w:color w:val="000000"/>
                    </w:rPr>
                    <w:t>6.1 量程0～5kN；</w:t>
                  </w:r>
                </w:p>
                <w:p>
                  <w:pPr>
                    <w:pStyle w:val="null3"/>
                    <w:spacing w:before="195"/>
                    <w:ind w:left="165"/>
                  </w:pPr>
                  <w:r>
                    <w:rPr>
                      <w:rFonts w:ascii="仿宋_GB2312" w:hAnsi="仿宋_GB2312" w:cs="仿宋_GB2312" w:eastAsia="仿宋_GB2312"/>
                      <w:sz w:val="20"/>
                      <w:color w:val="000000"/>
                    </w:rPr>
                    <w:t>6.2 灵敏度≤1mV/N；</w:t>
                  </w:r>
                </w:p>
                <w:p>
                  <w:pPr>
                    <w:pStyle w:val="null3"/>
                    <w:spacing w:before="195"/>
                    <w:ind w:left="165"/>
                  </w:pPr>
                  <w:r>
                    <w:rPr>
                      <w:rFonts w:ascii="仿宋_GB2312" w:hAnsi="仿宋_GB2312" w:cs="仿宋_GB2312" w:eastAsia="仿宋_GB2312"/>
                      <w:sz w:val="20"/>
                      <w:color w:val="000000"/>
                    </w:rPr>
                    <w:t>7、单轴压电式加速度传感器(9路)：</w:t>
                  </w:r>
                </w:p>
                <w:p>
                  <w:pPr>
                    <w:pStyle w:val="null3"/>
                    <w:spacing w:before="195"/>
                    <w:ind w:left="165"/>
                  </w:pPr>
                  <w:r>
                    <w:rPr>
                      <w:rFonts w:ascii="仿宋_GB2312" w:hAnsi="仿宋_GB2312" w:cs="仿宋_GB2312" w:eastAsia="仿宋_GB2312"/>
                      <w:sz w:val="20"/>
                      <w:color w:val="000000"/>
                    </w:rPr>
                    <w:t>7.1 量程：±50g；</w:t>
                  </w:r>
                </w:p>
                <w:p>
                  <w:pPr>
                    <w:pStyle w:val="null3"/>
                    <w:spacing w:before="195"/>
                    <w:ind w:left="165"/>
                  </w:pPr>
                  <w:r>
                    <w:rPr>
                      <w:rFonts w:ascii="仿宋_GB2312" w:hAnsi="仿宋_GB2312" w:cs="仿宋_GB2312" w:eastAsia="仿宋_GB2312"/>
                      <w:sz w:val="20"/>
                      <w:color w:val="000000"/>
                    </w:rPr>
                    <w:t>▲7.2 灵敏度≤100mV/g；</w:t>
                  </w:r>
                </w:p>
                <w:p>
                  <w:pPr>
                    <w:pStyle w:val="null3"/>
                    <w:spacing w:before="195"/>
                    <w:ind w:left="165"/>
                  </w:pPr>
                  <w:r>
                    <w:rPr>
                      <w:rFonts w:ascii="仿宋_GB2312" w:hAnsi="仿宋_GB2312" w:cs="仿宋_GB2312" w:eastAsia="仿宋_GB2312"/>
                      <w:sz w:val="20"/>
                      <w:color w:val="000000"/>
                    </w:rPr>
                    <w:t>▲7.3 频率范围：0.5Hz～5kHz；</w:t>
                  </w:r>
                </w:p>
                <w:p>
                  <w:pPr>
                    <w:pStyle w:val="null3"/>
                    <w:spacing w:before="195"/>
                    <w:ind w:left="165"/>
                  </w:pPr>
                  <w:r>
                    <w:rPr>
                      <w:rFonts w:ascii="仿宋_GB2312" w:hAnsi="仿宋_GB2312" w:cs="仿宋_GB2312" w:eastAsia="仿宋_GB2312"/>
                      <w:sz w:val="20"/>
                      <w:color w:val="000000"/>
                    </w:rPr>
                    <w:t xml:space="preserve">7.4 </w:t>
                  </w:r>
                  <w:r>
                    <w:rPr>
                      <w:rFonts w:ascii="仿宋_GB2312" w:hAnsi="仿宋_GB2312" w:cs="仿宋_GB2312" w:eastAsia="仿宋_GB2312"/>
                      <w:sz w:val="20"/>
                      <w:color w:val="000000"/>
                    </w:rPr>
                    <w:t>频率响应</w:t>
                  </w:r>
                  <w:r>
                    <w:rPr>
                      <w:rFonts w:ascii="仿宋_GB2312" w:hAnsi="仿宋_GB2312" w:cs="仿宋_GB2312" w:eastAsia="仿宋_GB2312"/>
                      <w:sz w:val="20"/>
                      <w:color w:val="000000"/>
                    </w:rPr>
                    <w:t>：</w:t>
                  </w:r>
                  <w:r>
                    <w:rPr>
                      <w:rFonts w:ascii="仿宋_GB2312" w:hAnsi="仿宋_GB2312" w:cs="仿宋_GB2312" w:eastAsia="仿宋_GB2312"/>
                      <w:sz w:val="20"/>
                      <w:color w:val="000000"/>
                    </w:rPr>
                    <w:t>±5%</w:t>
                  </w:r>
                </w:p>
                <w:p>
                  <w:pPr>
                    <w:pStyle w:val="null3"/>
                    <w:spacing w:before="195"/>
                    <w:ind w:left="165"/>
                  </w:pPr>
                  <w:r>
                    <w:rPr>
                      <w:rFonts w:ascii="仿宋_GB2312" w:hAnsi="仿宋_GB2312" w:cs="仿宋_GB2312" w:eastAsia="仿宋_GB2312"/>
                      <w:sz w:val="20"/>
                      <w:color w:val="000000"/>
                    </w:rPr>
                    <w:t>8、单轴压电式加速度传感器(9路)：</w:t>
                  </w:r>
                </w:p>
                <w:p>
                  <w:pPr>
                    <w:pStyle w:val="null3"/>
                    <w:spacing w:before="195"/>
                    <w:ind w:left="165"/>
                  </w:pPr>
                  <w:r>
                    <w:rPr>
                      <w:rFonts w:ascii="仿宋_GB2312" w:hAnsi="仿宋_GB2312" w:cs="仿宋_GB2312" w:eastAsia="仿宋_GB2312"/>
                      <w:sz w:val="20"/>
                      <w:color w:val="000000"/>
                    </w:rPr>
                    <w:t>8.1 量程：±2.5g；</w:t>
                  </w:r>
                </w:p>
                <w:p>
                  <w:pPr>
                    <w:pStyle w:val="null3"/>
                    <w:spacing w:before="195"/>
                    <w:ind w:left="165"/>
                  </w:pPr>
                  <w:r>
                    <w:rPr>
                      <w:rFonts w:ascii="仿宋_GB2312" w:hAnsi="仿宋_GB2312" w:cs="仿宋_GB2312" w:eastAsia="仿宋_GB2312"/>
                      <w:sz w:val="20"/>
                      <w:color w:val="000000"/>
                    </w:rPr>
                    <w:t>8.2 灵敏度≤2000mV/g；</w:t>
                  </w:r>
                </w:p>
                <w:p>
                  <w:pPr>
                    <w:pStyle w:val="null3"/>
                    <w:spacing w:before="195"/>
                    <w:ind w:left="165"/>
                  </w:pPr>
                  <w:r>
                    <w:rPr>
                      <w:rFonts w:ascii="仿宋_GB2312" w:hAnsi="仿宋_GB2312" w:cs="仿宋_GB2312" w:eastAsia="仿宋_GB2312"/>
                      <w:sz w:val="20"/>
                      <w:color w:val="000000"/>
                    </w:rPr>
                    <w:t>8.3 频率范围：0.2Hz～1kHz；</w:t>
                  </w:r>
                </w:p>
                <w:p>
                  <w:pPr>
                    <w:pStyle w:val="null3"/>
                    <w:spacing w:before="195"/>
                    <w:ind w:left="165"/>
                  </w:pPr>
                  <w:r>
                    <w:rPr>
                      <w:rFonts w:ascii="仿宋_GB2312" w:hAnsi="仿宋_GB2312" w:cs="仿宋_GB2312" w:eastAsia="仿宋_GB2312"/>
                      <w:sz w:val="20"/>
                      <w:color w:val="000000"/>
                    </w:rPr>
                    <w:t>8.4 频率响应：±5%</w:t>
                  </w:r>
                </w:p>
                <w:p>
                  <w:pPr>
                    <w:pStyle w:val="null3"/>
                    <w:spacing w:before="195"/>
                    <w:ind w:left="165"/>
                  </w:pPr>
                  <w:r>
                    <w:rPr>
                      <w:rFonts w:ascii="仿宋_GB2312" w:hAnsi="仿宋_GB2312" w:cs="仿宋_GB2312" w:eastAsia="仿宋_GB2312"/>
                      <w:sz w:val="20"/>
                      <w:color w:val="000000"/>
                    </w:rPr>
                    <w:t>9、三轴加速度传感器(9路)：</w:t>
                  </w:r>
                </w:p>
                <w:p>
                  <w:pPr>
                    <w:pStyle w:val="null3"/>
                    <w:spacing w:before="195"/>
                    <w:ind w:left="165"/>
                  </w:pPr>
                  <w:r>
                    <w:rPr>
                      <w:rFonts w:ascii="仿宋_GB2312" w:hAnsi="仿宋_GB2312" w:cs="仿宋_GB2312" w:eastAsia="仿宋_GB2312"/>
                      <w:sz w:val="20"/>
                      <w:color w:val="000000"/>
                    </w:rPr>
                    <w:t>9.1 量程：±50g；</w:t>
                  </w:r>
                </w:p>
                <w:p>
                  <w:pPr>
                    <w:pStyle w:val="null3"/>
                    <w:spacing w:before="195"/>
                    <w:ind w:left="165"/>
                  </w:pPr>
                  <w:r>
                    <w:rPr>
                      <w:rFonts w:ascii="仿宋_GB2312" w:hAnsi="仿宋_GB2312" w:cs="仿宋_GB2312" w:eastAsia="仿宋_GB2312"/>
                      <w:sz w:val="20"/>
                      <w:color w:val="000000"/>
                    </w:rPr>
                    <w:t>▲9.2 灵敏度≤100mV/g；</w:t>
                  </w:r>
                </w:p>
                <w:p>
                  <w:pPr>
                    <w:pStyle w:val="null3"/>
                    <w:spacing w:before="195"/>
                    <w:ind w:left="165"/>
                  </w:pPr>
                  <w:r>
                    <w:rPr>
                      <w:rFonts w:ascii="仿宋_GB2312" w:hAnsi="仿宋_GB2312" w:cs="仿宋_GB2312" w:eastAsia="仿宋_GB2312"/>
                      <w:sz w:val="20"/>
                      <w:color w:val="000000"/>
                    </w:rPr>
                    <w:t>▲9.3 频率范围：1Hz～7kHz；</w:t>
                  </w:r>
                </w:p>
                <w:p>
                  <w:pPr>
                    <w:pStyle w:val="null3"/>
                    <w:spacing w:before="195"/>
                    <w:ind w:left="165"/>
                  </w:pPr>
                  <w:r>
                    <w:rPr>
                      <w:rFonts w:ascii="仿宋_GB2312" w:hAnsi="仿宋_GB2312" w:cs="仿宋_GB2312" w:eastAsia="仿宋_GB2312"/>
                      <w:sz w:val="20"/>
                      <w:color w:val="000000"/>
                    </w:rPr>
                    <w:t>9.4 频率响应：±5%</w:t>
                  </w:r>
                </w:p>
                <w:p>
                  <w:pPr>
                    <w:pStyle w:val="null3"/>
                    <w:spacing w:before="195"/>
                    <w:ind w:left="165"/>
                  </w:pPr>
                  <w:r>
                    <w:rPr>
                      <w:rFonts w:ascii="仿宋_GB2312" w:hAnsi="仿宋_GB2312" w:cs="仿宋_GB2312" w:eastAsia="仿宋_GB2312"/>
                      <w:sz w:val="20"/>
                      <w:color w:val="000000"/>
                    </w:rPr>
                    <w:t>10、振动控制器(3套)：</w:t>
                  </w:r>
                </w:p>
                <w:p>
                  <w:pPr>
                    <w:pStyle w:val="null3"/>
                    <w:spacing w:before="195"/>
                    <w:ind w:left="165"/>
                  </w:pPr>
                  <w:r>
                    <w:rPr>
                      <w:rFonts w:ascii="仿宋_GB2312" w:hAnsi="仿宋_GB2312" w:cs="仿宋_GB2312" w:eastAsia="仿宋_GB2312"/>
                      <w:sz w:val="20"/>
                      <w:color w:val="000000"/>
                    </w:rPr>
                    <w:t xml:space="preserve">10.1 </w:t>
                  </w:r>
                  <w:r>
                    <w:rPr>
                      <w:rFonts w:ascii="仿宋_GB2312" w:hAnsi="仿宋_GB2312" w:cs="仿宋_GB2312" w:eastAsia="仿宋_GB2312"/>
                      <w:sz w:val="20"/>
                      <w:color w:val="000000"/>
                    </w:rPr>
                    <w:t>2路16位</w:t>
                  </w:r>
                  <w:r>
                    <w:rPr>
                      <w:rFonts w:ascii="仿宋_GB2312" w:hAnsi="仿宋_GB2312" w:cs="仿宋_GB2312" w:eastAsia="仿宋_GB2312"/>
                      <w:sz w:val="21"/>
                      <w:color w:val="000000"/>
                    </w:rPr>
                    <w:t xml:space="preserve"> </w:t>
                  </w:r>
                  <w:r>
                    <w:rPr>
                      <w:rFonts w:ascii="仿宋_GB2312" w:hAnsi="仿宋_GB2312" w:cs="仿宋_GB2312" w:eastAsia="仿宋_GB2312"/>
                      <w:sz w:val="20"/>
                      <w:color w:val="000000"/>
                    </w:rPr>
                    <w:t>DA</w:t>
                  </w:r>
                  <w:r>
                    <w:rPr>
                      <w:rFonts w:ascii="仿宋_GB2312" w:hAnsi="仿宋_GB2312" w:cs="仿宋_GB2312" w:eastAsia="仿宋_GB2312"/>
                      <w:sz w:val="21"/>
                      <w:color w:val="000000"/>
                    </w:rPr>
                    <w:t xml:space="preserve"> </w:t>
                  </w:r>
                  <w:r>
                    <w:rPr>
                      <w:rFonts w:ascii="仿宋_GB2312" w:hAnsi="仿宋_GB2312" w:cs="仿宋_GB2312" w:eastAsia="仿宋_GB2312"/>
                      <w:sz w:val="20"/>
                      <w:color w:val="000000"/>
                    </w:rPr>
                    <w:t>信号输出；</w:t>
                  </w:r>
                </w:p>
                <w:p>
                  <w:pPr>
                    <w:pStyle w:val="null3"/>
                    <w:spacing w:before="195"/>
                    <w:ind w:left="165"/>
                  </w:pPr>
                  <w:r>
                    <w:rPr>
                      <w:rFonts w:ascii="仿宋_GB2312" w:hAnsi="仿宋_GB2312" w:cs="仿宋_GB2312" w:eastAsia="仿宋_GB2312"/>
                      <w:sz w:val="20"/>
                      <w:color w:val="000000"/>
                    </w:rPr>
                    <w:t>▲</w:t>
                  </w:r>
                  <w:r>
                    <w:rPr>
                      <w:rFonts w:ascii="仿宋_GB2312" w:hAnsi="仿宋_GB2312" w:cs="仿宋_GB2312" w:eastAsia="仿宋_GB2312"/>
                      <w:sz w:val="20"/>
                      <w:color w:val="000000"/>
                    </w:rPr>
                    <w:t xml:space="preserve">10.2 </w:t>
                  </w:r>
                  <w:r>
                    <w:rPr>
                      <w:rFonts w:ascii="仿宋_GB2312" w:hAnsi="仿宋_GB2312" w:cs="仿宋_GB2312" w:eastAsia="仿宋_GB2312"/>
                      <w:sz w:val="20"/>
                      <w:color w:val="000000"/>
                    </w:rPr>
                    <w:t>24路24位</w:t>
                  </w:r>
                  <w:r>
                    <w:rPr>
                      <w:rFonts w:ascii="仿宋_GB2312" w:hAnsi="仿宋_GB2312" w:cs="仿宋_GB2312" w:eastAsia="仿宋_GB2312"/>
                      <w:sz w:val="21"/>
                      <w:color w:val="000000"/>
                    </w:rPr>
                    <w:t xml:space="preserve"> </w:t>
                  </w:r>
                  <w:r>
                    <w:rPr>
                      <w:rFonts w:ascii="仿宋_GB2312" w:hAnsi="仿宋_GB2312" w:cs="仿宋_GB2312" w:eastAsia="仿宋_GB2312"/>
                      <w:sz w:val="20"/>
                      <w:color w:val="000000"/>
                    </w:rPr>
                    <w:t>AD</w:t>
                  </w:r>
                  <w:r>
                    <w:rPr>
                      <w:rFonts w:ascii="仿宋_GB2312" w:hAnsi="仿宋_GB2312" w:cs="仿宋_GB2312" w:eastAsia="仿宋_GB2312"/>
                      <w:sz w:val="21"/>
                      <w:color w:val="000000"/>
                    </w:rPr>
                    <w:t xml:space="preserve"> </w:t>
                  </w:r>
                  <w:r>
                    <w:rPr>
                      <w:rFonts w:ascii="仿宋_GB2312" w:hAnsi="仿宋_GB2312" w:cs="仿宋_GB2312" w:eastAsia="仿宋_GB2312"/>
                      <w:sz w:val="20"/>
                      <w:color w:val="000000"/>
                    </w:rPr>
                    <w:t>采集模块</w:t>
                  </w:r>
                  <w:r>
                    <w:rPr>
                      <w:rFonts w:ascii="仿宋_GB2312" w:hAnsi="仿宋_GB2312" w:cs="仿宋_GB2312" w:eastAsia="仿宋_GB2312"/>
                      <w:sz w:val="20"/>
                      <w:color w:val="000000"/>
                    </w:rPr>
                    <w:t>；</w:t>
                  </w:r>
                </w:p>
                <w:p>
                  <w:pPr>
                    <w:pStyle w:val="null3"/>
                    <w:spacing w:before="195"/>
                    <w:ind w:left="165"/>
                  </w:pPr>
                  <w:r>
                    <w:rPr>
                      <w:rFonts w:ascii="仿宋_GB2312" w:hAnsi="仿宋_GB2312" w:cs="仿宋_GB2312" w:eastAsia="仿宋_GB2312"/>
                      <w:sz w:val="20"/>
                      <w:color w:val="000000"/>
                    </w:rPr>
                    <w:t>▲10.3 AD通道最高采样率：≥128kHz/通道；</w:t>
                  </w:r>
                </w:p>
                <w:p>
                  <w:pPr>
                    <w:pStyle w:val="null3"/>
                    <w:spacing w:before="195"/>
                    <w:ind w:left="165"/>
                  </w:pPr>
                  <w:r>
                    <w:rPr>
                      <w:rFonts w:ascii="仿宋_GB2312" w:hAnsi="仿宋_GB2312" w:cs="仿宋_GB2312" w:eastAsia="仿宋_GB2312"/>
                      <w:sz w:val="20"/>
                      <w:color w:val="000000"/>
                    </w:rPr>
                    <w:t>10.4 要求所有AD通道并行同步采样；</w:t>
                  </w:r>
                </w:p>
                <w:p>
                  <w:pPr>
                    <w:pStyle w:val="null3"/>
                    <w:spacing w:before="195"/>
                    <w:ind w:left="165"/>
                  </w:pPr>
                  <w:r>
                    <w:rPr>
                      <w:rFonts w:ascii="仿宋_GB2312" w:hAnsi="仿宋_GB2312" w:cs="仿宋_GB2312" w:eastAsia="仿宋_GB2312"/>
                      <w:sz w:val="20"/>
                      <w:color w:val="000000"/>
                    </w:rPr>
                    <w:t>▲10.5 信噪比：≥100dB；</w:t>
                  </w:r>
                </w:p>
                <w:p>
                  <w:pPr>
                    <w:pStyle w:val="null3"/>
                    <w:spacing w:before="195"/>
                    <w:ind w:left="165"/>
                  </w:pPr>
                  <w:r>
                    <w:rPr>
                      <w:rFonts w:ascii="仿宋_GB2312" w:hAnsi="仿宋_GB2312" w:cs="仿宋_GB2312" w:eastAsia="仿宋_GB2312"/>
                      <w:sz w:val="20"/>
                      <w:color w:val="000000"/>
                    </w:rPr>
                    <w:t>11、教学模态分析软件(3套)：支持 EMA 与OMA 两种模态分析方式，自带建模及存储功能，可对采集数据进行实时模态分析；</w:t>
                  </w:r>
                </w:p>
                <w:p>
                  <w:pPr>
                    <w:pStyle w:val="null3"/>
                    <w:spacing w:before="195"/>
                    <w:ind w:left="165"/>
                  </w:pPr>
                  <w:r>
                    <w:rPr>
                      <w:rFonts w:ascii="仿宋_GB2312" w:hAnsi="仿宋_GB2312" w:cs="仿宋_GB2312" w:eastAsia="仿宋_GB2312"/>
                      <w:sz w:val="20"/>
                      <w:color w:val="000000"/>
                    </w:rPr>
                    <w:t>12、数据采集与处理系统(3套)：</w:t>
                  </w:r>
                </w:p>
                <w:p>
                  <w:pPr>
                    <w:pStyle w:val="null3"/>
                    <w:spacing w:before="195"/>
                    <w:ind w:left="165"/>
                  </w:pPr>
                  <w:r>
                    <w:rPr>
                      <w:rFonts w:ascii="仿宋_GB2312" w:hAnsi="仿宋_GB2312" w:cs="仿宋_GB2312" w:eastAsia="仿宋_GB2312"/>
                      <w:sz w:val="20"/>
                      <w:color w:val="000000"/>
                    </w:rPr>
                    <w:t>配置不低于：</w:t>
                  </w:r>
                  <w:r>
                    <w:rPr>
                      <w:rFonts w:ascii="仿宋_GB2312" w:hAnsi="仿宋_GB2312" w:cs="仿宋_GB2312" w:eastAsia="仿宋_GB2312"/>
                      <w:sz w:val="20"/>
                      <w:color w:val="000000"/>
                    </w:rPr>
                    <w:t>27英寸；3.2GHz；32GB内存；独立显卡缓存不低于16G；</w:t>
                  </w:r>
                  <w:r>
                    <w:rPr>
                      <w:rFonts w:ascii="仿宋_GB2312" w:hAnsi="仿宋_GB2312" w:cs="仿宋_GB2312" w:eastAsia="仿宋_GB2312"/>
                      <w:sz w:val="20"/>
                      <w:color w:val="000000"/>
                    </w:rPr>
                    <w:t>1TB SSD+10TB HDD</w:t>
                  </w:r>
                  <w:r>
                    <w:rPr>
                      <w:rFonts w:ascii="仿宋_GB2312" w:hAnsi="仿宋_GB2312" w:cs="仿宋_GB2312" w:eastAsia="仿宋_GB2312"/>
                      <w:sz w:val="20"/>
                      <w:color w:val="000000"/>
                    </w:rPr>
                    <w:t>；</w:t>
                  </w:r>
                </w:p>
                <w:p>
                  <w:pPr>
                    <w:pStyle w:val="null3"/>
                    <w:spacing w:before="195"/>
                    <w:ind w:left="165"/>
                  </w:pPr>
                  <w:r>
                    <w:rPr>
                      <w:rFonts w:ascii="仿宋_GB2312" w:hAnsi="仿宋_GB2312" w:cs="仿宋_GB2312" w:eastAsia="仿宋_GB2312"/>
                      <w:sz w:val="20"/>
                      <w:color w:val="000000"/>
                    </w:rPr>
                    <w:t>13、梁类振动测试工件2个</w:t>
                  </w:r>
                  <w:r>
                    <w:rPr>
                      <w:rFonts w:ascii="仿宋_GB2312" w:hAnsi="仿宋_GB2312" w:cs="仿宋_GB2312" w:eastAsia="仿宋_GB2312"/>
                      <w:sz w:val="20"/>
                      <w:color w:val="000000"/>
                    </w:rPr>
                    <w:t>（示意图见附件）</w:t>
                  </w:r>
                  <w:r>
                    <w:rPr>
                      <w:rFonts w:ascii="仿宋_GB2312" w:hAnsi="仿宋_GB2312" w:cs="仿宋_GB2312" w:eastAsia="仿宋_GB2312"/>
                      <w:sz w:val="20"/>
                      <w:color w:val="000000"/>
                    </w:rPr>
                    <w:t>：</w:t>
                  </w:r>
                </w:p>
                <w:p>
                  <w:pPr>
                    <w:pStyle w:val="null3"/>
                    <w:spacing w:before="195"/>
                    <w:ind w:left="165"/>
                  </w:pPr>
                  <w:r>
                    <w:rPr>
                      <w:rFonts w:ascii="仿宋_GB2312" w:hAnsi="仿宋_GB2312" w:cs="仿宋_GB2312" w:eastAsia="仿宋_GB2312"/>
                      <w:color w:val="000000"/>
                    </w:rPr>
                    <w:t>13.1</w:t>
                  </w:r>
                  <w:r>
                    <w:rPr>
                      <w:rFonts w:ascii="仿宋_GB2312" w:hAnsi="仿宋_GB2312" w:cs="仿宋_GB2312" w:eastAsia="仿宋_GB2312"/>
                      <w:color w:val="000000"/>
                    </w:rPr>
                    <w:t xml:space="preserve"> </w:t>
                  </w:r>
                  <w:r>
                    <w:rPr>
                      <w:rFonts w:ascii="仿宋_GB2312" w:hAnsi="仿宋_GB2312" w:cs="仿宋_GB2312" w:eastAsia="仿宋_GB2312"/>
                      <w:color w:val="000000"/>
                    </w:rPr>
                    <w:t>周期梁单元总长</w:t>
                  </w:r>
                  <w:r>
                    <w:rPr>
                      <w:rFonts w:ascii="仿宋_GB2312" w:hAnsi="仿宋_GB2312" w:cs="仿宋_GB2312" w:eastAsia="仿宋_GB2312"/>
                      <w:color w:val="000000"/>
                    </w:rPr>
                    <w:t>2 m，由 5 个基本单元首尾相接构成，每个基本单元由铜铝两种等截面材料构成，长度各为0.2 m，横截面积为圆形，半径为</w:t>
                  </w:r>
                  <w:r>
                    <w:rPr>
                      <w:rFonts w:ascii="仿宋_GB2312" w:hAnsi="仿宋_GB2312" w:cs="仿宋_GB2312" w:eastAsia="仿宋_GB2312"/>
                      <w:color w:val="000000"/>
                    </w:rPr>
                    <w:t>15mm。</w:t>
                  </w:r>
                </w:p>
                <w:p>
                  <w:pPr>
                    <w:pStyle w:val="null3"/>
                    <w:spacing w:before="195"/>
                    <w:ind w:left="165"/>
                  </w:pPr>
                  <w:r>
                    <w:rPr>
                      <w:rFonts w:ascii="仿宋_GB2312" w:hAnsi="仿宋_GB2312" w:cs="仿宋_GB2312" w:eastAsia="仿宋_GB2312"/>
                      <w:color w:val="000000"/>
                    </w:rPr>
                    <w:t>13.2 周期梁单元总长 2 m，主梁为等截面铝材料，横截面积为长方形，长</w:t>
                  </w:r>
                  <w:r>
                    <w:rPr>
                      <w:rFonts w:ascii="仿宋_GB2312" w:hAnsi="仿宋_GB2312" w:cs="仿宋_GB2312" w:eastAsia="仿宋_GB2312"/>
                      <w:color w:val="000000"/>
                    </w:rPr>
                    <w:t>40mm，宽15mm，在主梁上</w:t>
                  </w:r>
                  <w:r>
                    <w:rPr>
                      <w:rFonts w:ascii="仿宋_GB2312" w:hAnsi="仿宋_GB2312" w:cs="仿宋_GB2312" w:eastAsia="仿宋_GB2312"/>
                      <w:color w:val="000000"/>
                    </w:rPr>
                    <w:t>每隔</w:t>
                  </w:r>
                  <w:r>
                    <w:rPr>
                      <w:rFonts w:ascii="仿宋_GB2312" w:hAnsi="仿宋_GB2312" w:cs="仿宋_GB2312" w:eastAsia="仿宋_GB2312"/>
                      <w:color w:val="000000"/>
                    </w:rPr>
                    <w:t xml:space="preserve">75 mm，垂直安装一个宽15 mm、长100 mm、厚 </w:t>
                  </w:r>
                  <w:r>
                    <w:rPr>
                      <w:rFonts w:ascii="仿宋_GB2312" w:hAnsi="仿宋_GB2312" w:cs="仿宋_GB2312" w:eastAsia="仿宋_GB2312"/>
                      <w:color w:val="000000"/>
                    </w:rPr>
                    <w:t>2</w:t>
                  </w:r>
                  <w:r>
                    <w:rPr>
                      <w:rFonts w:ascii="仿宋_GB2312" w:hAnsi="仿宋_GB2312" w:cs="仿宋_GB2312" w:eastAsia="仿宋_GB2312"/>
                      <w:color w:val="000000"/>
                    </w:rPr>
                    <w:t xml:space="preserve"> </w:t>
                  </w:r>
                  <w:r>
                    <w:rPr>
                      <w:rFonts w:ascii="仿宋_GB2312" w:hAnsi="仿宋_GB2312" w:cs="仿宋_GB2312" w:eastAsia="仿宋_GB2312"/>
                      <w:color w:val="000000"/>
                    </w:rPr>
                    <w:t>mm的铜片。</w:t>
                  </w:r>
                </w:p>
                <w:p>
                  <w:pPr>
                    <w:pStyle w:val="null3"/>
                    <w:spacing w:before="195"/>
                    <w:ind w:left="165"/>
                  </w:pPr>
                  <w:r>
                    <w:rPr>
                      <w:rFonts w:ascii="仿宋_GB2312" w:hAnsi="仿宋_GB2312" w:cs="仿宋_GB2312" w:eastAsia="仿宋_GB2312"/>
                      <w:color w:val="000000"/>
                    </w:rPr>
                    <w:t>14、穹顶类振动测试工件1个</w:t>
                  </w:r>
                  <w:r>
                    <w:rPr>
                      <w:rFonts w:ascii="仿宋_GB2312" w:hAnsi="仿宋_GB2312" w:cs="仿宋_GB2312" w:eastAsia="仿宋_GB2312"/>
                      <w:sz w:val="20"/>
                      <w:color w:val="000000"/>
                    </w:rPr>
                    <w:t>（示意图见附件）</w:t>
                  </w:r>
                  <w:r>
                    <w:rPr>
                      <w:rFonts w:ascii="仿宋_GB2312" w:hAnsi="仿宋_GB2312" w:cs="仿宋_GB2312" w:eastAsia="仿宋_GB2312"/>
                      <w:color w:val="000000"/>
                    </w:rPr>
                    <w:t>：</w:t>
                  </w:r>
                </w:p>
                <w:p>
                  <w:pPr>
                    <w:pStyle w:val="null3"/>
                    <w:spacing w:before="195"/>
                    <w:ind w:left="165"/>
                  </w:pPr>
                  <w:r>
                    <w:rPr>
                      <w:rFonts w:ascii="仿宋_GB2312" w:hAnsi="仿宋_GB2312" w:cs="仿宋_GB2312" w:eastAsia="仿宋_GB2312"/>
                      <w:sz w:val="21"/>
                      <w:color w:val="000000"/>
                    </w:rPr>
                    <w:t xml:space="preserve">14.1 </w:t>
                  </w:r>
                  <w:r>
                    <w:rPr>
                      <w:rFonts w:ascii="仿宋_GB2312" w:hAnsi="仿宋_GB2312" w:cs="仿宋_GB2312" w:eastAsia="仿宋_GB2312"/>
                      <w:sz w:val="21"/>
                      <w:color w:val="000000"/>
                    </w:rPr>
                    <w:t>穹顶结构主体骨架采用半圆形网格结构体系，在水平纬度方向上划分为五个环带。主体骨架的单层环带均按内接圆法绘制为十二边形，其内接圆直径由内至外分别为</w:t>
                  </w:r>
                  <w:r>
                    <w:rPr>
                      <w:rFonts w:ascii="仿宋_GB2312" w:hAnsi="仿宋_GB2312" w:cs="仿宋_GB2312" w:eastAsia="仿宋_GB2312"/>
                      <w:sz w:val="21"/>
                      <w:color w:val="000000"/>
                    </w:rPr>
                    <w:t xml:space="preserve"> 400mm、633.35mm、1062.52mm、1441.16mm 及 1830.52mm。在竖向标高方面，五层环带的层高设定呈现规律性递减，第一层（最大环带）与第二层之间的高差为 250mm，随后每层依次递减 50mm（即分别为 250mm、200mm、150mm、100mm）。在材料与截面选型上，主体环向骨架采用 50mm×30mm 的矩形截面；各层骨架之间的径向连杆则选用外径 12.7mm、壁厚 1.47mm 的铝合金圆管。结构体系中的所有杆件与节点均采用铝合金材质的铰接连接，且连接端面保持等截面设计，以确保受力的合理传递。</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合同签订后，2026年6月30日前交货安装验收完毕</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西安工业大学未央校区工2-112</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 xml:space="preserve"> 付款条件说明： </w:t>
      </w:r>
      <w:r>
        <w:rPr>
          <w:rFonts w:ascii="仿宋_GB2312" w:hAnsi="仿宋_GB2312" w:cs="仿宋_GB2312" w:eastAsia="仿宋_GB2312"/>
        </w:rPr>
        <w:t>设备安装调试经采购人验收合格后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 支付合同总金额的</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采购设备的验收流程包括：到货验收、安装调试、试运行、最终验收。 到货验收：设备到达指定地点后，由采购人技术人员进行初步检查，确认设备的外观、型号等信息是否与合同一致。同时，需要开箱验货，检查设备及配件的外观、数量、包装是否完好无损。如果发现外包装损坏或规格、型号、数量与合同不符等问题，则视为初验不合格，设备应返回给中标（成交）供应商，并记录处理意见。安装调试：在确认设备符合要求后，由中标（成交）供应商进行设备的安装和调试，确保设备能够正常运行。 试运行：设备安装调试完成后，通常会进入试运行期。本项目运行期为1周，试运行期间，如果出现质量问题，中标（成交）供应商需负责修复或更换货物。试运行结束后，由采购人组织正式验收。 最终验收：在试运行无问题后，由采购人和中标（成交）供应商共同完成最终验收。验收小组对设备的性能、稳定性进行全面测试和评估，根据测试结果决定是否接受该设备，并签署验收报告。最终验收合格后，办理移交手续，并依据合同条款进行付款申报。2.培训要求:到货后一个月内，至少包含一名原厂技术工程师现场指导，培训时长不低于4小时。中标（成交）供应须负责开展培训服务，明确各阶段详实培训计划，包括但不限于对教师、实验室设备管理人员等进行培训服务。培训内容包括各种设备的初始化及故障诊断、定位和排除技能等。培训次数不限，达到熟练使用的效果。提供相关主要设备的操作流程及使用手册，维修手册等。</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本项目整体质保期：验收合格后5年；质保期满后，中标（成交）供应商仍需提供专业维修服务。 质保期内免费提供正常使用的易损件和备件；软件系统提供终身免费升级服务。设备经过双方检验认可后，签署验收报告，产品保修期自验收合格之日起计算，由中标（成交）供应商提供产品保修文件。质保期内所有维修服务均由中标（成交）供应商免费上门取、送、修。安装调试1个月内，如有质量问题，设备整机无条件退换货并提供备件以保证教学正常开展。在保修期内，任何质量问题，中标（成交）供应商负责免费维修。质保期过后需换件时，原则上应提供原装器件，并按成本价收费。服务响应时间：中标（成交）供应商接到维修电话后2小时内给予明确答复，4小时内到达现场维修。维修人员到现场后若问题特殊无法现场修复的，中标（成交）供应商需在24小时内给出合理解决方案。</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根据招标文件要求、投标文件及合同约定执行。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(1)投标人需要在线提交所有通过电子化交易平台实施的政府采购项目的投标文件，同时，线下提交纸质投标文件正本壹份、副本贰份。若电子投标文件与纸质投标文件不一致的，以电子投标文件为准。(2)投标文件，正、副本分别各自装订成册密封。在封口处加盖投标人公章。(3)线下投标文件递交截止时间与线上开评标时间一致。(4)纸质投标文件可邮寄递交，应于递交投标文件截止时间前邮寄到西安市莲湖区高新一路5号正信大厦A座24楼。 2、保证金退还:（1） 未中标单位：招标结束后，将根据所提供信息退还各投标单位保证金，无需亲自前来办理；（2）中标单位：在采购合同签订并按规定交纳代理服务费后五个工作日内退还。（办理退保证金：需提供与甲方签订的合同原件的扫描件一份（pdf格式）发送至此邮箱（945990512@qq.cpm）,发送时务必备注项目名称、项目编号和标段（无标段可不写）； 中标服务费查询请联系财务部：029-89286620转808。（3）投标单位如开具电子保函请在开标前把电子保函PDF版发送至2290417378@qq.com。 3、合同价款包括全套货物抵达用户现场，安装验收直至投入使用期间的所需费用。报价包含但不限于人工费、辅材费、税费、安装调试费、培训费、安装期间必须的场地调整费等产生的一切费用。合同总价一次性包死，不受市场价格变化因素的影响。除本合同总金额外，采购人不再支付任何其他费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2投标人资格证明文件.docx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2投标人资格证明文件.docx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2投标人资格证明文件.docx 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2投标人资格证明文件.docx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提供经审计的完整的2024年度或2025年度的财务报告或提交投标文件截止时间前六个月内其基本账户开户银行出具的资信证明；其他组织和自然人提供银行出具的资信证明或财务报表；</w:t>
            </w:r>
          </w:p>
        </w:tc>
        <w:tc>
          <w:tcPr>
            <w:tcW w:type="dxa" w:w="1661"/>
          </w:tcPr>
          <w:p>
            <w:pPr>
              <w:pStyle w:val="null3"/>
            </w:pPr>
            <w:r>
              <w:rPr>
                <w:rFonts w:ascii="仿宋_GB2312" w:hAnsi="仿宋_GB2312" w:cs="仿宋_GB2312" w:eastAsia="仿宋_GB2312"/>
              </w:rPr>
              <w:t>2投标人资格证明文件.docx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提供递交投标文件截止之日前一年内任意一个月的依法缴纳税收的相关凭据，凭据应有税务机关或代收机关的公章或业务专用章。依法免税或无须缴纳税收的供应商应提供相应证明文件；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2投标人资格证明文件.docx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提供投标文件递交截止日前一年内已缴存的任意一个月的社会保障资金缴存单据或社保机构开具的社会保险参保缴费情况证明，依法不需要缴纳社会保障资金的单位应提供相关证明材料；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2投标人资格证明文件.docx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政府采购活动前三年内在经营活动中没有重大违纪，以及未被列入失信被执行人、重大税收违法案件当事人名单、政府采购严重违法失信行为记录名单的书面声明；本项目拒绝被列入失信被执行人、重大税收违法案件当事人名单、政府采购严重违法失信行为的投标人参与；</w:t>
            </w:r>
          </w:p>
        </w:tc>
        <w:tc>
          <w:tcPr>
            <w:tcW w:type="dxa" w:w="1661"/>
          </w:tcPr>
          <w:p>
            <w:pPr>
              <w:pStyle w:val="null3"/>
            </w:pPr>
            <w:r>
              <w:rPr>
                <w:rFonts w:ascii="仿宋_GB2312" w:hAnsi="仿宋_GB2312" w:cs="仿宋_GB2312" w:eastAsia="仿宋_GB2312"/>
              </w:rPr>
              <w:t>2投标人资格证明文件.docx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具有履行合同所必需的设备和专业技术能力的承诺及说明；</w:t>
            </w:r>
          </w:p>
        </w:tc>
        <w:tc>
          <w:tcPr>
            <w:tcW w:type="dxa" w:w="1661"/>
          </w:tcPr>
          <w:p>
            <w:pPr>
              <w:pStyle w:val="null3"/>
            </w:pPr>
            <w:r>
              <w:rPr>
                <w:rFonts w:ascii="仿宋_GB2312" w:hAnsi="仿宋_GB2312" w:cs="仿宋_GB2312" w:eastAsia="仿宋_GB2312"/>
              </w:rPr>
              <w:t>2投标人资格证明文件.docx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投标人应授权合法的人员参加投标，其中法定代表人直接参加的，须出具法定代表人证明书；被授权代表参加的，须出具法定代表人授权书；</w:t>
            </w:r>
          </w:p>
        </w:tc>
        <w:tc>
          <w:tcPr>
            <w:tcW w:type="dxa" w:w="1661"/>
          </w:tcPr>
          <w:p>
            <w:pPr>
              <w:pStyle w:val="null3"/>
            </w:pPr>
            <w:r>
              <w:rPr>
                <w:rFonts w:ascii="仿宋_GB2312" w:hAnsi="仿宋_GB2312" w:cs="仿宋_GB2312" w:eastAsia="仿宋_GB2312"/>
              </w:rPr>
              <w:t>2投标人资格证明文件.docx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直接控股、管理关系</w:t>
            </w:r>
          </w:p>
        </w:tc>
        <w:tc>
          <w:tcPr>
            <w:tcW w:type="dxa" w:w="3322"/>
          </w:tcPr>
          <w:p>
            <w:pPr>
              <w:pStyle w:val="null3"/>
            </w:pPr>
            <w:r>
              <w:rPr>
                <w:rFonts w:ascii="仿宋_GB2312" w:hAnsi="仿宋_GB2312" w:cs="仿宋_GB2312" w:eastAsia="仿宋_GB2312"/>
              </w:rPr>
              <w:t>单位负责人为同一人或存在直接控股、管理关系的不同单位，不得同时参加本项目投标活动；</w:t>
            </w:r>
          </w:p>
        </w:tc>
        <w:tc>
          <w:tcPr>
            <w:tcW w:type="dxa" w:w="1661"/>
          </w:tcPr>
          <w:p>
            <w:pPr>
              <w:pStyle w:val="null3"/>
            </w:pPr>
            <w:r>
              <w:rPr>
                <w:rFonts w:ascii="仿宋_GB2312" w:hAnsi="仿宋_GB2312" w:cs="仿宋_GB2312" w:eastAsia="仿宋_GB2312"/>
              </w:rPr>
              <w:t>2投标人资格证明文件.docx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落实政府采购政策需满足的资格要求</w:t>
            </w:r>
          </w:p>
        </w:tc>
        <w:tc>
          <w:tcPr>
            <w:tcW w:type="dxa" w:w="3322"/>
          </w:tcPr>
          <w:p>
            <w:pPr>
              <w:pStyle w:val="null3"/>
            </w:pPr>
            <w:r>
              <w:rPr>
                <w:rFonts w:ascii="仿宋_GB2312" w:hAnsi="仿宋_GB2312" w:cs="仿宋_GB2312" w:eastAsia="仿宋_GB2312"/>
              </w:rPr>
              <w:t>本项目专门面向中小企业采购，投标产品的制造商应为中型企业或小型、微型企业或监狱企业或残疾人福利性单位。投标产品的制造商为中型、小型、微型企业的，供应商提供《中小企业声明函》；投标产品的制造商为监狱企业的，供应商应提供投标产品制造商为监狱企业的证明文件；投标产品的制造商为残疾人福利性单位的，供应商应提供投标产品制造商为残疾人福利性单位的《残疾人福利性单位声明函》。</w:t>
            </w:r>
          </w:p>
        </w:tc>
        <w:tc>
          <w:tcPr>
            <w:tcW w:type="dxa" w:w="1661"/>
          </w:tcPr>
          <w:p>
            <w:pPr>
              <w:pStyle w:val="null3"/>
            </w:pPr>
            <w:r>
              <w:rPr>
                <w:rFonts w:ascii="仿宋_GB2312" w:hAnsi="仿宋_GB2312" w:cs="仿宋_GB2312" w:eastAsia="仿宋_GB2312"/>
              </w:rPr>
              <w:t>2投标人资格证明文件.docx 中小企业声明函 残疾人福利性单位声明函 监狱企业的证明文件</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 3、政府采购评审中出现下列情形之一的，评审委员会应当启动异常低价投标审查程序： ①投标报价低于全部通过符合性审查供应商投标报价平均值50%的，即投标报价&lt;全部通过符合性审查供应商投标报价平均值×50%； ②投标报价低于通过符合性审查的次低报价供应商投标报价50%的，即投标报价&lt;通过符合性审查的次低报价供应商投标报价×50%； ③投标报价低于采购项目最高限价45%的，即投标报价&lt;采购项目最高限价×45%； ④评审委员会基于专业判断，认为供应商报价过低，有可能影响产品质量或者不能诚信履约的其他情形。 相关法律法规对供应商报价有规定的，从其规定。 评审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审委员会应当将其作为无效投标处理。</w:t>
            </w:r>
          </w:p>
        </w:tc>
        <w:tc>
          <w:tcPr>
            <w:tcW w:type="dxa" w:w="1661"/>
          </w:tcPr>
          <w:p>
            <w:pPr>
              <w:pStyle w:val="null3"/>
            </w:pPr>
            <w:r>
              <w:rPr>
                <w:rFonts w:ascii="仿宋_GB2312" w:hAnsi="仿宋_GB2312" w:cs="仿宋_GB2312" w:eastAsia="仿宋_GB2312"/>
              </w:rPr>
              <w:t>开标一览表 1分项报价表.docx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投标文件语言、有效期</w:t>
            </w:r>
          </w:p>
        </w:tc>
        <w:tc>
          <w:tcPr>
            <w:tcW w:type="dxa" w:w="3322"/>
          </w:tcPr>
          <w:p>
            <w:pPr>
              <w:pStyle w:val="null3"/>
            </w:pPr>
            <w:r>
              <w:rPr>
                <w:rFonts w:ascii="仿宋_GB2312" w:hAnsi="仿宋_GB2312" w:cs="仿宋_GB2312" w:eastAsia="仿宋_GB2312"/>
              </w:rPr>
              <w:t>投标文件语言、有效期符合招标文件的要求。</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投标文件封面、投标函、法定代表人授权委托书三处的项目名称、项目编号</w:t>
            </w:r>
          </w:p>
        </w:tc>
        <w:tc>
          <w:tcPr>
            <w:tcW w:type="dxa" w:w="3322"/>
          </w:tcPr>
          <w:p>
            <w:pPr>
              <w:pStyle w:val="null3"/>
            </w:pPr>
            <w:r>
              <w:rPr>
                <w:rFonts w:ascii="仿宋_GB2312" w:hAnsi="仿宋_GB2312" w:cs="仿宋_GB2312" w:eastAsia="仿宋_GB2312"/>
              </w:rPr>
              <w:t>三处均无遗漏，且与所投项目名称、项目编号一致。</w:t>
            </w:r>
          </w:p>
        </w:tc>
        <w:tc>
          <w:tcPr>
            <w:tcW w:type="dxa" w:w="1661"/>
          </w:tcPr>
          <w:p>
            <w:pPr>
              <w:pStyle w:val="null3"/>
            </w:pPr>
            <w:r>
              <w:rPr>
                <w:rFonts w:ascii="仿宋_GB2312" w:hAnsi="仿宋_GB2312" w:cs="仿宋_GB2312" w:eastAsia="仿宋_GB2312"/>
              </w:rPr>
              <w:t>2投标人资格证明文件.docx 投标函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均按招标文件要求签字、盖章（评分标准中要求提供的证明材料除外）。</w:t>
            </w:r>
          </w:p>
        </w:tc>
        <w:tc>
          <w:tcPr>
            <w:tcW w:type="dxa" w:w="1661"/>
          </w:tcPr>
          <w:p>
            <w:pPr>
              <w:pStyle w:val="null3"/>
            </w:pPr>
            <w:r>
              <w:rPr>
                <w:rFonts w:ascii="仿宋_GB2312" w:hAnsi="仿宋_GB2312" w:cs="仿宋_GB2312" w:eastAsia="仿宋_GB2312"/>
              </w:rPr>
              <w:t>2投标人资格证明文件.docx 1分项报价表.docx 投标文件封面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投标报价表</w:t>
            </w:r>
          </w:p>
        </w:tc>
        <w:tc>
          <w:tcPr>
            <w:tcW w:type="dxa" w:w="3322"/>
          </w:tcPr>
          <w:p>
            <w:pPr>
              <w:pStyle w:val="null3"/>
            </w:pPr>
            <w:r>
              <w:rPr>
                <w:rFonts w:ascii="仿宋_GB2312" w:hAnsi="仿宋_GB2312" w:cs="仿宋_GB2312" w:eastAsia="仿宋_GB2312"/>
              </w:rPr>
              <w:t>（1）投标报价表填写符合要求； （2）计量单位、报价货币均符合招标文件要求； （3）投标报价未超出采购预算或招标文件规定的最高限价（单价限价）。</w:t>
            </w:r>
          </w:p>
        </w:tc>
        <w:tc>
          <w:tcPr>
            <w:tcW w:type="dxa" w:w="1661"/>
          </w:tcPr>
          <w:p>
            <w:pPr>
              <w:pStyle w:val="null3"/>
            </w:pPr>
            <w:r>
              <w:rPr>
                <w:rFonts w:ascii="仿宋_GB2312" w:hAnsi="仿宋_GB2312" w:cs="仿宋_GB2312" w:eastAsia="仿宋_GB2312"/>
              </w:rPr>
              <w:t>开标一览表 1分项报价表.docx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技术服务要求</w:t>
            </w:r>
          </w:p>
        </w:tc>
        <w:tc>
          <w:tcPr>
            <w:tcW w:type="dxa" w:w="3322"/>
          </w:tcPr>
          <w:p>
            <w:pPr>
              <w:pStyle w:val="null3"/>
            </w:pPr>
            <w:r>
              <w:rPr>
                <w:rFonts w:ascii="仿宋_GB2312" w:hAnsi="仿宋_GB2312" w:cs="仿宋_GB2312" w:eastAsia="仿宋_GB2312"/>
              </w:rPr>
              <w:t>完全理解并接受对合格投标人、合格的货物、工程或服务要求，根据投标人投标文件《技术指标偏差表》，结合招标文件第三章“★”标识的实质性要求没有负偏离。</w:t>
            </w:r>
          </w:p>
        </w:tc>
        <w:tc>
          <w:tcPr>
            <w:tcW w:type="dxa" w:w="1661"/>
          </w:tcPr>
          <w:p>
            <w:pPr>
              <w:pStyle w:val="null3"/>
            </w:pPr>
            <w:r>
              <w:rPr>
                <w:rFonts w:ascii="仿宋_GB2312" w:hAnsi="仿宋_GB2312" w:cs="仿宋_GB2312" w:eastAsia="仿宋_GB2312"/>
              </w:rPr>
              <w:t>3响应偏差表及商务响应说明.docx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无其他招标文件或法规明确规定投标无效的事项</w:t>
            </w:r>
          </w:p>
        </w:tc>
        <w:tc>
          <w:tcPr>
            <w:tcW w:type="dxa" w:w="3322"/>
          </w:tcPr>
          <w:p>
            <w:pPr>
              <w:pStyle w:val="null3"/>
            </w:pPr>
            <w:r>
              <w:rPr>
                <w:rFonts w:ascii="仿宋_GB2312" w:hAnsi="仿宋_GB2312" w:cs="仿宋_GB2312" w:eastAsia="仿宋_GB2312"/>
              </w:rPr>
              <w:t>没有不符合招标文件规定的被视为无效投标的其他条款。</w:t>
            </w:r>
          </w:p>
        </w:tc>
        <w:tc>
          <w:tcPr>
            <w:tcW w:type="dxa" w:w="1661"/>
          </w:tcPr>
          <w:p>
            <w:pPr>
              <w:pStyle w:val="null3"/>
            </w:pPr>
            <w:r>
              <w:rPr>
                <w:rFonts w:ascii="仿宋_GB2312" w:hAnsi="仿宋_GB2312" w:cs="仿宋_GB2312" w:eastAsia="仿宋_GB2312"/>
              </w:rPr>
              <w:t>4投标方案.docx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合同条款响应</w:t>
            </w:r>
          </w:p>
        </w:tc>
        <w:tc>
          <w:tcPr>
            <w:tcW w:type="dxa" w:w="3322"/>
          </w:tcPr>
          <w:p>
            <w:pPr>
              <w:pStyle w:val="null3"/>
            </w:pPr>
            <w:r>
              <w:rPr>
                <w:rFonts w:ascii="仿宋_GB2312" w:hAnsi="仿宋_GB2312" w:cs="仿宋_GB2312" w:eastAsia="仿宋_GB2312"/>
              </w:rPr>
              <w:t>完全理解并接受招标文件合同基本条款要求。</w:t>
            </w:r>
          </w:p>
        </w:tc>
        <w:tc>
          <w:tcPr>
            <w:tcW w:type="dxa" w:w="1661"/>
          </w:tcPr>
          <w:p>
            <w:pPr>
              <w:pStyle w:val="null3"/>
            </w:pPr>
            <w:r>
              <w:rPr>
                <w:rFonts w:ascii="仿宋_GB2312" w:hAnsi="仿宋_GB2312" w:cs="仿宋_GB2312" w:eastAsia="仿宋_GB2312"/>
              </w:rPr>
              <w:t>3响应偏差表及商务响应说明.docx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对招标文件技术参数要求部分的所有指标，投标人应逐条进行响应。完全符合、响应招标文件要求，没有负偏离的得20分； （1）“▲”号参数为重要指标，每负偏离1项扣1分；（2）非“▲”号参数负偏离一项扣0.4分，扣完为止。 备注：“▲”号参数需提供佐证材料，不限于产品检测报告、产品彩页、产品说明书、官网和功能截图等，未提供者视为负偏离。</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3响应偏差表及商务响应说明.docx</w:t>
            </w:r>
          </w:p>
          <w:p>
            <w:pPr>
              <w:pStyle w:val="null3"/>
            </w:pPr>
            <w:r>
              <w:rPr>
                <w:rFonts w:ascii="仿宋_GB2312" w:hAnsi="仿宋_GB2312" w:cs="仿宋_GB2312" w:eastAsia="仿宋_GB2312"/>
              </w:rPr>
              <w:t>4投标方案.docx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投标人提供针对本项目的实施方案，包括但不限于：①需求分析；②总体实施方案；③安装调试方案；④测试、试运行方案；⑤重点、难点分析并给出相应的解决方案；⑥验收方案。满分12分。每有一项缺项扣2分，每有一项内容中有缺陷扣1分，扣完为止。未提供不得分。（缺陷是指内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4投标方案.docx</w:t>
            </w:r>
          </w:p>
        </w:tc>
      </w:tr>
      <w:tr>
        <w:tc>
          <w:tcPr>
            <w:tcW w:type="dxa" w:w="831"/>
            <w:vMerge/>
          </w:tcPr>
          <w:p/>
        </w:tc>
        <w:tc>
          <w:tcPr>
            <w:tcW w:type="dxa" w:w="1661"/>
          </w:tcPr>
          <w:p>
            <w:pPr>
              <w:pStyle w:val="null3"/>
            </w:pPr>
            <w:r>
              <w:rPr>
                <w:rFonts w:ascii="仿宋_GB2312" w:hAnsi="仿宋_GB2312" w:cs="仿宋_GB2312" w:eastAsia="仿宋_GB2312"/>
              </w:rPr>
              <w:t>质量保障措施</w:t>
            </w:r>
          </w:p>
        </w:tc>
        <w:tc>
          <w:tcPr>
            <w:tcW w:type="dxa" w:w="2492"/>
          </w:tcPr>
          <w:p>
            <w:pPr>
              <w:pStyle w:val="null3"/>
            </w:pPr>
            <w:r>
              <w:rPr>
                <w:rFonts w:ascii="仿宋_GB2312" w:hAnsi="仿宋_GB2312" w:cs="仿宋_GB2312" w:eastAsia="仿宋_GB2312"/>
              </w:rPr>
              <w:t>投标人提供针对本项目的项目质量保障措施，包括但不限于：①质量保障措施；②进度安排及进度保障措施；③项目质量管理方案；④风险管控方案；满分8分。每有一项缺项扣2分，每有一项内容中有缺陷扣1分，扣完为止。未提供不得分。（缺陷是指内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4投标方案.docx</w:t>
            </w:r>
          </w:p>
        </w:tc>
      </w:tr>
      <w:tr>
        <w:tc>
          <w:tcPr>
            <w:tcW w:type="dxa" w:w="831"/>
            <w:vMerge/>
          </w:tcPr>
          <w:p/>
        </w:tc>
        <w:tc>
          <w:tcPr>
            <w:tcW w:type="dxa" w:w="1661"/>
          </w:tcPr>
          <w:p>
            <w:pPr>
              <w:pStyle w:val="null3"/>
            </w:pPr>
            <w:r>
              <w:rPr>
                <w:rFonts w:ascii="仿宋_GB2312" w:hAnsi="仿宋_GB2312" w:cs="仿宋_GB2312" w:eastAsia="仿宋_GB2312"/>
              </w:rPr>
              <w:t>供货渠道证明</w:t>
            </w:r>
          </w:p>
        </w:tc>
        <w:tc>
          <w:tcPr>
            <w:tcW w:type="dxa" w:w="2492"/>
          </w:tcPr>
          <w:p>
            <w:pPr>
              <w:pStyle w:val="null3"/>
            </w:pPr>
            <w:r>
              <w:rPr>
                <w:rFonts w:ascii="仿宋_GB2312" w:hAnsi="仿宋_GB2312" w:cs="仿宋_GB2312" w:eastAsia="仿宋_GB2312"/>
              </w:rPr>
              <w:t>提供所投产品合法来源渠道证明文件（包括销售协议、代理协议、原厂授权等），确保生产供应的产品为全新产品,无假货、水货、翻新货且无产权纠纷。提供齐全计2分，提供不全或未提供不计分。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4投标方案.docx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投标人结合项目实际情况提供针对本项目的团队人员配备方案，内容包括：①人员配备安排计划及工作分配情况；②人员配备能力完备，具备相关工作经验；③人员管理制度。满分3分。每有一项缺项扣1分；每有一项内容中有缺陷扣0.5分，扣完为止。未提供不得分。（缺陷是指内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4投标方案.docx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提供投标人2023年1月1日至今类似项目合同（以合同签订日期为准），每提供1个得2分，满分8分。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5业绩.docx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针对本项目有具体的售后服务方案,该方案包含：①售后服务网点的设定；②拟投入售后服务人员配置情况；③日常维护保养；④项目交付用户后出现故障响应时间及措施。满分8分。每有一项缺项扣2分，每有一项内容中有缺陷扣1分，扣完为止。未提供不得分。（缺陷是指内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4投标方案.docx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针对本项目有具体的培训方案，该方案包含：①培训时间、培训人数、培训方式；②投标产品的原理和技术性能；③操作维护方法；④排除故障。满分8分。每有一项缺项扣2分，每有一项内容中有缺陷扣1分，扣完为止。未提供不得分。（缺陷是指内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4投标方案.docx</w:t>
            </w:r>
          </w:p>
        </w:tc>
      </w:tr>
      <w:tr>
        <w:tc>
          <w:tcPr>
            <w:tcW w:type="dxa" w:w="831"/>
            <w:vMerge/>
          </w:tcP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投标人投标产品中每有一项为节能产品或环境标志产品经国家认证的得1分。（以经国家确定的认证机构出具的、处于有效期内的节能产品、环境标志产品认证证书为准。）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4投标方案.docx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1分项报价表.docx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价格分统一采用低价优先法计算，即满足招标文件要求且投标价格最低的投标报价为评标基准价，其价格分为满分。其他投标人的价格分统一按照下列公式计算： 投标报价得分=(评标基准价／投标报价)×价格权值×100 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详见附件：1分项报价表.docx</w:t>
      </w:r>
    </w:p>
    <w:p>
      <w:pPr>
        <w:pStyle w:val="null3"/>
        <w:ind w:firstLine="960"/>
      </w:pPr>
      <w:r>
        <w:rPr>
          <w:rFonts w:ascii="仿宋_GB2312" w:hAnsi="仿宋_GB2312" w:cs="仿宋_GB2312" w:eastAsia="仿宋_GB2312"/>
        </w:rPr>
        <w:t>详见附件：2投标人资格证明文件.docx</w:t>
      </w:r>
    </w:p>
    <w:p>
      <w:pPr>
        <w:pStyle w:val="null3"/>
        <w:ind w:firstLine="960"/>
      </w:pPr>
      <w:r>
        <w:rPr>
          <w:rFonts w:ascii="仿宋_GB2312" w:hAnsi="仿宋_GB2312" w:cs="仿宋_GB2312" w:eastAsia="仿宋_GB2312"/>
        </w:rPr>
        <w:t>详见附件：3响应偏差表及商务响应说明.docx</w:t>
      </w:r>
    </w:p>
    <w:p>
      <w:pPr>
        <w:pStyle w:val="null3"/>
        <w:ind w:firstLine="960"/>
      </w:pPr>
      <w:r>
        <w:rPr>
          <w:rFonts w:ascii="仿宋_GB2312" w:hAnsi="仿宋_GB2312" w:cs="仿宋_GB2312" w:eastAsia="仿宋_GB2312"/>
        </w:rPr>
        <w:t>详见附件：4投标方案.docx</w:t>
      </w:r>
    </w:p>
    <w:p>
      <w:pPr>
        <w:pStyle w:val="null3"/>
        <w:ind w:firstLine="960"/>
      </w:pPr>
      <w:r>
        <w:rPr>
          <w:rFonts w:ascii="仿宋_GB2312" w:hAnsi="仿宋_GB2312" w:cs="仿宋_GB2312" w:eastAsia="仿宋_GB2312"/>
        </w:rPr>
        <w:t>详见附件：5业绩.docx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详见附件：拟签订合同文本.docx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