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版本号：HCLG2026-021.2B120260717001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干燥系统及高温高压真空热压炉及白光干涉形貌仪(二次)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HCLG2026-021.2B1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干燥系统及高温高压真空热压炉及白光干涉形貌仪(二次)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HCLG2026-021.2B1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干燥系统及高温高压真空热压炉及白光干涉形貌仪(二次)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采购干燥系统、高温高压真空热压炉、白光干涉形貌仪设备, 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采购包1（高温高压真空热压炉）：属于专门面向null采购。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4、会保障资金缴纳证明：提提供投标文件截止时间前一年内任意一个月的社会保障资金缴存单据或社保机构开具的社会保险参保缴费情况证明，依法不需要缴纳社会保障资金的单位应提供相关证明材料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俞博洋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解征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13259773661/02989115858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银行账号：30208471002889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说明：履约保证金金额为合同总价的5%。在签订政府采购合同前，中标投标人向采购人缴纳履约保证金，最终验收合格后采购人无息退还。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代理服务费收费标准：1.代理服务费按约定由成交供应商支付，按包收取，领取成交通知书前，由成交供应商向采购代理机构缴纳代理服务费，一次性付清。 2.代理服务费参考国家计委《招标代理服务收费管理暂行办法》计价格[2002]1980号规定标准的62%收取。80万以下项目按代理协议约定支付3000元/包。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采购干燥系统、高温高压真空热压炉、白光干涉形貌仪设备, 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高温高压真空热压炉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标的名称：高温高压真空热压炉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配置清单</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 ▲高温高压真空热压炉包含加热系统、加压系统、真空系统、控制系统</w:t>
            </w:r>
          </w:p>
          <w:p>
            <w:pPr>
              <w:pStyle w:val="null3"/>
            </w:pPr>
            <w:r>
              <w:rPr>
                <w:rFonts w:ascii="仿宋_GB2312" w:hAnsi="仿宋_GB2312" w:cs="仿宋_GB2312" w:eastAsia="仿宋_GB2312"/>
                <w:sz w:val="20"/>
              </w:rPr>
              <w:t>2. ▲炉腔的工作区尺寸：Φ250×250mm（直径×高）；可烧制样品的直径≥Φ80mm；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加压系统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 ▲最大工作压力：30T；</w:t>
            </w:r>
          </w:p>
          <w:p>
            <w:pPr>
              <w:pStyle w:val="null3"/>
              <w:jc w:val="both"/>
            </w:pPr>
            <w:r>
              <w:rPr>
                <w:rFonts w:ascii="仿宋_GB2312" w:hAnsi="仿宋_GB2312" w:cs="仿宋_GB2312" w:eastAsia="仿宋_GB2312"/>
                <w:sz w:val="20"/>
              </w:rPr>
              <w:t>2. 压头直径：≥Φ100mm；</w:t>
            </w:r>
          </w:p>
          <w:p>
            <w:pPr>
              <w:pStyle w:val="null3"/>
              <w:jc w:val="both"/>
            </w:pPr>
            <w:r>
              <w:rPr>
                <w:rFonts w:ascii="仿宋_GB2312" w:hAnsi="仿宋_GB2312" w:cs="仿宋_GB2312" w:eastAsia="仿宋_GB2312"/>
                <w:sz w:val="20"/>
              </w:rPr>
              <w:t>3. 压头位移：100mm；</w:t>
            </w:r>
          </w:p>
          <w:p>
            <w:pPr>
              <w:pStyle w:val="null3"/>
              <w:jc w:val="both"/>
            </w:pPr>
            <w:r>
              <w:rPr>
                <w:rFonts w:ascii="仿宋_GB2312" w:hAnsi="仿宋_GB2312" w:cs="仿宋_GB2312" w:eastAsia="仿宋_GB2312"/>
                <w:sz w:val="20"/>
              </w:rPr>
              <w:t>4. ▲位移显示精度：0.02mm；</w:t>
            </w:r>
          </w:p>
          <w:p>
            <w:pPr>
              <w:pStyle w:val="null3"/>
              <w:jc w:val="both"/>
            </w:pPr>
            <w:r>
              <w:rPr>
                <w:rFonts w:ascii="仿宋_GB2312" w:hAnsi="仿宋_GB2312" w:cs="仿宋_GB2312" w:eastAsia="仿宋_GB2312"/>
                <w:sz w:val="20"/>
              </w:rPr>
              <w:t>5. 最小工作压力：1吨；</w:t>
            </w:r>
          </w:p>
          <w:p>
            <w:pPr>
              <w:pStyle w:val="null3"/>
              <w:jc w:val="both"/>
            </w:pPr>
            <w:r>
              <w:rPr>
                <w:rFonts w:ascii="仿宋_GB2312" w:hAnsi="仿宋_GB2312" w:cs="仿宋_GB2312" w:eastAsia="仿宋_GB2312"/>
                <w:sz w:val="20"/>
              </w:rPr>
              <w:t>6. ▲压力控制精度：1%。</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加热系统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 ▲最高温度：2300℃；工作温度：常温-2200℃；</w:t>
            </w:r>
          </w:p>
          <w:p>
            <w:pPr>
              <w:pStyle w:val="null3"/>
              <w:jc w:val="both"/>
            </w:pPr>
            <w:r>
              <w:rPr>
                <w:rFonts w:ascii="仿宋_GB2312" w:hAnsi="仿宋_GB2312" w:cs="仿宋_GB2312" w:eastAsia="仿宋_GB2312"/>
                <w:sz w:val="20"/>
              </w:rPr>
              <w:t>2. ▲温度均匀性：±5℃；</w:t>
            </w:r>
          </w:p>
          <w:p>
            <w:pPr>
              <w:pStyle w:val="null3"/>
              <w:jc w:val="both"/>
            </w:pPr>
            <w:r>
              <w:rPr>
                <w:rFonts w:ascii="仿宋_GB2312" w:hAnsi="仿宋_GB2312" w:cs="仿宋_GB2312" w:eastAsia="仿宋_GB2312"/>
                <w:sz w:val="20"/>
              </w:rPr>
              <w:t>3. ▲升温速率：25℃-1200℃：≥20℃/min；1200℃-1800℃：≥9℃/min；1800℃-2000℃：≥3℃/min；</w:t>
            </w:r>
          </w:p>
          <w:p>
            <w:pPr>
              <w:pStyle w:val="null3"/>
              <w:jc w:val="both"/>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真空系统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 ▲极限真空度：≤8×10-4Pa（空炉冷态）；</w:t>
            </w:r>
          </w:p>
          <w:p>
            <w:pPr>
              <w:pStyle w:val="null3"/>
              <w:jc w:val="both"/>
            </w:pPr>
            <w:r>
              <w:rPr>
                <w:rFonts w:ascii="仿宋_GB2312" w:hAnsi="仿宋_GB2312" w:cs="仿宋_GB2312" w:eastAsia="仿宋_GB2312"/>
                <w:sz w:val="20"/>
              </w:rPr>
              <w:t>2. ▲工作真空度：≤5×10-2Pa（空炉1600℃）；</w:t>
            </w:r>
          </w:p>
          <w:p>
            <w:pPr>
              <w:pStyle w:val="null3"/>
            </w:pPr>
            <w:r>
              <w:rPr>
                <w:rFonts w:ascii="仿宋_GB2312" w:hAnsi="仿宋_GB2312" w:cs="仿宋_GB2312" w:eastAsia="仿宋_GB2312"/>
                <w:sz w:val="20"/>
              </w:rPr>
              <w:t>3. ▲压升率：≤0.5Pa/h；</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控制系统</w:t>
            </w:r>
            <w:r>
              <w:rPr>
                <w:rFonts w:ascii="仿宋_GB2312" w:hAnsi="仿宋_GB2312" w:cs="仿宋_GB2312" w:eastAsia="仿宋_GB2312"/>
                <w:sz w:val="20"/>
              </w:rPr>
              <w:t>:</w:t>
            </w:r>
          </w:p>
          <w:p>
            <w:pPr>
              <w:pStyle w:val="null3"/>
              <w:ind w:left="360"/>
              <w:jc w:val="left"/>
            </w:pPr>
            <w:r>
              <w:rPr>
                <w:rFonts w:ascii="仿宋_GB2312" w:hAnsi="仿宋_GB2312" w:cs="仿宋_GB2312" w:eastAsia="仿宋_GB2312"/>
                <w:sz w:val="20"/>
              </w:rPr>
              <w:t>1.</w:t>
            </w:r>
            <w:r>
              <w:rPr>
                <w:rFonts w:ascii="仿宋_GB2312" w:hAnsi="仿宋_GB2312" w:cs="仿宋_GB2312" w:eastAsia="仿宋_GB2312"/>
                <w:sz w:val="20"/>
              </w:rPr>
              <w:t>配有液压机；</w:t>
            </w:r>
            <w:r>
              <w:rPr>
                <w:rFonts w:ascii="仿宋_GB2312" w:hAnsi="仿宋_GB2312" w:cs="仿宋_GB2312" w:eastAsia="仿宋_GB2312"/>
                <w:sz w:val="20"/>
              </w:rPr>
              <w:t>公称力</w:t>
            </w:r>
            <w:r>
              <w:rPr>
                <w:rFonts w:ascii="仿宋_GB2312" w:hAnsi="仿宋_GB2312" w:cs="仿宋_GB2312" w:eastAsia="仿宋_GB2312"/>
                <w:sz w:val="20"/>
              </w:rPr>
              <w:t>≥</w:t>
            </w:r>
            <w:r>
              <w:rPr>
                <w:rFonts w:ascii="仿宋_GB2312" w:hAnsi="仿宋_GB2312" w:cs="仿宋_GB2312" w:eastAsia="仿宋_GB2312"/>
                <w:sz w:val="20"/>
              </w:rPr>
              <w:t>300KN</w:t>
            </w:r>
          </w:p>
          <w:p>
            <w:pPr>
              <w:pStyle w:val="null3"/>
            </w:pPr>
            <w:r>
              <w:rPr>
                <w:rFonts w:ascii="仿宋_GB2312" w:hAnsi="仿宋_GB2312" w:cs="仿宋_GB2312" w:eastAsia="仿宋_GB2312"/>
                <w:sz w:val="20"/>
              </w:rPr>
              <w:t>2.</w:t>
            </w:r>
            <w:r>
              <w:rPr>
                <w:rFonts w:ascii="仿宋_GB2312" w:hAnsi="仿宋_GB2312" w:cs="仿宋_GB2312" w:eastAsia="仿宋_GB2312"/>
                <w:sz w:val="20"/>
              </w:rPr>
              <w:t>对设备进行自动控制，并通过工控机及软件对各工艺参数（温度、真空度、压力，位移）实现动态显示、记录。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接采购人书面通知后90个日历日完成供货。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国产设备付款方式以“合同签订后5个工作日内，达到付款条件起5个工作日内，支付合同总金额的40.0%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进度款，设备运抵甲方指定地点并经甲方初步查验无误后7个工作日内 ，达到付款条件起7个工作日内，支付合同总金额的30.0%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进度款，设备安装调试完成，经甲方验收合格并签署《验收合格报告》后，乙方开具全额合法有效的增值税专用发票，达到付款条件起7个工作日内，支付合同总金额的30.0%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如GB、ISO、IEC等）。（2）验收流程：①到货初检（采购人、中标人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允许±3%偏差）。④最终验收：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保修期（三包期）内，修理、更换、退货要求：（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2）不符约定处理：如交付品种、型号、规格不符合同约定的，由中标人负责退换，由此产生的一切费用及给采购人造成的相关损失由中标人全部承担并赔偿相应损失；（3）不能修理或调换：如不能修理或者不能调换的，按不能交货处理，因此给采购人造成的所有经济损失中标人应予全额赔偿；（4）质保服务：保修期内由中标人免费质保，采购人报修后三日内投标人必须响应，否则将依据有关法律、法规进行追偿；（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2、采购标的的安装调试及配套工程、质量保证、售后服务等要求：（1）安装调试要求：安装标准：执行GB50231-2009《机械设备安装工程施工及验收通用规范》调试周期：连续72小时无故障运行测试；人员培训：提供相关操作人员培训资料。（2）配套工程基础施工：包含安装设备所需高空作业车及各种工具（需提前2日做好准备）。（3）质量保证：设备质保期自验合格起开始计算，质保期最少1年。质保期内如设备出现故障，厂商在接到本单位技术咨询或故障信息后，应于2小时内做出电话答复，现场处理应于48小时内赶至现场处理。质保期外，厂商应继续提供免费技术支持，以成本价提供配件。在设备使用寿命期内，厂商保证对本单位设备维修。质保期满后厂商可提供有偿服务，响应时间2小时，48小时内到达现场负责维修。（4）售后服务响应时限：享受2小时快速响应，48小时内到达现场负责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 2.本项目依次按照采购包1、采购包2、采购包3进行评审。各投标人均可就本招标项目上述采购包中的其中一 个或多个采购包投标，但多个采购包只允许中标其中一个。如多个采购包为第一中标候选人，则按照采购包号从前到后的顺序 只推荐为其中一个采购包的第一中标候选人。 3、因系统录入问题，本项目付款支付约定说明如下，以本说明为准：包1付款方式:分期付款。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包2付款方式：分期付款。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包3付款方式:分期付款。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4、本项目落实的政府采购政策：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 5、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会保障资金缴纳证明</w:t>
            </w:r>
          </w:p>
        </w:tc>
        <w:tc>
          <w:tcPr>
            <w:tcW w:type="dxa" w:w="3322"/>
          </w:tcPr>
          <w:p>
            <w:pPr>
              <w:pStyle w:val="null3"/>
            </w:pPr>
            <w:r>
              <w:rPr>
                <w:rFonts w:ascii="仿宋_GB2312" w:hAnsi="仿宋_GB2312" w:cs="仿宋_GB2312" w:eastAsia="仿宋_GB2312"/>
              </w:rPr>
              <w:t>提提供投标文件截止时间前一年内任意一个月的社会保障资金缴存单据或社保机构开具的社会保险参保缴费情况证明，依法不需要缴纳社会保障资金的单位应提供相关证明材料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投标人认为有必要说明的问题.docx 开标一览表 分项报价表 商务应答表.docx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开标一览表 投标人资格条件证明文件.docx 分项报价表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所投产品技术参数清楚、明确并能逐条响应招标文件第四章“技术参数表”中所有参数要求，得27分。其中： （1）▲项（共11项）满分22分，每项负偏离扣2分，扣完为止。 （2）未标项（共5项）满分5分，每项负偏离扣1分，扣完为止。 注：标注“▲”的参数须提供相关技术指标证明材料予以佐证，提供的佐证材料如下：加盖投标人公章国家认可的第三方检测机构出具的检测报告、技术白皮书、官网截图任意一种。</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技术参数..docx</w:t>
            </w:r>
          </w:p>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三、赋分依据（满分6分） ①供货组织及进度安排：对供应商提供的“完整性、可实施性、针对性”进行评定，每个评审标准最高得0.5分，此项满分1.5分。； ②对接及运输方案:对供应商提供的“完整性、可实施性、针对性”进行评定，每个评审标准最高得0.5分，此项满分1.5分。； ③安装调试方案:对供应商提供的“完整性、可实施性、针对性”进行评定，每个评审标准最高得0.5分，此项满分1.5分。； ④人员、物力调配安排：对供应商提供的“完整性、可实施性、针对性”进行评定，每个评审标准最高得0.5分，此项满分1.5分。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1.可实施性：切合本项目实际情况，提出步骤清晰、合理的方案； 2.针对性：方案能够紧扣项目实际情况，内容科学合理。 三、赋分依据（满分4分） ①产品性能：对供应商提供的“可实施性、针对性”进行评定，每个评审标准最高得1分，满分2分； ②使用寿命及效果:对供应商提供的“可实施性、针对性”进行评定，每个评审标准最高得0.5分，满分1分； ③交货及安装时间:对供应商提供的“可实施性、针对性”进行评定，每个评审标准最高得0.5分，满分1分。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 培训计划，含培训计划表、地点、时间及培训对象人数等；② 培训内容，含所提供产品的原理和技术性能、操作维护方法、排除故障等。方案各部分内容全面详细、阐述条理清晰详尽、符合本项目采购需求得3分；以上分项每缺少一项内容扣2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提供投标人2023年7月1日以来类似项目业绩（以合同签订日期为准），每份合格业绩合同计1分，满分6分。 赋分依据：需提供完整业绩合同复印件，并加盖投标人公章。前述两种证明材料提供一方可得分，否则不得分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三、赋分依据（满分6分） ①售后服务范围：对供应商提供的“完整性、可实施性、针对性”进行评定，每个评审标准最高得0.5分，满分1.5分； ②响应时间及方式:对供应商提供的“完整性、可实施性、针对性”进行评定，每个评审标准最高得0.5分，满分1.5分； ③故障处理及补救措施:对供应商提供的“完整性、可实施性、针对性”进行评定，每个评审标准最高得0.5分，满分1.5分； ④定期回访及维护:对供应商提供的“完整性、可实施性、针对性”进行评定，每个评审标准最高得0.5分，满分1.5分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售后服务docx.docx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针对本项目的特点和需求等内容提供增值服务承诺（例如：硬件、软件更新、配件更换服务等增值服务）。每提供一项承诺，得1分，满分3分。无承诺不得分。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承诺质保期在满足招标文件（1年）要求的基础上，每增加一年得1分，满1分。无承诺不得分。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投标人认为有必要说明的问题.docx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有效投标⼈的最低报价为评标基准价得40分，其他各投标⼈的报价得分按下列公式计算：（评标基准价/投标报价）×40％×100。 备注：根据《国务院办公厅关于在政府采购中实施本国产品标准及相关政策的通知 》（国办发〔2025〕34号），政府采购活动中既有本国产品⼜有⾮本国产品参与竞争的，依法对本国产品给予价格评审优惠，对本国产品的报价给予20%的价格扣除，⽤扣除后的价格参与评审。当采购项⽬或者采购包中含有多种产品，投标⼈为该采购项⽬或者采购包提供的符合本国产品标准的产品成本之和占该投标⼈提供的全部产品成本之和的⽐例达到80%以上时，依法对该投标⼈提供的全部产品给予价格评审优惠，即对该投标⼈提供的全部产品的总报价给予20%的价格扣除，⽤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详见附件：投标人认为有必要说明的问题.docx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