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版本号：LHZBZC2026037W.1B120260529001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微纳级精密加工运动实验平台设备及多轴精密驱动平台（原采购包1）（二次）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LHZBZC2026037W.1B1</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凌辉建设工程咨询有限公司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凌辉建设工程咨询有限公司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微纳级精密加工运动实验平台设备及多轴精密驱动平台（原采购包1）（二次）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LHZBZC2026037W.1B1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微纳级精密加工运动实验平台设备及多轴精密驱动平台（原采购包1）（二次）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微纳级精密加工运动实验平台设备及多轴精密驱动平台。采购包1为微纳级精密加工运动实验平台设备，采购内容如下：微纳级精密加工运动实验平台是面向前沿科学研究与高端技术人才培养的核心基础设施。该平台以微米、亚微米乃至纳米级的超高精度定位与运动控制为核心能力，集成了设计、加工、测试与表征等功能模块，服务于集成电路、新型微纳电子器件、低维材料、柔性电子、微机电系统（MEMS）、生物芯片等关键领域的教学与科研工作。本项目由并联驱动龙门运动平台和桌面式铣床两部分构成。能够满足高精度工业应用的需求，适应多种应用场景，该系统广泛应用于微系统制造、精密自动化组装及视觉检测等高精度、高效率的工业领域。可实现三维立体铣削加工。可用于小部件的铣削制造艺术，适用于样品原型制作和小规模生产，适用于MEMS器件、精密微孔、微流道等微观结构的加工。</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信用记录：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8、控股管理关系：提供直接控股和管理关系承诺函。若与其他供应商存在单位负责人为同一人或者存在直接控股、管理关系的，则投标无效。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029-61125884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凌辉建设工程咨询有限公司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西安市未央区太华北路甲字88号大明宫中央广场A座22层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高禧、吴元帅、黄沛、李晨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029-81010100-32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开户名称：凌辉建设工程咨询有限公司</w:t>
            </w:r>
          </w:p>
          <w:p>
            <w:pPr>
              <w:pStyle w:val="null3"/>
            </w:pPr>
            <w:r>
              <w:rPr>
                <w:rFonts w:ascii="仿宋_GB2312" w:hAnsi="仿宋_GB2312" w:cs="仿宋_GB2312" w:eastAsia="仿宋_GB2312"/>
              </w:rPr>
              <w:t>开户银行：招商银行股份有限公司西安南大街支行</w:t>
            </w:r>
          </w:p>
          <w:p>
            <w:pPr>
              <w:pStyle w:val="null3"/>
            </w:pPr>
            <w:r>
              <w:rPr>
                <w:rFonts w:ascii="仿宋_GB2312" w:hAnsi="仿宋_GB2312" w:cs="仿宋_GB2312" w:eastAsia="仿宋_GB2312"/>
              </w:rPr>
              <w:t>银行账号：292083674310001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说明：投标人中标后凭中标通知书向采购人缴纳中标金额的5%作为履约保证金，采购人验收合格支付货款后，5%履约保证金无质量问题一次性无息退还。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80万以下项目招标代理服务费：5000.00元/包；80万～400万项目参照国家计委颁发的《招标代理服务收费管理暂行办法》（计价格〔2002〕1980号）及（发改办价格〔2011〕534号）规定的70.00%计费。400万元以上项目参照国家计委颁发的《招标代理服务收费管理暂行办法》（计价格〔2002〕1980号）及（发改办价格〔2011〕534号）规定的65.00%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凌辉建设工程咨询有限公司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凌辉建设工程咨询有限公司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凌辉建设工程咨询有限公司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详见招标文件及采购合同约定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联系人：高禧、吴元帅、黄沛、李晨</w:t>
      </w:r>
    </w:p>
    <w:p>
      <w:pPr>
        <w:pStyle w:val="null3"/>
      </w:pPr>
      <w:r>
        <w:rPr>
          <w:rFonts w:ascii="仿宋_GB2312" w:hAnsi="仿宋_GB2312" w:cs="仿宋_GB2312" w:eastAsia="仿宋_GB2312"/>
        </w:rPr>
        <w:t>联系电话：029-81010100-32</w:t>
      </w:r>
    </w:p>
    <w:p>
      <w:pPr>
        <w:pStyle w:val="null3"/>
      </w:pPr>
      <w:r>
        <w:rPr>
          <w:rFonts w:ascii="仿宋_GB2312" w:hAnsi="仿宋_GB2312" w:cs="仿宋_GB2312" w:eastAsia="仿宋_GB2312"/>
        </w:rPr>
        <w:t>地址：西安市未央区大明宫中央广场A座22层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本项目为微纳级精密加工运动实验平台设备及多轴精密驱动平台。采购包1为微纳级精密加工运动实验平台设备。采购内容如下： 微纳级精密加工运动实验平台是面向前沿科学研究与高端技术人才培养的核心基础设施。该平台以微米、亚微米乃至纳米级的超高精度定位与运动控制为核心能力，集成了设计、加工、测试与表征等功能模块，服务于集成电路、新型微纳电子器件、低维材料、柔性电子、微机电系统（MEMS）、生物芯片等关键领域的教学与科研工作。本项目由并联驱动龙门运动平台和桌面式铣床两部分构成。能够满足高精度工业应用的需求，适应多种应用场景，该系统广泛应用于微系统制造、精密自动化组装及视觉检测等高精度、高效率的工业领域。可实现三维立体铣削加工。可用于小部件的铣削制造艺术，适用于样品原型制作和小规模生产，适用于MEMS器件、精密微孔、微流道等微观结构的加工。 </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微纳级精密加工运动实验平台设备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标的名称：微纳级精密加工运动实验平台设备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配置清单</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并联驱动龙门系统</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桌面型铣床系统</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b/>
              </w:rPr>
              <w:t>并联驱动龙门系统</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、外型尺寸：</w:t>
            </w:r>
            <w:r>
              <w:rPr>
                <w:rFonts w:ascii="仿宋_GB2312" w:hAnsi="仿宋_GB2312" w:cs="仿宋_GB2312" w:eastAsia="仿宋_GB2312"/>
                <w:sz w:val="21"/>
              </w:rPr>
              <w:t>≤1500*1500*1500mm</w:t>
            </w:r>
            <w:r>
              <w:rPr>
                <w:rFonts w:ascii="仿宋_GB2312" w:hAnsi="仿宋_GB2312" w:cs="仿宋_GB2312" w:eastAsia="仿宋_GB2312"/>
                <w:sz w:val="21"/>
              </w:rPr>
              <w:t>（长宽高）；</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、行程：</w:t>
            </w:r>
            <w:r>
              <w:rPr>
                <w:rFonts w:ascii="仿宋_GB2312" w:hAnsi="仿宋_GB2312" w:cs="仿宋_GB2312" w:eastAsia="仿宋_GB2312"/>
                <w:sz w:val="21"/>
              </w:rPr>
              <w:t>X</w:t>
            </w:r>
            <w:r>
              <w:rPr>
                <w:rFonts w:ascii="仿宋_GB2312" w:hAnsi="仿宋_GB2312" w:cs="仿宋_GB2312" w:eastAsia="仿宋_GB2312"/>
                <w:sz w:val="21"/>
              </w:rPr>
              <w:t xml:space="preserve">轴 </w:t>
            </w:r>
            <w:r>
              <w:rPr>
                <w:rFonts w:ascii="仿宋_GB2312" w:hAnsi="仿宋_GB2312" w:cs="仿宋_GB2312" w:eastAsia="仿宋_GB2312"/>
                <w:sz w:val="21"/>
              </w:rPr>
              <w:t>≥500mm</w:t>
            </w:r>
            <w:r>
              <w:rPr>
                <w:rFonts w:ascii="仿宋_GB2312" w:hAnsi="仿宋_GB2312" w:cs="仿宋_GB2312" w:eastAsia="仿宋_GB2312"/>
                <w:sz w:val="21"/>
              </w:rPr>
              <w:t xml:space="preserve">， </w:t>
            </w:r>
            <w:r>
              <w:rPr>
                <w:rFonts w:ascii="仿宋_GB2312" w:hAnsi="仿宋_GB2312" w:cs="仿宋_GB2312" w:eastAsia="仿宋_GB2312"/>
                <w:sz w:val="21"/>
              </w:rPr>
              <w:t>Y</w:t>
            </w:r>
            <w:r>
              <w:rPr>
                <w:rFonts w:ascii="仿宋_GB2312" w:hAnsi="仿宋_GB2312" w:cs="仿宋_GB2312" w:eastAsia="仿宋_GB2312"/>
                <w:sz w:val="21"/>
              </w:rPr>
              <w:t>轴</w:t>
            </w:r>
            <w:r>
              <w:rPr>
                <w:rFonts w:ascii="仿宋_GB2312" w:hAnsi="仿宋_GB2312" w:cs="仿宋_GB2312" w:eastAsia="仿宋_GB2312"/>
                <w:sz w:val="21"/>
              </w:rPr>
              <w:t>≥500mm</w:t>
            </w:r>
            <w:r>
              <w:rPr>
                <w:rFonts w:ascii="仿宋_GB2312" w:hAnsi="仿宋_GB2312" w:cs="仿宋_GB2312" w:eastAsia="仿宋_GB2312"/>
                <w:sz w:val="21"/>
              </w:rPr>
              <w:t xml:space="preserve">， </w:t>
            </w:r>
            <w:r>
              <w:rPr>
                <w:rFonts w:ascii="仿宋_GB2312" w:hAnsi="仿宋_GB2312" w:cs="仿宋_GB2312" w:eastAsia="仿宋_GB2312"/>
                <w:sz w:val="21"/>
              </w:rPr>
              <w:t>Z</w:t>
            </w:r>
            <w:r>
              <w:rPr>
                <w:rFonts w:ascii="仿宋_GB2312" w:hAnsi="仿宋_GB2312" w:cs="仿宋_GB2312" w:eastAsia="仿宋_GB2312"/>
                <w:sz w:val="21"/>
              </w:rPr>
              <w:t xml:space="preserve">轴 </w:t>
            </w:r>
            <w:r>
              <w:rPr>
                <w:rFonts w:ascii="仿宋_GB2312" w:hAnsi="仿宋_GB2312" w:cs="仿宋_GB2312" w:eastAsia="仿宋_GB2312"/>
                <w:sz w:val="21"/>
              </w:rPr>
              <w:t>≥100mm</w:t>
            </w:r>
            <w:r>
              <w:rPr>
                <w:rFonts w:ascii="仿宋_GB2312" w:hAnsi="仿宋_GB2312" w:cs="仿宋_GB2312" w:eastAsia="仿宋_GB2312"/>
                <w:sz w:val="21"/>
              </w:rPr>
              <w:t>，</w:t>
            </w:r>
            <w:r>
              <w:rPr>
                <w:rFonts w:ascii="仿宋_GB2312" w:hAnsi="仿宋_GB2312" w:cs="仿宋_GB2312" w:eastAsia="仿宋_GB2312"/>
                <w:sz w:val="21"/>
              </w:rPr>
              <w:t>A</w:t>
            </w:r>
            <w:r>
              <w:rPr>
                <w:rFonts w:ascii="仿宋_GB2312" w:hAnsi="仿宋_GB2312" w:cs="仿宋_GB2312" w:eastAsia="仿宋_GB2312"/>
                <w:sz w:val="21"/>
              </w:rPr>
              <w:t xml:space="preserve">轴 </w:t>
            </w:r>
            <w:r>
              <w:rPr>
                <w:rFonts w:ascii="仿宋_GB2312" w:hAnsi="仿宋_GB2312" w:cs="仿宋_GB2312" w:eastAsia="仿宋_GB2312"/>
                <w:sz w:val="21"/>
              </w:rPr>
              <w:t>≥±110°</w:t>
            </w:r>
            <w:r>
              <w:rPr>
                <w:rFonts w:ascii="仿宋_GB2312" w:hAnsi="仿宋_GB2312" w:cs="仿宋_GB2312" w:eastAsia="仿宋_GB2312"/>
                <w:sz w:val="21"/>
              </w:rPr>
              <w:t>，</w:t>
            </w:r>
            <w:r>
              <w:rPr>
                <w:rFonts w:ascii="仿宋_GB2312" w:hAnsi="仿宋_GB2312" w:cs="仿宋_GB2312" w:eastAsia="仿宋_GB2312"/>
                <w:sz w:val="21"/>
              </w:rPr>
              <w:t>B</w:t>
            </w:r>
            <w:r>
              <w:rPr>
                <w:rFonts w:ascii="仿宋_GB2312" w:hAnsi="仿宋_GB2312" w:cs="仿宋_GB2312" w:eastAsia="仿宋_GB2312"/>
                <w:sz w:val="21"/>
              </w:rPr>
              <w:t>轴</w:t>
            </w:r>
            <w:r>
              <w:rPr>
                <w:rFonts w:ascii="仿宋_GB2312" w:hAnsi="仿宋_GB2312" w:cs="仿宋_GB2312" w:eastAsia="仿宋_GB2312"/>
                <w:sz w:val="21"/>
              </w:rPr>
              <w:t>360°</w:t>
            </w:r>
            <w:r>
              <w:rPr>
                <w:rFonts w:ascii="仿宋_GB2312" w:hAnsi="仿宋_GB2312" w:cs="仿宋_GB2312" w:eastAsia="仿宋_GB2312"/>
                <w:sz w:val="21"/>
              </w:rPr>
              <w:t>连续；</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、绝对定位精度：</w:t>
            </w:r>
            <w:r>
              <w:rPr>
                <w:rFonts w:ascii="仿宋_GB2312" w:hAnsi="仿宋_GB2312" w:cs="仿宋_GB2312" w:eastAsia="仿宋_GB2312"/>
                <w:sz w:val="21"/>
              </w:rPr>
              <w:t>X</w:t>
            </w:r>
            <w:r>
              <w:rPr>
                <w:rFonts w:ascii="仿宋_GB2312" w:hAnsi="仿宋_GB2312" w:cs="仿宋_GB2312" w:eastAsia="仿宋_GB2312"/>
                <w:sz w:val="21"/>
              </w:rPr>
              <w:t>、</w:t>
            </w:r>
            <w:r>
              <w:rPr>
                <w:rFonts w:ascii="仿宋_GB2312" w:hAnsi="仿宋_GB2312" w:cs="仿宋_GB2312" w:eastAsia="仿宋_GB2312"/>
                <w:sz w:val="21"/>
              </w:rPr>
              <w:t>Y</w:t>
            </w:r>
            <w:r>
              <w:rPr>
                <w:rFonts w:ascii="仿宋_GB2312" w:hAnsi="仿宋_GB2312" w:cs="仿宋_GB2312" w:eastAsia="仿宋_GB2312"/>
                <w:sz w:val="21"/>
              </w:rPr>
              <w:t>轴</w:t>
            </w:r>
            <w:r>
              <w:rPr>
                <w:rFonts w:ascii="仿宋_GB2312" w:hAnsi="仿宋_GB2312" w:cs="仿宋_GB2312" w:eastAsia="仿宋_GB2312"/>
                <w:sz w:val="21"/>
              </w:rPr>
              <w:t>≤ ±1.5μm</w:t>
            </w:r>
            <w:r>
              <w:rPr>
                <w:rFonts w:ascii="仿宋_GB2312" w:hAnsi="仿宋_GB2312" w:cs="仿宋_GB2312" w:eastAsia="仿宋_GB2312"/>
                <w:sz w:val="21"/>
              </w:rPr>
              <w:t>，</w:t>
            </w:r>
            <w:r>
              <w:rPr>
                <w:rFonts w:ascii="仿宋_GB2312" w:hAnsi="仿宋_GB2312" w:cs="仿宋_GB2312" w:eastAsia="仿宋_GB2312"/>
                <w:sz w:val="21"/>
              </w:rPr>
              <w:t>Z</w:t>
            </w:r>
            <w:r>
              <w:rPr>
                <w:rFonts w:ascii="仿宋_GB2312" w:hAnsi="仿宋_GB2312" w:cs="仿宋_GB2312" w:eastAsia="仿宋_GB2312"/>
                <w:sz w:val="21"/>
              </w:rPr>
              <w:t>轴</w:t>
            </w:r>
            <w:r>
              <w:rPr>
                <w:rFonts w:ascii="仿宋_GB2312" w:hAnsi="仿宋_GB2312" w:cs="仿宋_GB2312" w:eastAsia="仿宋_GB2312"/>
                <w:sz w:val="21"/>
              </w:rPr>
              <w:t>≤±1μm</w:t>
            </w:r>
            <w:r>
              <w:rPr>
                <w:rFonts w:ascii="仿宋_GB2312" w:hAnsi="仿宋_GB2312" w:cs="仿宋_GB2312" w:eastAsia="仿宋_GB2312"/>
                <w:sz w:val="21"/>
              </w:rPr>
              <w:t>，</w:t>
            </w:r>
            <w:r>
              <w:rPr>
                <w:rFonts w:ascii="仿宋_GB2312" w:hAnsi="仿宋_GB2312" w:cs="仿宋_GB2312" w:eastAsia="仿宋_GB2312"/>
                <w:sz w:val="21"/>
              </w:rPr>
              <w:t>A</w:t>
            </w:r>
            <w:r>
              <w:rPr>
                <w:rFonts w:ascii="仿宋_GB2312" w:hAnsi="仿宋_GB2312" w:cs="仿宋_GB2312" w:eastAsia="仿宋_GB2312"/>
                <w:sz w:val="21"/>
              </w:rPr>
              <w:t>轴</w:t>
            </w:r>
            <w:r>
              <w:rPr>
                <w:rFonts w:ascii="仿宋_GB2312" w:hAnsi="仿宋_GB2312" w:cs="仿宋_GB2312" w:eastAsia="仿宋_GB2312"/>
                <w:sz w:val="21"/>
              </w:rPr>
              <w:t>≤±5arcsec</w:t>
            </w:r>
            <w:r>
              <w:rPr>
                <w:rFonts w:ascii="仿宋_GB2312" w:hAnsi="仿宋_GB2312" w:cs="仿宋_GB2312" w:eastAsia="仿宋_GB2312"/>
                <w:sz w:val="21"/>
              </w:rPr>
              <w:t>，</w:t>
            </w:r>
            <w:r>
              <w:rPr>
                <w:rFonts w:ascii="仿宋_GB2312" w:hAnsi="仿宋_GB2312" w:cs="仿宋_GB2312" w:eastAsia="仿宋_GB2312"/>
                <w:sz w:val="21"/>
              </w:rPr>
              <w:t>B</w:t>
            </w:r>
            <w:r>
              <w:rPr>
                <w:rFonts w:ascii="仿宋_GB2312" w:hAnsi="仿宋_GB2312" w:cs="仿宋_GB2312" w:eastAsia="仿宋_GB2312"/>
                <w:sz w:val="21"/>
              </w:rPr>
              <w:t>轴</w:t>
            </w:r>
            <w:r>
              <w:rPr>
                <w:rFonts w:ascii="仿宋_GB2312" w:hAnsi="仿宋_GB2312" w:cs="仿宋_GB2312" w:eastAsia="仿宋_GB2312"/>
                <w:sz w:val="21"/>
              </w:rPr>
              <w:t>≤±5arcsec</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、重复定位精度：</w:t>
            </w:r>
            <w:r>
              <w:rPr>
                <w:rFonts w:ascii="仿宋_GB2312" w:hAnsi="仿宋_GB2312" w:cs="仿宋_GB2312" w:eastAsia="仿宋_GB2312"/>
                <w:sz w:val="21"/>
              </w:rPr>
              <w:t>X</w:t>
            </w:r>
            <w:r>
              <w:rPr>
                <w:rFonts w:ascii="仿宋_GB2312" w:hAnsi="仿宋_GB2312" w:cs="仿宋_GB2312" w:eastAsia="仿宋_GB2312"/>
                <w:sz w:val="21"/>
              </w:rPr>
              <w:t>、</w:t>
            </w:r>
            <w:r>
              <w:rPr>
                <w:rFonts w:ascii="仿宋_GB2312" w:hAnsi="仿宋_GB2312" w:cs="仿宋_GB2312" w:eastAsia="仿宋_GB2312"/>
                <w:sz w:val="21"/>
              </w:rPr>
              <w:t>Y</w:t>
            </w:r>
            <w:r>
              <w:rPr>
                <w:rFonts w:ascii="仿宋_GB2312" w:hAnsi="仿宋_GB2312" w:cs="仿宋_GB2312" w:eastAsia="仿宋_GB2312"/>
                <w:sz w:val="21"/>
              </w:rPr>
              <w:t>轴</w:t>
            </w:r>
            <w:r>
              <w:rPr>
                <w:rFonts w:ascii="仿宋_GB2312" w:hAnsi="仿宋_GB2312" w:cs="仿宋_GB2312" w:eastAsia="仿宋_GB2312"/>
                <w:sz w:val="21"/>
              </w:rPr>
              <w:t>≤±0.5μm</w:t>
            </w:r>
            <w:r>
              <w:rPr>
                <w:rFonts w:ascii="仿宋_GB2312" w:hAnsi="仿宋_GB2312" w:cs="仿宋_GB2312" w:eastAsia="仿宋_GB2312"/>
                <w:sz w:val="21"/>
              </w:rPr>
              <w:t>，</w:t>
            </w:r>
            <w:r>
              <w:rPr>
                <w:rFonts w:ascii="仿宋_GB2312" w:hAnsi="仿宋_GB2312" w:cs="仿宋_GB2312" w:eastAsia="仿宋_GB2312"/>
                <w:sz w:val="21"/>
              </w:rPr>
              <w:t>Z</w:t>
            </w:r>
            <w:r>
              <w:rPr>
                <w:rFonts w:ascii="仿宋_GB2312" w:hAnsi="仿宋_GB2312" w:cs="仿宋_GB2312" w:eastAsia="仿宋_GB2312"/>
                <w:sz w:val="21"/>
              </w:rPr>
              <w:t>轴</w:t>
            </w:r>
            <w:r>
              <w:rPr>
                <w:rFonts w:ascii="仿宋_GB2312" w:hAnsi="仿宋_GB2312" w:cs="仿宋_GB2312" w:eastAsia="仿宋_GB2312"/>
                <w:sz w:val="21"/>
              </w:rPr>
              <w:t>≤±0.4μm</w:t>
            </w:r>
            <w:r>
              <w:rPr>
                <w:rFonts w:ascii="仿宋_GB2312" w:hAnsi="仿宋_GB2312" w:cs="仿宋_GB2312" w:eastAsia="仿宋_GB2312"/>
                <w:sz w:val="21"/>
              </w:rPr>
              <w:t>，</w:t>
            </w:r>
            <w:r>
              <w:rPr>
                <w:rFonts w:ascii="仿宋_GB2312" w:hAnsi="仿宋_GB2312" w:cs="仿宋_GB2312" w:eastAsia="仿宋_GB2312"/>
                <w:sz w:val="21"/>
              </w:rPr>
              <w:t>A</w:t>
            </w:r>
            <w:r>
              <w:rPr>
                <w:rFonts w:ascii="仿宋_GB2312" w:hAnsi="仿宋_GB2312" w:cs="仿宋_GB2312" w:eastAsia="仿宋_GB2312"/>
                <w:sz w:val="21"/>
              </w:rPr>
              <w:t>轴</w:t>
            </w:r>
            <w:r>
              <w:rPr>
                <w:rFonts w:ascii="仿宋_GB2312" w:hAnsi="仿宋_GB2312" w:cs="仿宋_GB2312" w:eastAsia="仿宋_GB2312"/>
                <w:sz w:val="21"/>
              </w:rPr>
              <w:t>≤±2arcsec</w:t>
            </w:r>
            <w:r>
              <w:rPr>
                <w:rFonts w:ascii="仿宋_GB2312" w:hAnsi="仿宋_GB2312" w:cs="仿宋_GB2312" w:eastAsia="仿宋_GB2312"/>
                <w:sz w:val="21"/>
              </w:rPr>
              <w:t>，</w:t>
            </w:r>
            <w:r>
              <w:rPr>
                <w:rFonts w:ascii="仿宋_GB2312" w:hAnsi="仿宋_GB2312" w:cs="仿宋_GB2312" w:eastAsia="仿宋_GB2312"/>
                <w:sz w:val="21"/>
              </w:rPr>
              <w:t>B</w:t>
            </w:r>
            <w:r>
              <w:rPr>
                <w:rFonts w:ascii="仿宋_GB2312" w:hAnsi="仿宋_GB2312" w:cs="仿宋_GB2312" w:eastAsia="仿宋_GB2312"/>
                <w:sz w:val="21"/>
              </w:rPr>
              <w:t>轴</w:t>
            </w:r>
            <w:r>
              <w:rPr>
                <w:rFonts w:ascii="仿宋_GB2312" w:hAnsi="仿宋_GB2312" w:cs="仿宋_GB2312" w:eastAsia="仿宋_GB2312"/>
                <w:sz w:val="21"/>
              </w:rPr>
              <w:t>≤±2arcsec</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、直线度：</w:t>
            </w:r>
            <w:r>
              <w:rPr>
                <w:rFonts w:ascii="仿宋_GB2312" w:hAnsi="仿宋_GB2312" w:cs="仿宋_GB2312" w:eastAsia="仿宋_GB2312"/>
                <w:sz w:val="21"/>
              </w:rPr>
              <w:t>X</w:t>
            </w:r>
            <w:r>
              <w:rPr>
                <w:rFonts w:ascii="仿宋_GB2312" w:hAnsi="仿宋_GB2312" w:cs="仿宋_GB2312" w:eastAsia="仿宋_GB2312"/>
                <w:sz w:val="21"/>
              </w:rPr>
              <w:t>、</w:t>
            </w:r>
            <w:r>
              <w:rPr>
                <w:rFonts w:ascii="仿宋_GB2312" w:hAnsi="仿宋_GB2312" w:cs="仿宋_GB2312" w:eastAsia="仿宋_GB2312"/>
                <w:sz w:val="21"/>
              </w:rPr>
              <w:t>Y</w:t>
            </w:r>
            <w:r>
              <w:rPr>
                <w:rFonts w:ascii="仿宋_GB2312" w:hAnsi="仿宋_GB2312" w:cs="仿宋_GB2312" w:eastAsia="仿宋_GB2312"/>
                <w:sz w:val="21"/>
              </w:rPr>
              <w:t>轴</w:t>
            </w:r>
            <w:r>
              <w:rPr>
                <w:rFonts w:ascii="仿宋_GB2312" w:hAnsi="仿宋_GB2312" w:cs="仿宋_GB2312" w:eastAsia="仿宋_GB2312"/>
                <w:sz w:val="21"/>
              </w:rPr>
              <w:t>≤±2.5μm</w:t>
            </w:r>
            <w:r>
              <w:rPr>
                <w:rFonts w:ascii="仿宋_GB2312" w:hAnsi="仿宋_GB2312" w:cs="仿宋_GB2312" w:eastAsia="仿宋_GB2312"/>
                <w:sz w:val="21"/>
              </w:rPr>
              <w:t>，</w:t>
            </w:r>
            <w:r>
              <w:rPr>
                <w:rFonts w:ascii="仿宋_GB2312" w:hAnsi="仿宋_GB2312" w:cs="仿宋_GB2312" w:eastAsia="仿宋_GB2312"/>
                <w:sz w:val="21"/>
              </w:rPr>
              <w:t>Z</w:t>
            </w:r>
            <w:r>
              <w:rPr>
                <w:rFonts w:ascii="仿宋_GB2312" w:hAnsi="仿宋_GB2312" w:cs="仿宋_GB2312" w:eastAsia="仿宋_GB2312"/>
                <w:sz w:val="21"/>
              </w:rPr>
              <w:t>轴</w:t>
            </w:r>
            <w:r>
              <w:rPr>
                <w:rFonts w:ascii="仿宋_GB2312" w:hAnsi="仿宋_GB2312" w:cs="仿宋_GB2312" w:eastAsia="仿宋_GB2312"/>
                <w:sz w:val="21"/>
              </w:rPr>
              <w:t>≤±3μm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、正交性：</w:t>
            </w:r>
            <w:r>
              <w:rPr>
                <w:rFonts w:ascii="仿宋_GB2312" w:hAnsi="仿宋_GB2312" w:cs="仿宋_GB2312" w:eastAsia="仿宋_GB2312"/>
                <w:sz w:val="21"/>
              </w:rPr>
              <w:t>XY</w:t>
            </w:r>
            <w:r>
              <w:rPr>
                <w:rFonts w:ascii="仿宋_GB2312" w:hAnsi="仿宋_GB2312" w:cs="仿宋_GB2312" w:eastAsia="仿宋_GB2312"/>
                <w:sz w:val="21"/>
              </w:rPr>
              <w:t>轴</w:t>
            </w:r>
            <w:r>
              <w:rPr>
                <w:rFonts w:ascii="仿宋_GB2312" w:hAnsi="仿宋_GB2312" w:cs="仿宋_GB2312" w:eastAsia="仿宋_GB2312"/>
                <w:sz w:val="21"/>
              </w:rPr>
              <w:t>≤15 arcsec</w:t>
            </w:r>
            <w:r>
              <w:rPr>
                <w:rFonts w:ascii="仿宋_GB2312" w:hAnsi="仿宋_GB2312" w:cs="仿宋_GB2312" w:eastAsia="仿宋_GB2312"/>
                <w:sz w:val="21"/>
              </w:rPr>
              <w:t>，</w:t>
            </w:r>
            <w:r>
              <w:rPr>
                <w:rFonts w:ascii="仿宋_GB2312" w:hAnsi="仿宋_GB2312" w:cs="仿宋_GB2312" w:eastAsia="仿宋_GB2312"/>
                <w:sz w:val="21"/>
              </w:rPr>
              <w:t>AB</w:t>
            </w:r>
            <w:r>
              <w:rPr>
                <w:rFonts w:ascii="仿宋_GB2312" w:hAnsi="仿宋_GB2312" w:cs="仿宋_GB2312" w:eastAsia="仿宋_GB2312"/>
                <w:sz w:val="21"/>
              </w:rPr>
              <w:t>轴：</w:t>
            </w:r>
            <w:r>
              <w:rPr>
                <w:rFonts w:ascii="仿宋_GB2312" w:hAnsi="仿宋_GB2312" w:cs="仿宋_GB2312" w:eastAsia="仿宋_GB2312"/>
                <w:sz w:val="21"/>
              </w:rPr>
              <w:t>≤10 arcsec</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、最小步进：</w:t>
            </w:r>
            <w:r>
              <w:rPr>
                <w:rFonts w:ascii="仿宋_GB2312" w:hAnsi="仿宋_GB2312" w:cs="仿宋_GB2312" w:eastAsia="仿宋_GB2312"/>
                <w:sz w:val="21"/>
              </w:rPr>
              <w:t>X</w:t>
            </w:r>
            <w:r>
              <w:rPr>
                <w:rFonts w:ascii="仿宋_GB2312" w:hAnsi="仿宋_GB2312" w:cs="仿宋_GB2312" w:eastAsia="仿宋_GB2312"/>
                <w:sz w:val="21"/>
              </w:rPr>
              <w:t>、</w:t>
            </w:r>
            <w:r>
              <w:rPr>
                <w:rFonts w:ascii="仿宋_GB2312" w:hAnsi="仿宋_GB2312" w:cs="仿宋_GB2312" w:eastAsia="仿宋_GB2312"/>
                <w:sz w:val="21"/>
              </w:rPr>
              <w:t>Y</w:t>
            </w:r>
            <w:r>
              <w:rPr>
                <w:rFonts w:ascii="仿宋_GB2312" w:hAnsi="仿宋_GB2312" w:cs="仿宋_GB2312" w:eastAsia="仿宋_GB2312"/>
                <w:sz w:val="21"/>
              </w:rPr>
              <w:t>、</w:t>
            </w:r>
            <w:r>
              <w:rPr>
                <w:rFonts w:ascii="仿宋_GB2312" w:hAnsi="仿宋_GB2312" w:cs="仿宋_GB2312" w:eastAsia="仿宋_GB2312"/>
                <w:sz w:val="21"/>
              </w:rPr>
              <w:t>Z</w:t>
            </w:r>
            <w:r>
              <w:rPr>
                <w:rFonts w:ascii="仿宋_GB2312" w:hAnsi="仿宋_GB2312" w:cs="仿宋_GB2312" w:eastAsia="仿宋_GB2312"/>
                <w:sz w:val="21"/>
              </w:rPr>
              <w:t>轴</w:t>
            </w:r>
            <w:r>
              <w:rPr>
                <w:rFonts w:ascii="仿宋_GB2312" w:hAnsi="仿宋_GB2312" w:cs="仿宋_GB2312" w:eastAsia="仿宋_GB2312"/>
                <w:sz w:val="21"/>
              </w:rPr>
              <w:t>≤ 100nm</w:t>
            </w:r>
            <w:r>
              <w:rPr>
                <w:rFonts w:ascii="仿宋_GB2312" w:hAnsi="仿宋_GB2312" w:cs="仿宋_GB2312" w:eastAsia="仿宋_GB2312"/>
                <w:sz w:val="21"/>
              </w:rPr>
              <w:t>，</w:t>
            </w:r>
            <w:r>
              <w:rPr>
                <w:rFonts w:ascii="仿宋_GB2312" w:hAnsi="仿宋_GB2312" w:cs="仿宋_GB2312" w:eastAsia="仿宋_GB2312"/>
                <w:sz w:val="21"/>
              </w:rPr>
              <w:t>AB</w:t>
            </w:r>
            <w:r>
              <w:rPr>
                <w:rFonts w:ascii="仿宋_GB2312" w:hAnsi="仿宋_GB2312" w:cs="仿宋_GB2312" w:eastAsia="仿宋_GB2312"/>
                <w:sz w:val="21"/>
              </w:rPr>
              <w:t>轴：</w:t>
            </w:r>
            <w:r>
              <w:rPr>
                <w:rFonts w:ascii="仿宋_GB2312" w:hAnsi="仿宋_GB2312" w:cs="仿宋_GB2312" w:eastAsia="仿宋_GB2312"/>
                <w:sz w:val="21"/>
              </w:rPr>
              <w:t>≤0.5 arcsec</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分辨率：</w:t>
            </w:r>
            <w:r>
              <w:rPr>
                <w:rFonts w:ascii="仿宋_GB2312" w:hAnsi="仿宋_GB2312" w:cs="仿宋_GB2312" w:eastAsia="仿宋_GB2312"/>
                <w:sz w:val="21"/>
              </w:rPr>
              <w:t>≤5nm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、控制器轴数：</w:t>
            </w:r>
            <w:r>
              <w:rPr>
                <w:rFonts w:ascii="仿宋_GB2312" w:hAnsi="仿宋_GB2312" w:cs="仿宋_GB2312" w:eastAsia="仿宋_GB2312"/>
                <w:sz w:val="21"/>
              </w:rPr>
              <w:t>≥5</w:t>
            </w:r>
            <w:r>
              <w:rPr>
                <w:rFonts w:ascii="仿宋_GB2312" w:hAnsi="仿宋_GB2312" w:cs="仿宋_GB2312" w:eastAsia="仿宋_GB2312"/>
                <w:sz w:val="21"/>
              </w:rPr>
              <w:t>轴；</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、通讯协议：</w:t>
            </w:r>
            <w:r>
              <w:rPr>
                <w:rFonts w:ascii="仿宋_GB2312" w:hAnsi="仿宋_GB2312" w:cs="仿宋_GB2312" w:eastAsia="仿宋_GB2312"/>
                <w:sz w:val="21"/>
              </w:rPr>
              <w:t>EtherCAT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、伺服频率：</w:t>
            </w:r>
            <w:r>
              <w:rPr>
                <w:rFonts w:ascii="仿宋_GB2312" w:hAnsi="仿宋_GB2312" w:cs="仿宋_GB2312" w:eastAsia="仿宋_GB2312"/>
                <w:sz w:val="21"/>
              </w:rPr>
              <w:t>≥20kHz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桌面型铣床系统：</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、外型尺寸：</w:t>
            </w:r>
            <w:r>
              <w:rPr>
                <w:rFonts w:ascii="仿宋_GB2312" w:hAnsi="仿宋_GB2312" w:cs="仿宋_GB2312" w:eastAsia="仿宋_GB2312"/>
                <w:sz w:val="21"/>
              </w:rPr>
              <w:t>≤700*650*650mm</w:t>
            </w:r>
            <w:r>
              <w:rPr>
                <w:rFonts w:ascii="仿宋_GB2312" w:hAnsi="仿宋_GB2312" w:cs="仿宋_GB2312" w:eastAsia="仿宋_GB2312"/>
                <w:sz w:val="21"/>
              </w:rPr>
              <w:t>（长宽高）；</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、行程：</w:t>
            </w:r>
            <w:r>
              <w:rPr>
                <w:rFonts w:ascii="仿宋_GB2312" w:hAnsi="仿宋_GB2312" w:cs="仿宋_GB2312" w:eastAsia="仿宋_GB2312"/>
                <w:sz w:val="21"/>
              </w:rPr>
              <w:t>X</w:t>
            </w:r>
            <w:r>
              <w:rPr>
                <w:rFonts w:ascii="仿宋_GB2312" w:hAnsi="仿宋_GB2312" w:cs="仿宋_GB2312" w:eastAsia="仿宋_GB2312"/>
                <w:sz w:val="21"/>
              </w:rPr>
              <w:t xml:space="preserve">轴 </w:t>
            </w:r>
            <w:r>
              <w:rPr>
                <w:rFonts w:ascii="仿宋_GB2312" w:hAnsi="仿宋_GB2312" w:cs="仿宋_GB2312" w:eastAsia="仿宋_GB2312"/>
                <w:sz w:val="21"/>
              </w:rPr>
              <w:t>≥300mm</w:t>
            </w:r>
            <w:r>
              <w:rPr>
                <w:rFonts w:ascii="仿宋_GB2312" w:hAnsi="仿宋_GB2312" w:cs="仿宋_GB2312" w:eastAsia="仿宋_GB2312"/>
                <w:sz w:val="21"/>
              </w:rPr>
              <w:t xml:space="preserve">， </w:t>
            </w:r>
            <w:r>
              <w:rPr>
                <w:rFonts w:ascii="仿宋_GB2312" w:hAnsi="仿宋_GB2312" w:cs="仿宋_GB2312" w:eastAsia="仿宋_GB2312"/>
                <w:sz w:val="21"/>
              </w:rPr>
              <w:t>Y</w:t>
            </w:r>
            <w:r>
              <w:rPr>
                <w:rFonts w:ascii="仿宋_GB2312" w:hAnsi="仿宋_GB2312" w:cs="仿宋_GB2312" w:eastAsia="仿宋_GB2312"/>
                <w:sz w:val="21"/>
              </w:rPr>
              <w:t>轴</w:t>
            </w:r>
            <w:r>
              <w:rPr>
                <w:rFonts w:ascii="仿宋_GB2312" w:hAnsi="仿宋_GB2312" w:cs="仿宋_GB2312" w:eastAsia="仿宋_GB2312"/>
                <w:sz w:val="21"/>
              </w:rPr>
              <w:t>≥200mm</w:t>
            </w:r>
            <w:r>
              <w:rPr>
                <w:rFonts w:ascii="仿宋_GB2312" w:hAnsi="仿宋_GB2312" w:cs="仿宋_GB2312" w:eastAsia="仿宋_GB2312"/>
                <w:sz w:val="21"/>
              </w:rPr>
              <w:t xml:space="preserve">， </w:t>
            </w:r>
            <w:r>
              <w:rPr>
                <w:rFonts w:ascii="仿宋_GB2312" w:hAnsi="仿宋_GB2312" w:cs="仿宋_GB2312" w:eastAsia="仿宋_GB2312"/>
                <w:sz w:val="21"/>
              </w:rPr>
              <w:t>Z</w:t>
            </w:r>
            <w:r>
              <w:rPr>
                <w:rFonts w:ascii="仿宋_GB2312" w:hAnsi="仿宋_GB2312" w:cs="仿宋_GB2312" w:eastAsia="仿宋_GB2312"/>
                <w:sz w:val="21"/>
              </w:rPr>
              <w:t>轴</w:t>
            </w:r>
            <w:r>
              <w:rPr>
                <w:rFonts w:ascii="仿宋_GB2312" w:hAnsi="仿宋_GB2312" w:cs="仿宋_GB2312" w:eastAsia="仿宋_GB2312"/>
                <w:sz w:val="21"/>
              </w:rPr>
              <w:t>≥ 200mm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、定位精度：</w:t>
            </w:r>
            <w:r>
              <w:rPr>
                <w:rFonts w:ascii="仿宋_GB2312" w:hAnsi="仿宋_GB2312" w:cs="仿宋_GB2312" w:eastAsia="仿宋_GB2312"/>
                <w:sz w:val="21"/>
              </w:rPr>
              <w:t>≤±2.5μm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、进给速度：</w:t>
            </w:r>
            <w:r>
              <w:rPr>
                <w:rFonts w:ascii="仿宋_GB2312" w:hAnsi="仿宋_GB2312" w:cs="仿宋_GB2312" w:eastAsia="仿宋_GB2312"/>
                <w:sz w:val="21"/>
              </w:rPr>
              <w:t>0.1</w:t>
            </w:r>
            <w:r>
              <w:rPr>
                <w:rFonts w:ascii="仿宋_GB2312" w:hAnsi="仿宋_GB2312" w:cs="仿宋_GB2312" w:eastAsia="仿宋_GB2312"/>
                <w:sz w:val="21"/>
              </w:rPr>
              <w:t>～</w:t>
            </w:r>
            <w:r>
              <w:rPr>
                <w:rFonts w:ascii="仿宋_GB2312" w:hAnsi="仿宋_GB2312" w:cs="仿宋_GB2312" w:eastAsia="仿宋_GB2312"/>
                <w:sz w:val="21"/>
              </w:rPr>
              <w:t>1.2 mm/min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、分辨率：</w:t>
            </w:r>
            <w:r>
              <w:rPr>
                <w:rFonts w:ascii="仿宋_GB2312" w:hAnsi="仿宋_GB2312" w:cs="仿宋_GB2312" w:eastAsia="仿宋_GB2312"/>
                <w:sz w:val="21"/>
              </w:rPr>
              <w:t>≤0.1μm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、主轴转速：</w:t>
            </w:r>
            <w:r>
              <w:rPr>
                <w:rFonts w:ascii="仿宋_GB2312" w:hAnsi="仿宋_GB2312" w:cs="仿宋_GB2312" w:eastAsia="仿宋_GB2312"/>
                <w:sz w:val="21"/>
              </w:rPr>
              <w:t>≥60000 rpm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、回转误差：</w:t>
            </w:r>
            <w:r>
              <w:rPr>
                <w:rFonts w:ascii="仿宋_GB2312" w:hAnsi="仿宋_GB2312" w:cs="仿宋_GB2312" w:eastAsia="仿宋_GB2312"/>
                <w:sz w:val="21"/>
              </w:rPr>
              <w:t>≤0.1μm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驱控系统</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采用国产自研碳化硅</w:t>
            </w:r>
            <w:r>
              <w:rPr>
                <w:rFonts w:ascii="仿宋_GB2312" w:hAnsi="仿宋_GB2312" w:cs="仿宋_GB2312" w:eastAsia="仿宋_GB2312"/>
                <w:sz w:val="21"/>
              </w:rPr>
              <w:t>MOSFET</w:t>
            </w:r>
            <w:r>
              <w:rPr>
                <w:rFonts w:ascii="仿宋_GB2312" w:hAnsi="仿宋_GB2312" w:cs="仿宋_GB2312" w:eastAsia="仿宋_GB2312"/>
                <w:sz w:val="21"/>
              </w:rPr>
              <w:t>驱控系统；</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驱控一体，控制轴数</w:t>
            </w:r>
            <w:r>
              <w:rPr>
                <w:rFonts w:ascii="仿宋_GB2312" w:hAnsi="仿宋_GB2312" w:cs="仿宋_GB2312" w:eastAsia="仿宋_GB2312"/>
                <w:sz w:val="21"/>
              </w:rPr>
              <w:t>≥8</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伺服频率</w:t>
            </w:r>
            <w:r>
              <w:rPr>
                <w:rFonts w:ascii="仿宋_GB2312" w:hAnsi="仿宋_GB2312" w:cs="仿宋_GB2312" w:eastAsia="仿宋_GB2312"/>
                <w:sz w:val="21"/>
              </w:rPr>
              <w:t>≥20kHz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支持五轴联动；</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支持直线、圆弧、样条和</w:t>
            </w:r>
            <w:r>
              <w:rPr>
                <w:rFonts w:ascii="仿宋_GB2312" w:hAnsi="仿宋_GB2312" w:cs="仿宋_GB2312" w:eastAsia="仿宋_GB2312"/>
                <w:sz w:val="21"/>
              </w:rPr>
              <w:t>PVT</w:t>
            </w:r>
            <w:r>
              <w:rPr>
                <w:rFonts w:ascii="仿宋_GB2312" w:hAnsi="仿宋_GB2312" w:cs="仿宋_GB2312" w:eastAsia="仿宋_GB2312"/>
                <w:sz w:val="21"/>
              </w:rPr>
              <w:t>插补；</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支持电子齿轮和电子凸轮；</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支持空间任意平面刀具半径补偿；</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可完成高阶轨迹规划微小线段插补；</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具备上位机控制软件，控制系统接口开放，可调用函数实现平台自定义运动指令，具备二次开发功能；</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支持共振抑制以及伺服参数自整定以及进度补偿；</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供电电压：</w:t>
            </w:r>
            <w:r>
              <w:rPr>
                <w:rFonts w:ascii="仿宋_GB2312" w:hAnsi="仿宋_GB2312" w:cs="仿宋_GB2312" w:eastAsia="仿宋_GB2312"/>
                <w:sz w:val="21"/>
              </w:rPr>
              <w:t>220VAC</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通讯协议：</w:t>
            </w:r>
            <w:r>
              <w:rPr>
                <w:rFonts w:ascii="仿宋_GB2312" w:hAnsi="仿宋_GB2312" w:cs="仿宋_GB2312" w:eastAsia="仿宋_GB2312"/>
                <w:sz w:val="21"/>
              </w:rPr>
              <w:t>EtherCAT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工艺软件</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桌面铣床须具有自研工艺软件，并具备二次开发权限；</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支持钻孔、雕刻等轨迹规划模块；</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支持</w:t>
            </w:r>
            <w:r>
              <w:rPr>
                <w:rFonts w:ascii="仿宋_GB2312" w:hAnsi="仿宋_GB2312" w:cs="仿宋_GB2312" w:eastAsia="仿宋_GB2312"/>
                <w:sz w:val="21"/>
              </w:rPr>
              <w:t>G</w:t>
            </w:r>
            <w:r>
              <w:rPr>
                <w:rFonts w:ascii="仿宋_GB2312" w:hAnsi="仿宋_GB2312" w:cs="仿宋_GB2312" w:eastAsia="仿宋_GB2312"/>
                <w:sz w:val="21"/>
              </w:rPr>
              <w:t>代码以及多轴</w:t>
            </w:r>
            <w:r>
              <w:rPr>
                <w:rFonts w:ascii="仿宋_GB2312" w:hAnsi="仿宋_GB2312" w:cs="仿宋_GB2312" w:eastAsia="仿宋_GB2312"/>
                <w:sz w:val="21"/>
              </w:rPr>
              <w:t>PVT</w:t>
            </w:r>
            <w:r>
              <w:rPr>
                <w:rFonts w:ascii="仿宋_GB2312" w:hAnsi="仿宋_GB2312" w:cs="仿宋_GB2312" w:eastAsia="仿宋_GB2312"/>
                <w:sz w:val="21"/>
              </w:rPr>
              <w:t>插补联动；</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支持多坐标系变换；</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支持自动对刀、换刀；</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支持共振抑制、伺服参数自整定以及精度补偿。</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接采购人书面通知后90个日历日完成供货、安装、调试，达到交付使用条件。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以采购人指定位置为准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预付款，合同签订后5个工作日内，甲方向乙方预付合同总价的40%。（以此为准），达到付款条件起5个工作日内，支付合同总金额的40.0%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进度款，设备运抵甲方指定地点并经甲方初步查验无误后7个工作日内，甲方向乙方支付合同总价的30%（以此为准），达到付款条件起7个工作日内，支付合同总金额的30.0%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成，经甲方最终验收合格并签署《验收合格报告》后，乙方开具全额合法有效的增值税专用发票，甲方在7个工作日内向乙方支付合同总价的30%。（以此为准），达到付款条件起7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根据投标文件编制验收文件，完全满足招标技术要求。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1.质保期：所提供产品质保期1年。质保期内乙方每年提供1次保养服务。 2.产品保修期（三包期）：自验收合格之日起1年 3.产品保修期（三包期）内，修理、更换、退货要求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4.采购标的的安装调试及配套工程、质量保证、售后服务等要求。 （1）安装调试要求 安装标准：执行GB50231-2009《机械设备安装工程施工及验收通用规范》； 调试周期：连续72小时无故障运行测试； 人员培训：提供相关操作人员培训资料。 （2）配套工程 基础施工：包含安装设备所需高空作业车及各种工具（需提前2日做好准备）。 （3）质量保证 龙门系统以及桌面铣床整机免费保修1年，其他按照国家新三包规定办理。 （4）售后服务： ①质保期为到货验收合格后12个月； ②到货后安排现场调试与培训，为期2～3天； ③提供产品使用说明书和安装注意事项以及维保指导； ④质保期内非人为因素损坏提供无偿质保，质保期外设备完整生命周期内提供有偿质保； ⑤配备专职售后服务人员进行技术指导； ⑥备品备件：免费提供线缆、驱动器以及电机、光栅等核心部件各一套作为备件； ⑦维修响应时间：在2小时内电话相应，48小时内解决故障。</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本合同约定时间交付设备、完成安装调试、完成验收的，每逾期一日，应向采购人支付合同总金额1%的违约金；延迟超过15日的，采购人有权单方解除合同，要求退货，中标供应商除返还采购人已支付款项外，还应向采购人支付合同总金额10%的违约金，如该违约金不足以弥补采购人损失的，中标供应商还应予以赔偿。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投标文件。同时，中标人在领取中标通知书时需提交纸质版投标文件正本壹份、副本叁份。质版文件内容应与电子版文件内容保持一致。纸质版投标文件的正本和副本应采用粘贴方式左侧装订，不得采用活页夹的可随时拆换的方式装订，不得有零散页。应按档案要求必须编制目录，无少页、缺页的现象，并连续页码（汇编材料要求首封面开始算第1页，后面只要有字的都算一页，连续编辑页码，尾封面有字算页码，无字不算页码，并在书脊处清楚写明项目名称）。文件送达地点：西安市未央区太华北路甲字88号大明宫中央广场A座22层代理部； 2、投标保证金注意事项：（1）投标保证金须从投标人户名支付，如从个人户名或非投标人户名支付，将被拒绝，视为自动放弃投标权利（该个人是投标人的情形除外）；以保函形式缴纳投标保证金的，投标人应在投标截止时间前将保函扫描成清晰的PDF文件，发送至邮箱1932571762@qq.com（邮件命名：采购包名称、包号），并将保函原件单独递交至代理机构（采用电子保函形式的无需单独递交，发邮箱即可）。投标人应在投标文件中附保函复印件。保函必须由具有开具投标保函资格的单位开具；若供应商违约，开具保函单位承担连带责任。（2）投标保证金的提交金额、时间不满足招标文件要求的，投标无效。（建议：投标人以转账形式缴纳时备注采购包名称，否则自行承担因款项用途不明导致无法辨别造成的不利后果） 3、根据《国务院办公厅关于在政府采购中实施本国产品标准及相关政策的通知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资格证明资料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复印件或扫描件加盖供应商单位公章）。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提供直接控股和管理关系承诺函。若与其他供应商存在单位负责人为同一人或者存在直接控股、管理关系的，则投标无效。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资格证明资料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按招标文件要求加盖了供应商公章和有法定代表人或其委托代理人签字或加盖人名章。</w:t>
            </w:r>
          </w:p>
        </w:tc>
        <w:tc>
          <w:tcPr>
            <w:tcW w:type="dxa" w:w="1661"/>
          </w:tcPr>
          <w:p>
            <w:pPr>
              <w:pStyle w:val="null3"/>
            </w:pPr>
            <w:r>
              <w:rPr>
                <w:rFonts w:ascii="仿宋_GB2312" w:hAnsi="仿宋_GB2312" w:cs="仿宋_GB2312" w:eastAsia="仿宋_GB2312"/>
              </w:rPr>
              <w:t>资格证明资料 偏离表 开标一览表 响应分项报价表 投标函 标的清单 陕西省政府采购供应商拒绝政府采购领域商业贿赂承诺书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 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投标人的投标报价高于最高限价的，其投标文件将按无效处理。</w:t>
            </w:r>
          </w:p>
        </w:tc>
        <w:tc>
          <w:tcPr>
            <w:tcW w:type="dxa" w:w="1661"/>
          </w:tcPr>
          <w:p>
            <w:pPr>
              <w:pStyle w:val="null3"/>
            </w:pPr>
            <w:r>
              <w:rPr>
                <w:rFonts w:ascii="仿宋_GB2312" w:hAnsi="仿宋_GB2312" w:cs="仿宋_GB2312" w:eastAsia="仿宋_GB2312"/>
              </w:rPr>
              <w:t>开标一览表 响应分项报价表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投标保证金缴纳凭证</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招标文件“技术参数与性能指标”中标“★”项技术指标为实质性响应条款，投标文件技术响应须符合“★”项要求，无负偏离。</w:t>
            </w:r>
          </w:p>
        </w:tc>
        <w:tc>
          <w:tcPr>
            <w:tcW w:type="dxa" w:w="1661"/>
          </w:tcPr>
          <w:p>
            <w:pPr>
              <w:pStyle w:val="null3"/>
            </w:pPr>
            <w:r>
              <w:rPr>
                <w:rFonts w:ascii="仿宋_GB2312" w:hAnsi="仿宋_GB2312" w:cs="仿宋_GB2312" w:eastAsia="仿宋_GB2312"/>
              </w:rPr>
              <w:t>偏离表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根据技术参数与性能指标响应情况打分，完全满足采购技术要求的，得满分。其中： （1）▲项（共4项）满分6分，该项负偏离扣1.5分，扣完为止。（2）未标项（共30项）满分30分，每项负偏离扣1分，扣完为止。 注：标注“▲”的参数须提供相关技术指标证明材料予以佐证，提供的佐证材料：国家认可的第三方检测机构出具的检测报告或产品彩页或技术白皮书或官网截图等任意一种。不提供或缺漏项或不能证明的不得分。 注：投标人自行承担因材料提供不全导致的技术参数评审风险。</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投标人需针对本项目提供完整的项目实施方案。内容包含：①供货组织、进度安排及备品备件方案②对接及运输方案③安装调试方案④人员、物力调配安排⑤应急预案。 二、评审标准 1、完整性：方案必须全面，对评审内容中的各项要求有详细描述； 2、可实施性：切合本项目实际情况，提出步骤清晰、合理的方案； 3、针对性：方案能够紧扣项目实际情况，内容科学合理。 三、赋分依据 ①供货组织、进度安排及备品备件方案：每完全满足一个评审标准得1分，满分3分； ②对接及运输方案:每完全满足一个评审标准得1分，满分3分； ③安装调试方案:每完全满足一个评审标准得1分，满分3分； ④人员、物力调配安排：每完全满足一个评审标准得0.5分，满分1.5分。 ⑤应急预案：每完全满足一个评审标准得0.5分，满分1.5分。 内容有缺陷扣0.5分，缺项或未提供得0分。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根据项目实际需求，提供质量保证方案。内容包含：①产品性能、 使用寿命及效果②质量管理体系及保证措施。 二、评审标准 1、完整性：方案须全面，对评审内容中的各项要求有详细描述； 2、可实施性：切合本项目实际情况，实施步骤清晰、合理； 3、针对性：方案能够紧扣项目实际情况，内容科学合理。 三、赋分依据 ①产品性能、使用寿命及效果：每完全满足一个评审标准得1 分，满分3分； ②质量管理体系及保证措施:每完全满足一个评审标准得 1分，满分 3分。 内容有缺陷扣1分，缺项或未提供得0分。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根据投标人的培训服务方案，包括但不限于①培训方案、培训时间②培训内容、培训次数 二、评审标准： 1、完整性：方案须全面，对评审内容中的各项要求有详细描述； 2、可实施性：切合本项目实际情况，实施步骤清晰、合理； 3、针对性：方案能够紧扣项目实际情况，内容科学合理。 三、赋分依据 ①培训方案、培训时间：每完全满足一项评审标准得0.5分，满分1.5分； ②培训内容、培训次数：每完全满足一项评审标准得0.5分，满分1.5分； 内容有缺陷扣0.5分，缺项或未提供得0分。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根据项目实际需求提供售后服务方案。内容包含：①售后服务范围②响应时间及方式③故障处理及补救措施④定期回访及维护。 二、评审标准 1.完整性：方案必须全面，对评审内容中的各项要求有详细描述； 2.可实施性：切合本项目实际情况，提出步骤清晰、合理的方案； 3.针对性：方案能够紧扣项目实际情况，内容科学合理。 三、赋分依据 ①售后服务范围：每完全满足一个评审标准得0.5分，满分1.5分； ②响应时间及方式:每完全满足一个评审标准得0.5分，满分1.5分； ③故障处理及补救措施:每完全满足一个评审标准得0.5分，满分1.5分； ④定期回访及维护:每完全满足一个评审标准得0.5分，满分1.5分。内容有缺陷扣0.5分，缺项或未提供得0分。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承诺质保期在满足招标文件（1年）要求的基础上，每增加一年得0.5分，满1分。无承诺不得分。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投标人提供所投产品合法来源渠道证明文件或情况说明，得 2分，不提供不得分。 投标人可根据自身情况提供以下资料中的任意一种： 1、如投标人为所投产品代理商：提供货物的合法来源渠道证明文 件（例如：产品制造商授权、销售协议、代理协议等证明文件）。 2、如投标人为所投产品的制造商：需提供情况说明（说明产品为 制造商自己生产）或其他证明资料。 备注：以加盖投标人公章的证明材料复印件为计分依据。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投标人所投产品为“环境标志产品政府采购品目清单”内的，应提供该产品由国家确定的认证机构出具的中国环境标志产品认证证书且处于有效期内的，每提供一个得 0.5分，满分1 分，不提供不得分。备注：以加盖投标人公章的证明材料为计分依据。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投标人提供自2023年1月1日至今承担过类似项目业绩，以合同签订时间为准并加盖投标人公章，每提供一个业绩计1分，最高计3分。备注：以加盖投标人公章的业绩复印件或扫描件为计分依据。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30分钟）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详见附件：资格证明资料</w:t>
      </w:r>
    </w:p>
    <w:p>
      <w:pPr>
        <w:pStyle w:val="null3"/>
        <w:ind w:firstLine="960"/>
      </w:pPr>
      <w:r>
        <w:rPr>
          <w:rFonts w:ascii="仿宋_GB2312" w:hAnsi="仿宋_GB2312" w:cs="仿宋_GB2312" w:eastAsia="仿宋_GB2312"/>
        </w:rPr>
        <w:t>详见附件：响应分项报价表</w:t>
      </w:r>
    </w:p>
    <w:p>
      <w:pPr>
        <w:pStyle w:val="null3"/>
        <w:ind w:firstLine="960"/>
      </w:pPr>
      <w:r>
        <w:rPr>
          <w:rFonts w:ascii="仿宋_GB2312" w:hAnsi="仿宋_GB2312" w:cs="仿宋_GB2312" w:eastAsia="仿宋_GB2312"/>
        </w:rPr>
        <w:t>详见附件：偏离表</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详见附件：投标保证金缴纳凭证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